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版本号：ZMZB2025XBFY-49220251229001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随访管理系统采购项目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ZMZB2025XBFY-492</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随访管理系统采购项目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ZMZB2025XBFY-492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随访管理系统采购项目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随访管理系统平台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注册会计师行业统一监管平台(网址http://acc.mof.gov.cn)赋码可查询的2023年度或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计算。 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合同及招标文件规定以及投标文件响应的全部内容，并提出正式上线验收申请，采购人组织相关人员（必要时组成院外专家组）进行项目验收，出具验收报告。正式验收完成后，须继续配合完成相关评级内容。 （2）系统上线后，中标人不但向采购人用户提供系统使用培训，还需提供技术人员培训，以保证采购人工程师能够掌握软件表结构、数据业务流等技术信息。 （3）验收资料：在项目验收时，中标人需提供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西北妇女儿童医院随访管理系统采购项目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随访管理系统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标的名称：随访管理系统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w:t>
            </w:r>
          </w:p>
          <w:p>
            <w:pPr>
              <w:pStyle w:val="null3"/>
              <w:jc w:val="both"/>
            </w:pPr>
            <w:r>
              <w:rPr>
                <w:rFonts w:ascii="仿宋_GB2312" w:hAnsi="仿宋_GB2312" w:cs="仿宋_GB2312" w:eastAsia="仿宋_GB2312"/>
                <w:sz w:val="20"/>
              </w:rPr>
              <w:t>预算金额：</w:t>
            </w:r>
            <w:r>
              <w:rPr>
                <w:rFonts w:ascii="仿宋_GB2312" w:hAnsi="仿宋_GB2312" w:cs="仿宋_GB2312" w:eastAsia="仿宋_GB2312"/>
                <w:sz w:val="20"/>
              </w:rPr>
              <w:t>90万元，包括：</w:t>
            </w:r>
          </w:p>
          <w:p>
            <w:pPr>
              <w:pStyle w:val="null3"/>
              <w:jc w:val="both"/>
            </w:pPr>
            <w:r>
              <w:rPr>
                <w:rFonts w:ascii="仿宋_GB2312" w:hAnsi="仿宋_GB2312" w:cs="仿宋_GB2312" w:eastAsia="仿宋_GB2312"/>
                <w:sz w:val="20"/>
              </w:rPr>
              <w:t>1.随访管理系统（含第三方接口费），包含招标文件中提及的所有要求。</w:t>
            </w:r>
          </w:p>
          <w:p>
            <w:pPr>
              <w:pStyle w:val="null3"/>
              <w:jc w:val="both"/>
            </w:pPr>
            <w:r>
              <w:rPr>
                <w:rFonts w:ascii="仿宋_GB2312" w:hAnsi="仿宋_GB2312" w:cs="仿宋_GB2312" w:eastAsia="仿宋_GB2312"/>
                <w:sz w:val="20"/>
              </w:rPr>
              <w:t>2.语音费用。采购人不提供语音设备、线路等，报价需含保证智能语音功能可正常使用的全部费用（高并发线路、通讯设备、话费等），含三年。要求外呼号码在患者端标注“西北妇女儿童医院”。</w:t>
            </w:r>
          </w:p>
          <w:p>
            <w:pPr>
              <w:pStyle w:val="null3"/>
              <w:jc w:val="both"/>
            </w:pPr>
            <w:r>
              <w:rPr>
                <w:rFonts w:ascii="仿宋_GB2312" w:hAnsi="仿宋_GB2312" w:cs="仿宋_GB2312" w:eastAsia="仿宋_GB2312"/>
                <w:sz w:val="20"/>
              </w:rPr>
              <w:t>3.短信费用。采购人不提供短信平台，报价需包含3年短信资费。</w:t>
            </w:r>
          </w:p>
          <w:p>
            <w:pPr>
              <w:pStyle w:val="null3"/>
              <w:jc w:val="both"/>
            </w:pPr>
            <w:r>
              <w:rPr>
                <w:rFonts w:ascii="仿宋_GB2312" w:hAnsi="仿宋_GB2312" w:cs="仿宋_GB2312" w:eastAsia="仿宋_GB2312"/>
                <w:sz w:val="20"/>
              </w:rPr>
              <w:t>4.耳麦。数量40个。</w:t>
            </w:r>
          </w:p>
          <w:p>
            <w:pPr>
              <w:pStyle w:val="null3"/>
              <w:jc w:val="both"/>
            </w:pPr>
            <w:r>
              <w:rPr>
                <w:rFonts w:ascii="仿宋_GB2312" w:hAnsi="仿宋_GB2312" w:cs="仿宋_GB2312" w:eastAsia="仿宋_GB2312"/>
                <w:sz w:val="20"/>
              </w:rPr>
              <w:t>各投标人应提供分项报价单。</w:t>
            </w:r>
          </w:p>
          <w:p>
            <w:pPr>
              <w:pStyle w:val="null3"/>
              <w:jc w:val="both"/>
            </w:pPr>
            <w:r>
              <w:rPr>
                <w:rFonts w:ascii="仿宋_GB2312" w:hAnsi="仿宋_GB2312" w:cs="仿宋_GB2312" w:eastAsia="仿宋_GB2312"/>
                <w:sz w:val="20"/>
              </w:rPr>
              <w:t>二、功能清单及要求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AI引擎</w:t>
            </w:r>
          </w:p>
          <w:p>
            <w:pPr>
              <w:pStyle w:val="null3"/>
              <w:jc w:val="both"/>
            </w:pPr>
            <w:r>
              <w:rPr>
                <w:rFonts w:ascii="仿宋_GB2312" w:hAnsi="仿宋_GB2312" w:cs="仿宋_GB2312" w:eastAsia="仿宋_GB2312"/>
                <w:sz w:val="20"/>
              </w:rPr>
              <w:t>▲1.语音合成引擎。支持实现录音与合成音的自然拼接、合成语速的快慢调节、配置发音词典、停顿优化等参数设置的标记语言。提供拟人化、口语化语言。语音合成自然度需达到4分以上。</w:t>
            </w:r>
          </w:p>
          <w:p>
            <w:pPr>
              <w:pStyle w:val="null3"/>
              <w:jc w:val="both"/>
            </w:pPr>
            <w:r>
              <w:rPr>
                <w:rFonts w:ascii="仿宋_GB2312" w:hAnsi="仿宋_GB2312" w:cs="仿宋_GB2312" w:eastAsia="仿宋_GB2312"/>
                <w:sz w:val="20"/>
              </w:rPr>
              <w:t>2.文本语音转换引擎。支持云端调用和本地化部署。</w:t>
            </w:r>
          </w:p>
          <w:p>
            <w:pPr>
              <w:pStyle w:val="null3"/>
              <w:jc w:val="both"/>
            </w:pPr>
            <w:r>
              <w:rPr>
                <w:rFonts w:ascii="仿宋_GB2312" w:hAnsi="仿宋_GB2312" w:cs="仿宋_GB2312" w:eastAsia="仿宋_GB2312"/>
                <w:sz w:val="20"/>
              </w:rPr>
              <w:t>▲3.语音识别引擎。语音识别引擎，支持云端调用和本地化部署。针对医疗场景的术语定制专项的识别资源包如药品、疾病名称、检查检验指标等。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支持医疗场景下的语音识别，且一定程度上支持识别陕西方言口音等。</w:t>
            </w:r>
          </w:p>
          <w:p>
            <w:pPr>
              <w:pStyle w:val="null3"/>
              <w:jc w:val="both"/>
            </w:pPr>
            <w:r>
              <w:rPr>
                <w:rFonts w:ascii="仿宋_GB2312" w:hAnsi="仿宋_GB2312" w:cs="仿宋_GB2312" w:eastAsia="仿宋_GB2312"/>
                <w:sz w:val="20"/>
              </w:rPr>
              <w:t>▲4.语义理解引擎。支持人机交互场景下，使用语义理解引擎了解患者说话意图，语义理解的正确率达到90%以上。支持根据医疗场景的问答内容，定制专项语义知识库。</w:t>
            </w:r>
          </w:p>
          <w:p>
            <w:pPr>
              <w:pStyle w:val="null3"/>
              <w:jc w:val="both"/>
            </w:pPr>
            <w:r>
              <w:rPr>
                <w:rFonts w:ascii="仿宋_GB2312" w:hAnsi="仿宋_GB2312" w:cs="仿宋_GB2312" w:eastAsia="仿宋_GB2312"/>
                <w:sz w:val="20"/>
              </w:rPr>
              <w:t>5.语音外呼交互流程管理。可以通过拖拉拽的方式灵活设计交互流程引擎，可用于回访调查、电话回访、智能查询等人工智能交互的流程设计。</w:t>
            </w:r>
          </w:p>
          <w:p>
            <w:pPr>
              <w:pStyle w:val="null3"/>
              <w:jc w:val="both"/>
            </w:pPr>
            <w:r>
              <w:rPr>
                <w:rFonts w:ascii="仿宋_GB2312" w:hAnsi="仿宋_GB2312" w:cs="仿宋_GB2312" w:eastAsia="仿宋_GB2312"/>
                <w:sz w:val="20"/>
              </w:rPr>
              <w:t>▲支持人机交互过程中，AI机器人结合话术设计及患者前后回答内容，自动控制交互流程，实现多个问题多轮互动，交互正确率需达90%以上。</w:t>
            </w:r>
          </w:p>
          <w:p>
            <w:pPr>
              <w:pStyle w:val="null3"/>
              <w:jc w:val="both"/>
            </w:pPr>
            <w:r>
              <w:rPr>
                <w:rFonts w:ascii="仿宋_GB2312" w:hAnsi="仿宋_GB2312" w:cs="仿宋_GB2312" w:eastAsia="仿宋_GB2312"/>
                <w:sz w:val="20"/>
              </w:rPr>
              <w:t>支持针对人机交互过程中患者可能抢答，可实现智能打断。</w:t>
            </w:r>
          </w:p>
          <w:p>
            <w:pPr>
              <w:pStyle w:val="null3"/>
              <w:jc w:val="both"/>
            </w:pPr>
            <w:r>
              <w:rPr>
                <w:rFonts w:ascii="仿宋_GB2312" w:hAnsi="仿宋_GB2312" w:cs="仿宋_GB2312" w:eastAsia="仿宋_GB2312"/>
                <w:sz w:val="20"/>
              </w:rPr>
              <w:t>6.其他。支持通过互联网、专线等方式将外呼线路接入。</w:t>
            </w:r>
          </w:p>
          <w:p>
            <w:pPr>
              <w:pStyle w:val="null3"/>
              <w:jc w:val="both"/>
            </w:pPr>
            <w:r>
              <w:rPr>
                <w:rFonts w:ascii="仿宋_GB2312" w:hAnsi="仿宋_GB2312" w:cs="仿宋_GB2312" w:eastAsia="仿宋_GB2312"/>
                <w:sz w:val="20"/>
              </w:rPr>
              <w:t>支持配置号码</w:t>
            </w:r>
            <w:r>
              <w:rPr>
                <w:rFonts w:ascii="仿宋_GB2312" w:hAnsi="仿宋_GB2312" w:cs="仿宋_GB2312" w:eastAsia="仿宋_GB2312"/>
                <w:sz w:val="20"/>
              </w:rPr>
              <w:t>AI线路并发路数，人工并发路数；可自定义执行任务时间等。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支持管理外呼黑名单，在智能</w:t>
            </w:r>
            <w:r>
              <w:rPr>
                <w:rFonts w:ascii="仿宋_GB2312" w:hAnsi="仿宋_GB2312" w:cs="仿宋_GB2312" w:eastAsia="仿宋_GB2312"/>
                <w:sz w:val="20"/>
              </w:rPr>
              <w:t>AI随访的过程中，可自动发现异常情况如：患者不愿配合、患者去世等情况，系统可自动判别并标记。</w:t>
            </w:r>
          </w:p>
          <w:p>
            <w:pPr>
              <w:pStyle w:val="null3"/>
              <w:jc w:val="both"/>
            </w:pPr>
            <w:r>
              <w:rPr>
                <w:rFonts w:ascii="仿宋_GB2312" w:hAnsi="仿宋_GB2312" w:cs="仿宋_GB2312" w:eastAsia="仿宋_GB2312"/>
                <w:sz w:val="20"/>
              </w:rPr>
              <w:t>（二）患者信息管理</w:t>
            </w:r>
          </w:p>
          <w:p>
            <w:pPr>
              <w:pStyle w:val="null3"/>
              <w:jc w:val="both"/>
            </w:pPr>
            <w:r>
              <w:rPr>
                <w:rFonts w:ascii="仿宋_GB2312" w:hAnsi="仿宋_GB2312" w:cs="仿宋_GB2312" w:eastAsia="仿宋_GB2312"/>
                <w:sz w:val="20"/>
              </w:rPr>
              <w:t>1.采购人系统对接。支持与采购人HIS，LIS，互联互通集成平台等的系统对接，实现患者列表、就诊记录查询与展现，信息推送等。</w:t>
            </w:r>
          </w:p>
          <w:p>
            <w:pPr>
              <w:pStyle w:val="null3"/>
              <w:jc w:val="both"/>
            </w:pPr>
            <w:r>
              <w:rPr>
                <w:rFonts w:ascii="仿宋_GB2312" w:hAnsi="仿宋_GB2312" w:cs="仿宋_GB2312" w:eastAsia="仿宋_GB2312"/>
                <w:sz w:val="20"/>
              </w:rPr>
              <w:t>2.患者列表管理。支持按照门诊、在院、出院类别、时间管理、诊断管理进行列表化展现。</w:t>
            </w:r>
          </w:p>
          <w:p>
            <w:pPr>
              <w:pStyle w:val="null3"/>
              <w:jc w:val="both"/>
            </w:pPr>
            <w:r>
              <w:rPr>
                <w:rFonts w:ascii="仿宋_GB2312" w:hAnsi="仿宋_GB2312" w:cs="仿宋_GB2312" w:eastAsia="仿宋_GB2312"/>
                <w:sz w:val="20"/>
              </w:rPr>
              <w:t>3.患者信息查询。针对出院、门诊患者/门诊特殊检查患者可基于信息（患者姓名、性别、年龄、电话、就诊日期、就诊科室、就诊医生、疾病诊断、就诊记录、手术记录）等条件进行患者筛选和检索。支持维护患者使用的联系方式，患者家属主要联系人的电话号码信息。</w:t>
            </w:r>
          </w:p>
          <w:p>
            <w:pPr>
              <w:pStyle w:val="null3"/>
              <w:jc w:val="both"/>
            </w:pPr>
            <w:r>
              <w:rPr>
                <w:rFonts w:ascii="仿宋_GB2312" w:hAnsi="仿宋_GB2312" w:cs="仿宋_GB2312" w:eastAsia="仿宋_GB2312"/>
                <w:sz w:val="20"/>
              </w:rPr>
              <w:t>（三）知识库</w:t>
            </w:r>
          </w:p>
          <w:p>
            <w:pPr>
              <w:pStyle w:val="null3"/>
              <w:jc w:val="both"/>
            </w:pPr>
            <w:r>
              <w:rPr>
                <w:rFonts w:ascii="仿宋_GB2312" w:hAnsi="仿宋_GB2312" w:cs="仿宋_GB2312" w:eastAsia="仿宋_GB2312"/>
                <w:sz w:val="20"/>
              </w:rPr>
              <w:t>1.随访内容维护。提供标准化随访内容维护服务。支持展示该账号下所有话术模板、短信模板。展示话术名称、话术简介、病种名称。</w:t>
            </w:r>
          </w:p>
          <w:p>
            <w:pPr>
              <w:pStyle w:val="null3"/>
              <w:jc w:val="both"/>
            </w:pPr>
            <w:r>
              <w:rPr>
                <w:rFonts w:ascii="仿宋_GB2312" w:hAnsi="仿宋_GB2312" w:cs="仿宋_GB2312" w:eastAsia="仿宋_GB2312"/>
                <w:sz w:val="20"/>
              </w:rPr>
              <w:t>2.疾病知识库。支持自定义疾病知识库，同时可进行编辑维护。疾病条目可标记是否为常见疾病；</w:t>
            </w:r>
          </w:p>
          <w:p>
            <w:pPr>
              <w:pStyle w:val="null3"/>
              <w:jc w:val="both"/>
            </w:pPr>
            <w:r>
              <w:rPr>
                <w:rFonts w:ascii="仿宋_GB2312" w:hAnsi="仿宋_GB2312" w:cs="仿宋_GB2312" w:eastAsia="仿宋_GB2312"/>
                <w:sz w:val="20"/>
              </w:rPr>
              <w:t>支持管理权限维护科室病种映射表。支持维护手术名称和术式信息之间的映射关系，方便路径管理。</w:t>
            </w:r>
          </w:p>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excel批量导入术式信息。</w:t>
            </w:r>
          </w:p>
          <w:p>
            <w:pPr>
              <w:pStyle w:val="null3"/>
              <w:jc w:val="both"/>
            </w:pPr>
            <w:r>
              <w:rPr>
                <w:rFonts w:ascii="仿宋_GB2312" w:hAnsi="仿宋_GB2312" w:cs="仿宋_GB2312" w:eastAsia="仿宋_GB2312"/>
                <w:sz w:val="20"/>
              </w:rPr>
              <w:t>（四）出院患者随访</w:t>
            </w:r>
          </w:p>
          <w:p>
            <w:pPr>
              <w:pStyle w:val="null3"/>
              <w:jc w:val="both"/>
            </w:pPr>
            <w:r>
              <w:rPr>
                <w:rFonts w:ascii="仿宋_GB2312" w:hAnsi="仿宋_GB2312" w:cs="仿宋_GB2312" w:eastAsia="仿宋_GB2312"/>
                <w:sz w:val="20"/>
              </w:rPr>
              <w:t>1.创建随访任务。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支持根据患者的主诊断，结合随访路径自动创建对应的随访计划，根据随访计划中的时间点自动执行随访任务。同时支持人工手动创建随访计划。</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支持设置随访任务的任务节点、执行路径、执行时间、重拔设置、是否发送短信、短信模板选择等。</w:t>
            </w:r>
          </w:p>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AI电话最高2次自动重拨机制，重拨时间间隔可设置。</w:t>
            </w:r>
          </w:p>
          <w:p>
            <w:pPr>
              <w:pStyle w:val="null3"/>
              <w:jc w:val="both"/>
            </w:pPr>
            <w:r>
              <w:rPr>
                <w:rFonts w:ascii="仿宋_GB2312" w:hAnsi="仿宋_GB2312" w:cs="仿宋_GB2312" w:eastAsia="仿宋_GB2312"/>
                <w:sz w:val="20"/>
              </w:rPr>
              <w:t>支持创建随访方案时，保存方案，以及选择历史方案，可快速填充随访方案内容，减少编辑工作量。</w:t>
            </w:r>
          </w:p>
          <w:p>
            <w:pPr>
              <w:pStyle w:val="null3"/>
              <w:jc w:val="both"/>
            </w:pPr>
            <w:r>
              <w:rPr>
                <w:rFonts w:ascii="仿宋_GB2312" w:hAnsi="仿宋_GB2312" w:cs="仿宋_GB2312" w:eastAsia="仿宋_GB2312"/>
                <w:sz w:val="20"/>
              </w:rPr>
              <w:t>支持人工电话系统内一键随访患者</w:t>
            </w:r>
            <w:r>
              <w:rPr>
                <w:rFonts w:ascii="仿宋_GB2312" w:hAnsi="仿宋_GB2312" w:cs="仿宋_GB2312" w:eastAsia="仿宋_GB2312"/>
                <w:sz w:val="20"/>
              </w:rPr>
              <w:t>/家属，系统保存人工随访电话音频，支持快速记录随访结果、随访状态、备注等。</w:t>
            </w:r>
          </w:p>
          <w:p>
            <w:pPr>
              <w:pStyle w:val="null3"/>
              <w:jc w:val="both"/>
            </w:pPr>
            <w:r>
              <w:rPr>
                <w:rFonts w:ascii="仿宋_GB2312" w:hAnsi="仿宋_GB2312" w:cs="仿宋_GB2312" w:eastAsia="仿宋_GB2312"/>
                <w:sz w:val="20"/>
              </w:rPr>
              <w:t>2.任务管理。支持以列表形式展示所有任务。任务根据执行情况分组为：未执行、执行中、已执行。支持以列表形式展示有随访异常任务的患者，根据异常是否处理分组为：未处理、已处理。</w:t>
            </w:r>
          </w:p>
          <w:p>
            <w:pPr>
              <w:pStyle w:val="null3"/>
              <w:jc w:val="both"/>
            </w:pPr>
            <w:r>
              <w:rPr>
                <w:rFonts w:ascii="仿宋_GB2312" w:hAnsi="仿宋_GB2312" w:cs="仿宋_GB2312" w:eastAsia="仿宋_GB2312"/>
                <w:sz w:val="20"/>
              </w:rPr>
              <w:t>支持在详情页面查看患者已随访内容并再次进行人工随访，可标注随访状态。</w:t>
            </w:r>
          </w:p>
          <w:p>
            <w:pPr>
              <w:pStyle w:val="null3"/>
              <w:jc w:val="both"/>
            </w:pPr>
            <w:r>
              <w:rPr>
                <w:rFonts w:ascii="仿宋_GB2312" w:hAnsi="仿宋_GB2312" w:cs="仿宋_GB2312" w:eastAsia="仿宋_GB2312"/>
                <w:sz w:val="20"/>
              </w:rPr>
              <w:t>支持以列表形式展示需要人工随访待办任务的患者。</w:t>
            </w:r>
          </w:p>
          <w:p>
            <w:pPr>
              <w:pStyle w:val="null3"/>
              <w:jc w:val="both"/>
            </w:pPr>
            <w:r>
              <w:rPr>
                <w:rFonts w:ascii="仿宋_GB2312" w:hAnsi="仿宋_GB2312" w:cs="仿宋_GB2312" w:eastAsia="仿宋_GB2312"/>
                <w:sz w:val="20"/>
              </w:rPr>
              <w:t>支持通过人工随访模板录入的随访结果结构化存储至系统。</w:t>
            </w:r>
          </w:p>
          <w:p>
            <w:pPr>
              <w:pStyle w:val="null3"/>
              <w:jc w:val="both"/>
            </w:pPr>
            <w:r>
              <w:rPr>
                <w:rFonts w:ascii="仿宋_GB2312" w:hAnsi="仿宋_GB2312" w:cs="仿宋_GB2312" w:eastAsia="仿宋_GB2312"/>
                <w:sz w:val="20"/>
              </w:rPr>
              <w:t>支持在详情页面拨打人工随访电话，并填写随访模板内容，更新人工随访状态和备注等。</w:t>
            </w:r>
          </w:p>
          <w:p>
            <w:pPr>
              <w:pStyle w:val="null3"/>
              <w:jc w:val="both"/>
            </w:pPr>
            <w:r>
              <w:rPr>
                <w:rFonts w:ascii="仿宋_GB2312" w:hAnsi="仿宋_GB2312" w:cs="仿宋_GB2312" w:eastAsia="仿宋_GB2312"/>
                <w:sz w:val="20"/>
              </w:rPr>
              <w:t>支持执行失败的电话任务重新拨打。</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支持电话任务音频回听、转写文字查看、随访结构化结果查看。</w:t>
            </w:r>
          </w:p>
          <w:p>
            <w:pPr>
              <w:pStyle w:val="null3"/>
              <w:jc w:val="both"/>
            </w:pPr>
            <w:r>
              <w:rPr>
                <w:rFonts w:ascii="仿宋_GB2312" w:hAnsi="仿宋_GB2312" w:cs="仿宋_GB2312" w:eastAsia="仿宋_GB2312"/>
                <w:sz w:val="20"/>
              </w:rPr>
              <w:t>支持电话任务拨打人工电话，标记人工电话接通状态以及备注等。</w:t>
            </w:r>
          </w:p>
          <w:p>
            <w:pPr>
              <w:pStyle w:val="null3"/>
              <w:jc w:val="both"/>
            </w:pPr>
            <w:r>
              <w:rPr>
                <w:rFonts w:ascii="仿宋_GB2312" w:hAnsi="仿宋_GB2312" w:cs="仿宋_GB2312" w:eastAsia="仿宋_GB2312"/>
                <w:sz w:val="20"/>
              </w:rPr>
              <w:t>▲支持对随访过程中的异常情况（如病情变化/控制不佳等）进行识别标记。</w:t>
            </w:r>
          </w:p>
          <w:p>
            <w:pPr>
              <w:pStyle w:val="null3"/>
              <w:jc w:val="both"/>
            </w:pPr>
            <w:r>
              <w:rPr>
                <w:rFonts w:ascii="仿宋_GB2312" w:hAnsi="仿宋_GB2312" w:cs="仿宋_GB2312" w:eastAsia="仿宋_GB2312"/>
                <w:sz w:val="20"/>
              </w:rPr>
              <w:t>▲3.专病随访。支持以列表形式展示所有的专病随访路径，支持以主诊断为条件的专病随访任务，支持我院规定的所有专病管理随访话术定制。支持管理权限分配不同的专病随访路径。</w:t>
            </w:r>
          </w:p>
          <w:p>
            <w:pPr>
              <w:pStyle w:val="null3"/>
              <w:jc w:val="both"/>
            </w:pPr>
            <w:r>
              <w:rPr>
                <w:rFonts w:ascii="仿宋_GB2312" w:hAnsi="仿宋_GB2312" w:cs="仿宋_GB2312" w:eastAsia="仿宋_GB2312"/>
                <w:sz w:val="20"/>
              </w:rPr>
              <w:t>4.数据统计。支持按照时间段筛选任务，展示阶段性智能外呼的呼叫人数、接通人次、整体接通率等。</w:t>
            </w:r>
          </w:p>
          <w:p>
            <w:pPr>
              <w:pStyle w:val="null3"/>
              <w:jc w:val="both"/>
            </w:pPr>
            <w:r>
              <w:rPr>
                <w:rFonts w:ascii="仿宋_GB2312" w:hAnsi="仿宋_GB2312" w:cs="仿宋_GB2312" w:eastAsia="仿宋_GB2312"/>
                <w:sz w:val="20"/>
              </w:rPr>
              <w:t>支持按接通结果分类进行统计。</w:t>
            </w:r>
          </w:p>
          <w:p>
            <w:pPr>
              <w:pStyle w:val="null3"/>
              <w:jc w:val="both"/>
            </w:pPr>
            <w:r>
              <w:rPr>
                <w:rFonts w:ascii="仿宋_GB2312" w:hAnsi="仿宋_GB2312" w:cs="仿宋_GB2312" w:eastAsia="仿宋_GB2312"/>
                <w:sz w:val="20"/>
              </w:rPr>
              <w:t>支持查看人工随访任务的执行情况。查看每个任务的详细情况，包括各分项结果的回答统计。</w:t>
            </w:r>
          </w:p>
          <w:p>
            <w:pPr>
              <w:pStyle w:val="null3"/>
              <w:jc w:val="both"/>
            </w:pPr>
            <w:r>
              <w:rPr>
                <w:rFonts w:ascii="仿宋_GB2312" w:hAnsi="仿宋_GB2312" w:cs="仿宋_GB2312" w:eastAsia="仿宋_GB2312"/>
                <w:sz w:val="20"/>
              </w:rPr>
              <w:t>支持对人工随访任务详情列表配置表头并导出明细内容。</w:t>
            </w:r>
          </w:p>
          <w:p>
            <w:pPr>
              <w:pStyle w:val="null3"/>
              <w:jc w:val="both"/>
            </w:pPr>
            <w:r>
              <w:rPr>
                <w:rFonts w:ascii="仿宋_GB2312" w:hAnsi="仿宋_GB2312" w:cs="仿宋_GB2312" w:eastAsia="仿宋_GB2312"/>
                <w:sz w:val="20"/>
              </w:rPr>
              <w:t>▲支持展示每个任务的详情，基于录音文件和文字记录进行检索、播放与查阅。</w:t>
            </w:r>
          </w:p>
          <w:p>
            <w:pPr>
              <w:pStyle w:val="null3"/>
              <w:jc w:val="both"/>
            </w:pPr>
            <w:r>
              <w:rPr>
                <w:rFonts w:ascii="仿宋_GB2312" w:hAnsi="仿宋_GB2312" w:cs="仿宋_GB2312" w:eastAsia="仿宋_GB2312"/>
                <w:sz w:val="20"/>
              </w:rPr>
              <w:t>支持展示以下三个维度：数据总览、各个指标趋势、数据列表。</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随访数据总览：包含随访总次数、智能外呼、短信随访、人工随访，以及统计对应的成功率。</w:t>
            </w:r>
          </w:p>
          <w:p>
            <w:pPr>
              <w:pStyle w:val="null3"/>
              <w:jc w:val="both"/>
            </w:pPr>
            <w:r>
              <w:rPr>
                <w:rFonts w:ascii="仿宋_GB2312" w:hAnsi="仿宋_GB2312" w:cs="仿宋_GB2312" w:eastAsia="仿宋_GB2312"/>
                <w:sz w:val="20"/>
              </w:rPr>
              <w:t>随访成功率趋势图：以折线图形式展示随访总次数、智能外呼、短信随访、人工随访，默认显示随访总次数。</w:t>
            </w:r>
          </w:p>
          <w:p>
            <w:pPr>
              <w:pStyle w:val="null3"/>
              <w:jc w:val="both"/>
            </w:pPr>
            <w:r>
              <w:rPr>
                <w:rFonts w:ascii="仿宋_GB2312" w:hAnsi="仿宋_GB2312" w:cs="仿宋_GB2312" w:eastAsia="仿宋_GB2312"/>
                <w:sz w:val="20"/>
              </w:rPr>
              <w:t>随访数据列表：列表展示统计时间、随访计划总次数、随访总成功率、智能外呼次数、智能外呼成功率、短信随访次数、短信随访成功率、人工随访次数、人工随访成功率等。</w:t>
            </w:r>
          </w:p>
          <w:p>
            <w:pPr>
              <w:pStyle w:val="null3"/>
              <w:jc w:val="both"/>
            </w:pPr>
            <w:r>
              <w:rPr>
                <w:rFonts w:ascii="仿宋_GB2312" w:hAnsi="仿宋_GB2312" w:cs="仿宋_GB2312" w:eastAsia="仿宋_GB2312"/>
                <w:sz w:val="20"/>
              </w:rPr>
              <w:t>支持结果打印与</w:t>
            </w:r>
            <w:r>
              <w:rPr>
                <w:rFonts w:ascii="仿宋_GB2312" w:hAnsi="仿宋_GB2312" w:cs="仿宋_GB2312" w:eastAsia="仿宋_GB2312"/>
                <w:sz w:val="20"/>
              </w:rPr>
              <w:t>EXCEL文件进行导入、导出并生成相应的报表。</w:t>
            </w:r>
          </w:p>
          <w:p>
            <w:pPr>
              <w:pStyle w:val="null3"/>
              <w:jc w:val="both"/>
            </w:pPr>
            <w:r>
              <w:rPr>
                <w:rFonts w:ascii="仿宋_GB2312" w:hAnsi="仿宋_GB2312" w:cs="仿宋_GB2312" w:eastAsia="仿宋_GB2312"/>
                <w:sz w:val="20"/>
              </w:rPr>
              <w:t>支持自定义时间、科室、病种等条件生成完整、详细、多样化的统计分析报告。</w:t>
            </w:r>
          </w:p>
          <w:p>
            <w:pPr>
              <w:pStyle w:val="null3"/>
              <w:jc w:val="both"/>
            </w:pPr>
            <w:r>
              <w:rPr>
                <w:rFonts w:ascii="仿宋_GB2312" w:hAnsi="仿宋_GB2312" w:cs="仿宋_GB2312" w:eastAsia="仿宋_GB2312"/>
                <w:sz w:val="20"/>
              </w:rPr>
              <w:t>（五）门诊特殊检查随访</w:t>
            </w:r>
          </w:p>
          <w:p>
            <w:pPr>
              <w:pStyle w:val="null3"/>
              <w:jc w:val="both"/>
            </w:pPr>
            <w:r>
              <w:rPr>
                <w:rFonts w:ascii="仿宋_GB2312" w:hAnsi="仿宋_GB2312" w:cs="仿宋_GB2312" w:eastAsia="仿宋_GB2312"/>
                <w:sz w:val="20"/>
              </w:rPr>
              <w:t>根据采购人需求，可定制支持针对专病构建随访路径，配置随访内容。支持智能语音随访、问卷随访、人工随访等手段，提供知识库。</w:t>
            </w:r>
          </w:p>
          <w:p>
            <w:pPr>
              <w:pStyle w:val="null3"/>
              <w:jc w:val="both"/>
            </w:pPr>
            <w:r>
              <w:rPr>
                <w:rFonts w:ascii="仿宋_GB2312" w:hAnsi="仿宋_GB2312" w:cs="仿宋_GB2312" w:eastAsia="仿宋_GB2312"/>
                <w:sz w:val="20"/>
              </w:rPr>
              <w:t>支持采购人规定的所有门诊特殊检查随访话术定制。</w:t>
            </w:r>
          </w:p>
          <w:p>
            <w:pPr>
              <w:pStyle w:val="null3"/>
              <w:jc w:val="both"/>
            </w:pPr>
            <w:r>
              <w:rPr>
                <w:rFonts w:ascii="仿宋_GB2312" w:hAnsi="仿宋_GB2312" w:cs="仿宋_GB2312" w:eastAsia="仿宋_GB2312"/>
                <w:sz w:val="20"/>
              </w:rPr>
              <w:t>（六）系统运维与安全</w:t>
            </w:r>
          </w:p>
          <w:p>
            <w:pPr>
              <w:pStyle w:val="null3"/>
              <w:jc w:val="both"/>
            </w:pPr>
            <w:r>
              <w:rPr>
                <w:rFonts w:ascii="仿宋_GB2312" w:hAnsi="仿宋_GB2312" w:cs="仿宋_GB2312" w:eastAsia="仿宋_GB2312"/>
                <w:sz w:val="20"/>
              </w:rPr>
              <w:t>1.角色管理。系统可灵活设置不同的角色和权限，如工号、管理员等，不同的角色赋予不同的权限。</w:t>
            </w:r>
          </w:p>
          <w:p>
            <w:pPr>
              <w:pStyle w:val="null3"/>
              <w:jc w:val="both"/>
            </w:pPr>
            <w:r>
              <w:rPr>
                <w:rFonts w:ascii="仿宋_GB2312" w:hAnsi="仿宋_GB2312" w:cs="仿宋_GB2312" w:eastAsia="仿宋_GB2312"/>
                <w:sz w:val="20"/>
              </w:rPr>
              <w:t>2.用户管理。管理员需要给每个使用者分配登录用户名和密码，用户登录时,只能看到自己工作范围内的患者资料和对应任务，管理员则可查看所有信息。</w:t>
            </w:r>
          </w:p>
          <w:p>
            <w:pPr>
              <w:pStyle w:val="null3"/>
              <w:jc w:val="both"/>
            </w:pPr>
            <w:r>
              <w:rPr>
                <w:rFonts w:ascii="仿宋_GB2312" w:hAnsi="仿宋_GB2312" w:cs="仿宋_GB2312" w:eastAsia="仿宋_GB2312"/>
                <w:sz w:val="20"/>
              </w:rPr>
              <w:t>3.日记记录详细。包括但不仅限于：系统访问日志、用户登录日志、流程监控日志、接口访问日志、归档日志等，符合信息系统审计要求。</w:t>
            </w:r>
          </w:p>
          <w:p>
            <w:pPr>
              <w:pStyle w:val="null3"/>
              <w:jc w:val="both"/>
            </w:pPr>
            <w:r>
              <w:rPr>
                <w:rFonts w:ascii="仿宋_GB2312" w:hAnsi="仿宋_GB2312" w:cs="仿宋_GB2312" w:eastAsia="仿宋_GB2312"/>
                <w:sz w:val="20"/>
              </w:rPr>
              <w:t>4.纯私有化部署。服务器，存储、网络等由采购人提供，投标人应提供本地部署所需硬件配置的要求及方案</w:t>
            </w:r>
          </w:p>
          <w:p>
            <w:pPr>
              <w:pStyle w:val="null3"/>
              <w:jc w:val="both"/>
            </w:pPr>
            <w:r>
              <w:rPr>
                <w:rFonts w:ascii="仿宋_GB2312" w:hAnsi="仿宋_GB2312" w:cs="仿宋_GB2312" w:eastAsia="仿宋_GB2312"/>
                <w:sz w:val="20"/>
              </w:rPr>
              <w:t>（六）后期运维要求</w:t>
            </w:r>
          </w:p>
          <w:p>
            <w:pPr>
              <w:pStyle w:val="null3"/>
              <w:jc w:val="left"/>
            </w:pPr>
            <w:r>
              <w:rPr>
                <w:rFonts w:ascii="仿宋_GB2312" w:hAnsi="仿宋_GB2312" w:cs="仿宋_GB2312" w:eastAsia="仿宋_GB2312"/>
                <w:sz w:val="20"/>
              </w:rPr>
              <w:t>1.项目验收后，投标人提供不低于3年免费服务，各投标人自报最长免费维保期，免费维保期内，需提供系统最新版本的免费升级。免费维保期满后，若为有偿维护，年维护费用原则上不高于中标金额（不含语音及短信费用）的8%，各投标人自报最低年维护费用标准。投标人应负责对其提供的软件、设备、升级内容等进行维修、损坏件更换等服务，且不收取额外费用。涉及国家政策性相关内容产生的升级、维护、服务等工作需免费配合采购人完成，并提供不少于半年的驻场服务，上线期间各供应商自报驻场人员，保证项目顺利上线，正式运行验收后，要求至少2人驻场不少于1年。</w:t>
            </w:r>
          </w:p>
          <w:p>
            <w:pPr>
              <w:pStyle w:val="null3"/>
              <w:jc w:val="left"/>
            </w:pPr>
            <w:r>
              <w:rPr>
                <w:rFonts w:ascii="仿宋_GB2312" w:hAnsi="仿宋_GB2312" w:cs="仿宋_GB2312" w:eastAsia="仿宋_GB2312"/>
                <w:sz w:val="20"/>
              </w:rPr>
              <w:t>2.帮助采购人进行系统的部署与调试。</w:t>
            </w:r>
          </w:p>
          <w:p>
            <w:pPr>
              <w:pStyle w:val="null3"/>
              <w:jc w:val="both"/>
            </w:pPr>
            <w:r>
              <w:rPr>
                <w:rFonts w:ascii="仿宋_GB2312" w:hAnsi="仿宋_GB2312" w:cs="仿宋_GB2312" w:eastAsia="仿宋_GB2312"/>
                <w:sz w:val="20"/>
              </w:rPr>
              <w:t>3.投标人在系统质保期内产品故障报修的响应时间：≤1小时，若电话中无法解决，24小时内到达现场进行维护。如因不可抗力因素不能在规定时间内到达的，双方另行商定。</w:t>
            </w:r>
          </w:p>
          <w:p>
            <w:pPr>
              <w:pStyle w:val="null3"/>
              <w:jc w:val="both"/>
            </w:pPr>
            <w:r>
              <w:rPr>
                <w:rFonts w:ascii="仿宋_GB2312" w:hAnsi="仿宋_GB2312" w:cs="仿宋_GB2312" w:eastAsia="仿宋_GB2312"/>
                <w:sz w:val="20"/>
              </w:rPr>
              <w:t>4.评级方面：若相关评级对该项目有要求，投标人需配合采购人完成医院信息互联互通标准化成熟度测评和智慧医院评级相关工作，包括：协助评价/测评/评估标准的解读、数据填报、实证/文审材料准备、现场迎评以及评审后功能整改等技术支持，包括提供和协助采购人通过信息安全等级保护测评工作。</w:t>
            </w:r>
          </w:p>
          <w:p>
            <w:pPr>
              <w:pStyle w:val="null3"/>
              <w:jc w:val="both"/>
            </w:pPr>
            <w:r>
              <w:rPr>
                <w:rFonts w:ascii="仿宋_GB2312" w:hAnsi="仿宋_GB2312" w:cs="仿宋_GB2312" w:eastAsia="仿宋_GB2312"/>
                <w:sz w:val="20"/>
              </w:rPr>
              <w:t>5.接口集成：原则上，投标人需与采购人集成平台进行对接，并负责承建软件数据在集成平台数据的补全。所有涉及改造与对接费用需自行进行评估（采购人不额外支付费用）。</w:t>
            </w:r>
          </w:p>
          <w:p>
            <w:pPr>
              <w:pStyle w:val="null3"/>
              <w:jc w:val="both"/>
            </w:pPr>
            <w:r>
              <w:rPr>
                <w:rFonts w:ascii="仿宋_GB2312" w:hAnsi="仿宋_GB2312" w:cs="仿宋_GB2312" w:eastAsia="仿宋_GB2312"/>
                <w:sz w:val="20"/>
              </w:rPr>
              <w:t>6.若国家政策、相关法律法规等有要求，须免费配合采购人实现国产化/信创改造升级，包含但不限于软/硬件、数据库、接口等方面升级。升级后应完全符合该采购项目的国产化/信创化；须按照政策、法规等要求，免费配合采购人以升级、迁移等形式实现相关要求。</w:t>
            </w:r>
          </w:p>
          <w:p>
            <w:pPr>
              <w:pStyle w:val="null3"/>
              <w:jc w:val="both"/>
            </w:pPr>
            <w:r>
              <w:rPr>
                <w:rFonts w:ascii="仿宋_GB2312" w:hAnsi="仿宋_GB2312" w:cs="仿宋_GB2312" w:eastAsia="仿宋_GB2312"/>
                <w:sz w:val="20"/>
              </w:rPr>
              <w:t>7.投标人履约过程中所获悉的国家秘密、工作秘密、商业秘密或者其他应当保密的信息，均有保密义务且不受合同有效期所限，软件及软件产生数据的所有权归采购人所有。</w:t>
            </w:r>
          </w:p>
          <w:p>
            <w:pPr>
              <w:pStyle w:val="null3"/>
              <w:jc w:val="both"/>
            </w:pPr>
            <w:r>
              <w:rPr>
                <w:rFonts w:ascii="仿宋_GB2312" w:hAnsi="仿宋_GB2312" w:cs="仿宋_GB2312" w:eastAsia="仿宋_GB2312"/>
                <w:sz w:val="20"/>
                <w:b/>
              </w:rPr>
              <w:t>三、实施要求：</w:t>
            </w:r>
          </w:p>
          <w:p>
            <w:pPr>
              <w:pStyle w:val="null3"/>
              <w:ind w:firstLine="400"/>
              <w:jc w:val="both"/>
            </w:pPr>
            <w:r>
              <w:rPr>
                <w:rFonts w:ascii="仿宋_GB2312" w:hAnsi="仿宋_GB2312" w:cs="仿宋_GB2312" w:eastAsia="仿宋_GB2312"/>
                <w:sz w:val="20"/>
              </w:rPr>
              <w:t>投标人现场详细调研，根据调研报告出具包含但不限于施工计划、倒排工期的工作任务分解计划等内容的实施方案以及包含但不限于推广、宣传、关注度、使用量等内容的运营方案。</w:t>
            </w:r>
          </w:p>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实施范围：</w:t>
            </w:r>
          </w:p>
          <w:p>
            <w:pPr>
              <w:pStyle w:val="null3"/>
              <w:ind w:firstLine="400"/>
              <w:jc w:val="both"/>
            </w:pPr>
            <w:r>
              <w:rPr>
                <w:rFonts w:ascii="仿宋_GB2312" w:hAnsi="仿宋_GB2312" w:cs="仿宋_GB2312" w:eastAsia="仿宋_GB2312"/>
                <w:sz w:val="20"/>
              </w:rPr>
              <w:t>本项目所有招标采购内容，需覆盖采购人同一法人下的所有院区中所有涉及的业务科室，并且不限制终端使用数量。</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其他要求</w:t>
            </w:r>
          </w:p>
          <w:p>
            <w:pPr>
              <w:pStyle w:val="null3"/>
              <w:ind w:firstLine="480"/>
            </w:pPr>
            <w:r>
              <w:rPr>
                <w:rFonts w:ascii="仿宋_GB2312" w:hAnsi="仿宋_GB2312" w:cs="仿宋_GB2312" w:eastAsia="仿宋_GB2312"/>
                <w:sz w:val="20"/>
              </w:rPr>
              <w:t>1.投标人须保证采购人在使用该货物或其任何一部分时，不受第三方侵权指控。</w:t>
            </w:r>
          </w:p>
          <w:p>
            <w:pPr>
              <w:pStyle w:val="null3"/>
              <w:ind w:firstLine="480"/>
            </w:pPr>
            <w:r>
              <w:rPr>
                <w:rFonts w:ascii="仿宋_GB2312" w:hAnsi="仿宋_GB2312" w:cs="仿宋_GB2312" w:eastAsia="仿宋_GB2312"/>
                <w:sz w:val="20"/>
              </w:rPr>
              <w:t>2.所投产品须满足但不局限于以下规范要求：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1）满足及遵循《全国医院信息化建设标准与规范（试行）》（2018年版）相关要求。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2）满足及遵循《电子病历系统功能应用水平分级评价方法及标准》（最新版）6级标准相关要求。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3）满足及遵循《国家医疗健康信息医院信息互联互通标准化成熟度测评方案》（2020年版）五级乙等相关要求。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4）满足及遵循《医院智慧服务分级评估标准体系（试行）》（2019年版）四级相关要求。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5）满足及遵循《医院智慧管理分级评估标准体系（试行）》四级相关要求。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6）满足及遵循《国务院办公厅关于推动公立医院高质量发展的意见》。</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7）满足及遵循《国家三级公立医院绩效考核操作手册》（2020版）相关条款。</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8）满足及遵循国家卫健委关于进一步改善医疗服务行动计划相关要求。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9）满足及遵循《三级医院评审标准实施细则》和《三级妇幼保健院评审标准实施细则》要求。</w:t>
            </w:r>
          </w:p>
          <w:p>
            <w:pPr>
              <w:pStyle w:val="null3"/>
              <w:ind w:firstLine="480"/>
            </w:pPr>
            <w:r>
              <w:rPr>
                <w:rFonts w:ascii="仿宋_GB2312" w:hAnsi="仿宋_GB2312" w:cs="仿宋_GB2312" w:eastAsia="仿宋_GB2312"/>
                <w:sz w:val="20"/>
              </w:rPr>
              <w:t>3.投标人应确保交付软件的安全性，并提供符合行业标准的安全评估报告，须包含但不限于代码安全审计报告、漏洞扫描报告、渗透测试报告等。若涉及APP须提供APP端数据安全与合规性评估报告、APP业务安全及反欺诈测试报告。</w:t>
            </w:r>
          </w:p>
          <w:p>
            <w:pPr>
              <w:pStyle w:val="null3"/>
              <w:ind w:firstLine="480"/>
            </w:pPr>
            <w:r>
              <w:rPr>
                <w:rFonts w:ascii="仿宋_GB2312" w:hAnsi="仿宋_GB2312" w:cs="仿宋_GB2312" w:eastAsia="仿宋_GB2312"/>
                <w:sz w:val="20"/>
              </w:rPr>
              <w:t>投标人须对采购人提供或自行提供的系统资产（包括物理</w:t>
            </w:r>
            <w:r>
              <w:rPr>
                <w:rFonts w:ascii="仿宋_GB2312" w:hAnsi="仿宋_GB2312" w:cs="仿宋_GB2312" w:eastAsia="仿宋_GB2312"/>
                <w:sz w:val="20"/>
              </w:rPr>
              <w:t>/云服务器、网络及存储设备）承担全生命周期的安全管理责任，配置符合等保 2.0 三级安全防护要求和采购人指定的安全基线，确保业务的持续性与安全性。</w:t>
            </w:r>
          </w:p>
          <w:p>
            <w:pPr>
              <w:pStyle w:val="null3"/>
              <w:ind w:firstLine="480"/>
            </w:pPr>
            <w:r>
              <w:rPr>
                <w:rFonts w:ascii="仿宋_GB2312" w:hAnsi="仿宋_GB2312" w:cs="仿宋_GB2312" w:eastAsia="仿宋_GB2312"/>
                <w:sz w:val="20"/>
              </w:rPr>
              <w:t>投标人应积极无条件配合采购人开展（包括但不限于物理</w:t>
            </w:r>
            <w:r>
              <w:rPr>
                <w:rFonts w:ascii="仿宋_GB2312" w:hAnsi="仿宋_GB2312" w:cs="仿宋_GB2312" w:eastAsia="仿宋_GB2312"/>
                <w:sz w:val="20"/>
              </w:rPr>
              <w:t>/云服务器、网络及存储设备、中间件、数据库、操作系统等）的安全审计、安全加固、渗透测试、应急响应等安全工作，并提供必要的权限支持，且在 48 小时内提交书面整改计划，发生重大安全事件时，投标人应立即响应并协助取证，确保事件快速处置并将影响降到最低。</w:t>
            </w:r>
          </w:p>
          <w:p>
            <w:pPr>
              <w:pStyle w:val="null3"/>
            </w:pPr>
            <w:r>
              <w:rPr>
                <w:rFonts w:ascii="仿宋_GB2312" w:hAnsi="仿宋_GB2312" w:cs="仿宋_GB2312" w:eastAsia="仿宋_GB2312"/>
                <w:sz w:val="20"/>
              </w:rPr>
              <w:t>4.如投标人拒绝配合安全合规工作或因其行为导致安全事件，采购人有权解除合同，一切损失由投标人承担，并追究法律责任。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交货时间:合同签订后，5个日历日内完成安装、调试等工作，投标人自报项目交货时间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采购人确认系统功能完成上线试运行初步验收合格后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采购人确认系统功能完全正式上线运行正式验收合格后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采购人确认语音及短信功能完成后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中标人完成项目建设功能清单中功能模块试运行，由中标人提出试运行验收申请，采购人组织相关人员（必要时组成院外专家组）进行项目验收，出具项目验收报告，开始计算维保期。 在项目验收时，中标人须提供但不限于项目实施方案、需求说明书、使用人员签字的培训记录、系统操作说明、系统维护说明、验收申请、数据业务流、接口方案及文档、数据字典及表结构说明、用户手册、数据库用户名及密码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质保期：硬件免费质保三年，软件免费维保三年。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双方在履行合同过程中，若发生争议，可以协商解决。如协商未果，双方向采购人所在地人民法院提起诉讼。中标人如果没有按照本合同约定履行合同，采购人有权终止合同。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（1）支付约定 采购包1： 1.付款条件说明： 采购人确认系统功能完成上线试运行初步验收合格后，达到付款条件起 30 日内，支付合同总金额的 40.00%； 2.付款条件说明：采购人确认系统功能完全正式上线运行正式验收合格后，达到付款条件起 30 日内，支付合同总金额的 50.00%； 3.付款条件说明：采购人确认语音及短信功能完成后，达到付款条件起 30 日内，支付合同总价的10%。 4.付款条件说明：供应商在付款前必须开具符合税法规定的等额增值税发票给采购人。 （2）投标人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 30号合力紫郡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注册会计师行业统一监管平台(网址http://acc.mof.gov.cn)赋码可查询的2023年度或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投标文件的交货时间、质保期满足招标文件要求的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投标文件的签署、盖章符合招标文件要求的</w:t>
            </w:r>
          </w:p>
        </w:tc>
        <w:tc>
          <w:tcPr>
            <w:tcW w:type="dxa" w:w="1661"/>
          </w:tcPr>
          <w:p>
            <w:pPr>
              <w:pStyle w:val="null3"/>
            </w:pPr>
            <w:r>
              <w:rPr>
                <w:rFonts w:ascii="仿宋_GB2312" w:hAnsi="仿宋_GB2312" w:cs="仿宋_GB2312" w:eastAsia="仿宋_GB2312"/>
              </w:rPr>
              <w:t>分项报价表.docx 供应商资格要求.docx 投标函 商务应答表 合同响应偏离表.docx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投标文件不存在法律、法规和招标文件规定的其他无效情形的</w:t>
            </w:r>
          </w:p>
        </w:tc>
        <w:tc>
          <w:tcPr>
            <w:tcW w:type="dxa" w:w="1661"/>
          </w:tcPr>
          <w:p>
            <w:pPr>
              <w:pStyle w:val="null3"/>
            </w:pPr>
            <w:r>
              <w:rPr>
                <w:rFonts w:ascii="仿宋_GB2312" w:hAnsi="仿宋_GB2312" w:cs="仿宋_GB2312" w:eastAsia="仿宋_GB2312"/>
              </w:rPr>
              <w:t>合同响应偏离表.docx 供应商认为有必要说明的其他问题.docx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不同供应商的投标文件不是由同一单位或者个人编制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不同供应商不是委托同一单位或者个人办理投标事宜</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不同供应商的投标文件载明的项目管理成员或者联系人员不是为同一人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不同供应商的投标文件是否异常-致或者投标报价呈规律性差异</w:t>
            </w:r>
          </w:p>
        </w:tc>
        <w:tc>
          <w:tcPr>
            <w:tcW w:type="dxa" w:w="3322"/>
          </w:tcPr>
          <w:p>
            <w:pPr>
              <w:pStyle w:val="null3"/>
            </w:pPr>
            <w:r>
              <w:rPr>
                <w:rFonts w:ascii="仿宋_GB2312" w:hAnsi="仿宋_GB2312" w:cs="仿宋_GB2312" w:eastAsia="仿宋_GB2312"/>
              </w:rPr>
              <w:t>不同供应商的投标文件未发现异常-致或者投标报价呈规律性差异</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不同供应商的投标保证金是否从同单位或者个人的账户转出</w:t>
            </w:r>
          </w:p>
        </w:tc>
        <w:tc>
          <w:tcPr>
            <w:tcW w:type="dxa" w:w="3322"/>
          </w:tcPr>
          <w:p>
            <w:pPr>
              <w:pStyle w:val="null3"/>
            </w:pPr>
            <w:r>
              <w:rPr>
                <w:rFonts w:ascii="仿宋_GB2312" w:hAnsi="仿宋_GB2312" w:cs="仿宋_GB2312" w:eastAsia="仿宋_GB2312"/>
              </w:rPr>
              <w:t>不同供应商的投标保证金不是从同一单位或者个人的账户转出</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不同供应商的响应文件相互混装。</w:t>
            </w:r>
          </w:p>
        </w:tc>
        <w:tc>
          <w:tcPr>
            <w:tcW w:type="dxa" w:w="3322"/>
          </w:tcPr>
          <w:p>
            <w:pPr>
              <w:pStyle w:val="null3"/>
            </w:pPr>
            <w:r>
              <w:rPr>
                <w:rFonts w:ascii="仿宋_GB2312" w:hAnsi="仿宋_GB2312" w:cs="仿宋_GB2312" w:eastAsia="仿宋_GB2312"/>
              </w:rPr>
              <w:t>不同供应商的响应文件相互混装。</w:t>
            </w:r>
          </w:p>
        </w:tc>
        <w:tc>
          <w:tcPr>
            <w:tcW w:type="dxa" w:w="1661"/>
          </w:tcPr>
          <w:p>
            <w:pPr>
              <w:pStyle w:val="null3"/>
            </w:pPr>
            <w:r>
              <w:rPr>
                <w:rFonts w:ascii="仿宋_GB2312" w:hAnsi="仿宋_GB2312" w:cs="仿宋_GB2312" w:eastAsia="仿宋_GB2312"/>
              </w:rPr>
              <w:t>供应商资格要求.docx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基本分（15分）：除演示参数外，其余参数完全符合、响应招标文件要求，没有负偏离计15分，▲项参数不满足每负偏离一项扣1分，一般参数每负偏离一项扣0.5分，扣完为止。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具体可行的技术方案，内容包含：①需求分析定位性②技术路线先进性、稳定性；③技术路线安全性、可靠性；④重点、难点及解决措施；评审标准：方案各部分内容全面详细、阐述条例清晰详尽、符合本项目采购需求得8分；评审内容每缺一项扣2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有整体实施方案，①总体实施方案；②计划进度安排；③项目团队配备；④项目实施过程中质量保证；⑤安装调试方案；⑥项目验收方案；⑦重难点分析；⑧应急预案；⑨系统建设方案；⑩系统数据对接。评审标准：方案各部分内容全面详细、阐述条例清晰详尽、符合本项目采购需求得10分；评审内容每缺一项扣1分，扣完为止；每有一处有缺陷扣0.5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整体实施方案.docx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投标人须现场进行系统功能演示，演示时长不超过15分钟。演示内容为技术要求中标“■ ”指标项， 从演示的流畅度、技术要求的完整性、系统操作便捷性、界面设计合理性、功能完整性等方面进行综合评价。 满分15分，内容存在1处瑕疵扣3分;扣完为止，未提供演示不计分。 瑕疵指：系统操作过于复杂，界面设置不合理，功能参数不符合招标文件要求，演示中系统出现明显延迟、卡顿次数≥2次，有功能未演示的。 备注：演示供应商须在投标文件递交截止前，携带演示所需设备到西安市雁塔区科技路30号合力紫郡B座21层签到，随后在工作人员安排下在指定会议室进行演示，演示环境自行搭建，演示所需设备及所需网络须由供应商自行准备，现场真实系统演示，不接受PPT、Demo、动画、视频或其他非真实系统形式演示。</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提供供应商2022年12月1日至今类似项目合同（以合同签订日期为准），每提供1个得1分，最高得5分。备注：响应文件中提供合同复印件。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针对本项目有具体的培训方案，该方案包含：①培训时间、培训人数、培训人员、培训方式； ②培训内容应包括所提供产品的原理和技术性能、操作维护方法、安装调试、排除故障等各个方面。评审标准：方案各部分内容全面详细、阐述条例清晰详尽、符合本项目采购需求得4分；评审内容每缺一项扣2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1、具有本地服务机构或团队得5分（提供证明材料），没有不得分。 2、针对本项目有具体的售后服务方案,该方案包含：①拟投入人员不少于2人且时间不少于1年，在此基础上，提供具有实质性提升的售后方案（包含人员及服务时限）；②日常维护保养及项目交付用户后出现故障响应时间及措施。评审标准：方案各部分内容全面详细、阐述条例清晰详尽、符合本项目采购需求得5分；评审内容每缺一项扣2.5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后期服务费</w:t>
            </w:r>
          </w:p>
        </w:tc>
        <w:tc>
          <w:tcPr>
            <w:tcW w:type="dxa" w:w="2492"/>
          </w:tcPr>
          <w:p>
            <w:pPr>
              <w:pStyle w:val="null3"/>
            </w:pPr>
            <w:r>
              <w:rPr>
                <w:rFonts w:ascii="仿宋_GB2312" w:hAnsi="仿宋_GB2312" w:cs="仿宋_GB2312" w:eastAsia="仿宋_GB2312"/>
              </w:rPr>
              <w:t>各投标人根据项目建设情况及医疗软件项目行业现状，以每年不超过投标金额的8%对项目免费维保期满后的服务费进行报价，按报价比例赋分。投标金额的8%不得分，投标金额的7%计0.5分，投标金额的6%计1分；投标金额的5%计1.5分，投标金额的4%计2分，投标金额的3%计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详见附件：整体实施方案.docx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