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版本号：SXZCX2025-03320251204001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CT维保（飞利浦Brilliance64CT维保与飞利浦IngenuityCore128CT维保）项目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SXZCX2025-033</w:t>
      </w:r>
      <w:r>
        <w:br/>
      </w:r>
      <w:r>
        <w:br/>
      </w:r>
      <w:r>
        <w:br/>
      </w:r>
    </w:p>
    <w:p>
      <w:pPr>
        <w:pStyle w:val="null3"/>
        <w:jc w:val="center"/>
        <w:outlineLvl w:val="2"/>
      </w:pPr>
      <w:r>
        <w:rPr>
          <w:rFonts w:ascii="仿宋_GB2312" w:hAnsi="仿宋_GB2312" w:cs="仿宋_GB2312" w:eastAsia="仿宋_GB2312"/>
          <w:sz w:val="28"/>
          <w:b/>
        </w:rPr>
        <w:t>西安医学院第二附属医院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西安医学院第二附属医院</w:t>
      </w:r>
      <w:r>
        <w:rPr>
          <w:rFonts w:ascii="仿宋_GB2312" w:hAnsi="仿宋_GB2312" w:cs="仿宋_GB2312" w:eastAsia="仿宋_GB2312"/>
        </w:rPr>
        <w:t>委托，拟对</w:t>
      </w:r>
      <w:r>
        <w:rPr>
          <w:rFonts w:ascii="仿宋_GB2312" w:hAnsi="仿宋_GB2312" w:cs="仿宋_GB2312" w:eastAsia="仿宋_GB2312"/>
        </w:rPr>
        <w:t>CT维保（飞利浦Brilliance64CT维保与飞利浦IngenuityCore128CT维保）项目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SXZCX2025-033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CT维保（飞利浦Brilliance64CT维保与飞利浦IngenuityCore128CT维保）项目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本次采购服务为Philips Brilliance 64排128层纳米CT、Philips Ingenuity Core128CT除球管之外的整机全保服务。具体内容及要求详见竞争性磋商文件。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采购包1（CT维保）：属于专门面向中小企业采购。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誉要求：截止至投标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4、医疗器械经营备案凭证：投标人必须提供第二类医疗器械经营备案凭证；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灞桥区纺织城东街167号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西安医学院第二附属医院经办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029-83513612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029-85243962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印发&lt;招标代理服务收费管理暂行办法&gt;的通知》（计价格[2002]1980号）和国家发展改革委员会办公厅颁发的《关于招标代理服务收费有关问题的通知》（发改办价格[2003]857号）规定标准（按标段）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西安医学院第二附属医院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西安医学院第二附属医院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联系电话：029-85243962</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本次采购服务为Philips Brilliance 64排128层纳米CT、Philips Ingenuity Core128CT除球管之外的整机全保服务。具体内容及要求详见招标文件、答疑文件等所包含的全部内容。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CT维保（飞利浦Brilliance 64CT维保与飞利浦Ingenuity Core 128CT维保）项目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标的名称：CT维保（飞利浦Brilliance 64CT维保与飞利浦Ingenuity Core 128CT维保）项目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1"/>
                <w:color w:val="333333"/>
              </w:rPr>
              <w:t>保修设备：</w:t>
            </w:r>
          </w:p>
          <w:p>
            <w:pPr>
              <w:pStyle w:val="null3"/>
              <w:ind w:firstLine="478"/>
              <w:jc w:val="both"/>
            </w:pPr>
            <w:r>
              <w:rPr>
                <w:rFonts w:ascii="仿宋_GB2312" w:hAnsi="仿宋_GB2312" w:cs="仿宋_GB2312" w:eastAsia="仿宋_GB2312"/>
                <w:sz w:val="21"/>
                <w:color w:val="333333"/>
              </w:rPr>
              <w:t>1）设备型号1：Philips  Brilliance 64排128层纳米CT；</w:t>
            </w:r>
          </w:p>
          <w:p>
            <w:pPr>
              <w:pStyle w:val="null3"/>
              <w:ind w:firstLine="478"/>
              <w:jc w:val="both"/>
            </w:pPr>
            <w:r>
              <w:rPr>
                <w:rFonts w:ascii="仿宋_GB2312" w:hAnsi="仿宋_GB2312" w:cs="仿宋_GB2312" w:eastAsia="仿宋_GB2312"/>
                <w:sz w:val="21"/>
                <w:color w:val="333333"/>
              </w:rPr>
              <w:t>2）设备型号2：Philips Ingenuity Core  128  CT；</w:t>
            </w:r>
          </w:p>
          <w:p>
            <w:pPr>
              <w:pStyle w:val="null3"/>
              <w:ind w:firstLine="478"/>
              <w:jc w:val="both"/>
            </w:pPr>
            <w:r>
              <w:rPr>
                <w:rFonts w:ascii="仿宋_GB2312" w:hAnsi="仿宋_GB2312" w:cs="仿宋_GB2312" w:eastAsia="仿宋_GB2312"/>
                <w:sz w:val="21"/>
                <w:color w:val="333333"/>
              </w:rPr>
              <w:t>2、保修类型：除球管之外的整机全保；</w:t>
            </w:r>
          </w:p>
          <w:p>
            <w:pPr>
              <w:pStyle w:val="null3"/>
              <w:ind w:firstLine="478"/>
              <w:jc w:val="both"/>
            </w:pPr>
            <w:r>
              <w:rPr>
                <w:rFonts w:ascii="仿宋_GB2312" w:hAnsi="仿宋_GB2312" w:cs="仿宋_GB2312" w:eastAsia="仿宋_GB2312"/>
                <w:sz w:val="21"/>
                <w:color w:val="333333"/>
              </w:rPr>
              <w:t>3、保修服务涵盖内容：</w:t>
            </w:r>
          </w:p>
          <w:p>
            <w:pPr>
              <w:pStyle w:val="null3"/>
              <w:ind w:firstLine="478"/>
              <w:jc w:val="both"/>
            </w:pPr>
            <w:r>
              <w:rPr>
                <w:rFonts w:ascii="仿宋_GB2312" w:hAnsi="仿宋_GB2312" w:cs="仿宋_GB2312" w:eastAsia="仿宋_GB2312"/>
                <w:sz w:val="21"/>
                <w:color w:val="333333"/>
              </w:rPr>
              <w:t>1）全年不限次人工服务，2小时电话响应；24小时内到现场服务，以保证维修的及时性。</w:t>
            </w:r>
          </w:p>
          <w:p>
            <w:pPr>
              <w:pStyle w:val="null3"/>
              <w:ind w:firstLine="478"/>
              <w:jc w:val="both"/>
            </w:pPr>
            <w:r>
              <w:rPr>
                <w:rFonts w:ascii="仿宋_GB2312" w:hAnsi="仿宋_GB2312" w:cs="仿宋_GB2312" w:eastAsia="仿宋_GB2312"/>
                <w:sz w:val="21"/>
                <w:color w:val="333333"/>
              </w:rPr>
              <w:t>2）每年免费提供一人次为期至少一周的CT技术培训。</w:t>
            </w:r>
          </w:p>
          <w:p>
            <w:pPr>
              <w:pStyle w:val="null3"/>
              <w:ind w:firstLine="478"/>
              <w:jc w:val="both"/>
            </w:pPr>
            <w:r>
              <w:rPr>
                <w:rFonts w:ascii="仿宋_GB2312" w:hAnsi="仿宋_GB2312" w:cs="仿宋_GB2312" w:eastAsia="仿宋_GB2312"/>
                <w:sz w:val="21"/>
                <w:color w:val="333333"/>
              </w:rPr>
              <w:t>3）全年每个季度定期（四次）专业维护保养服务：设备及系统的定期的安全检查、影像质量的定期检查（确保图像质量能够达到临床质控需求）球管使用情况检查、设备运行状态的定期检查、设备定期的除尘保养服务；定期对设备的数据进行备份，确保系统能按照制造商的产品规格运行的标准来维修。且提供完整的维保记录，设备科和使用科室各一份。</w:t>
            </w:r>
          </w:p>
          <w:p>
            <w:pPr>
              <w:pStyle w:val="null3"/>
              <w:ind w:firstLine="478"/>
              <w:jc w:val="both"/>
            </w:pPr>
            <w:r>
              <w:rPr>
                <w:rFonts w:ascii="仿宋_GB2312" w:hAnsi="仿宋_GB2312" w:cs="仿宋_GB2312" w:eastAsia="仿宋_GB2312"/>
                <w:sz w:val="21"/>
                <w:color w:val="333333"/>
              </w:rPr>
              <w:t>4）除球管以外其他主机配件无限次维保。80%以上配件12小时内到达现场；100%以上配件24小时内到达现场。</w:t>
            </w:r>
          </w:p>
          <w:p>
            <w:pPr>
              <w:pStyle w:val="null3"/>
              <w:ind w:firstLine="478"/>
              <w:jc w:val="both"/>
            </w:pPr>
            <w:r>
              <w:rPr>
                <w:rFonts w:ascii="仿宋_GB2312" w:hAnsi="仿宋_GB2312" w:cs="仿宋_GB2312" w:eastAsia="仿宋_GB2312"/>
                <w:sz w:val="21"/>
                <w:color w:val="333333"/>
              </w:rPr>
              <w:t>5）本次维保服务虽然不含球管保修，但要求投标人要有充足的球管供应能力，确保36小时内球管更换完成（含替代球管）。</w:t>
            </w:r>
          </w:p>
          <w:p>
            <w:pPr>
              <w:pStyle w:val="null3"/>
              <w:ind w:firstLine="478"/>
              <w:jc w:val="both"/>
            </w:pPr>
            <w:r>
              <w:rPr>
                <w:rFonts w:ascii="仿宋_GB2312" w:hAnsi="仿宋_GB2312" w:cs="仿宋_GB2312" w:eastAsia="仿宋_GB2312"/>
                <w:sz w:val="21"/>
                <w:color w:val="333333"/>
              </w:rPr>
              <w:t>6）要保证备件质量，在同一次故障中备件更换不得超过三次；</w:t>
            </w:r>
          </w:p>
          <w:p>
            <w:pPr>
              <w:pStyle w:val="null3"/>
              <w:spacing w:before="45"/>
              <w:ind w:right="90" w:firstLine="478"/>
              <w:jc w:val="both"/>
            </w:pPr>
            <w:r>
              <w:rPr>
                <w:rFonts w:ascii="仿宋_GB2312" w:hAnsi="仿宋_GB2312" w:cs="仿宋_GB2312" w:eastAsia="仿宋_GB2312"/>
                <w:sz w:val="21"/>
                <w:color w:val="333333"/>
              </w:rPr>
              <w:t>★7）提供设备年度维保计划、保养措施，保证设备正常运转，全年开机率≥97%（折合一年故障停机时间不超过11天，超停1天保修顺延10日并赔偿院方经济损失2000元，保修顺延期视同正式保修）；</w:t>
            </w:r>
          </w:p>
          <w:p>
            <w:pPr>
              <w:pStyle w:val="null3"/>
              <w:ind w:firstLine="478"/>
              <w:jc w:val="both"/>
            </w:pPr>
            <w:r>
              <w:rPr>
                <w:rFonts w:ascii="仿宋_GB2312" w:hAnsi="仿宋_GB2312" w:cs="仿宋_GB2312" w:eastAsia="仿宋_GB2312"/>
                <w:sz w:val="21"/>
                <w:color w:val="333333"/>
              </w:rPr>
              <w:t>8）提供维保公司远程设备诊断服务（建立设备维修专用微信群，及时动态掌握设备故障情况）及软件的免费升级服务；</w:t>
            </w:r>
          </w:p>
          <w:p>
            <w:pPr>
              <w:pStyle w:val="null3"/>
              <w:ind w:firstLine="478"/>
              <w:jc w:val="both"/>
            </w:pPr>
            <w:r>
              <w:rPr>
                <w:rFonts w:ascii="仿宋_GB2312" w:hAnsi="仿宋_GB2312" w:cs="仿宋_GB2312" w:eastAsia="仿宋_GB2312"/>
                <w:sz w:val="21"/>
                <w:color w:val="333333"/>
              </w:rPr>
              <w:t>9）维保服务包含故障排除及保养所涉及的专业工程师的人工费用、交通差旅费用等相关费用。</w:t>
            </w:r>
          </w:p>
          <w:p>
            <w:pPr>
              <w:pStyle w:val="null3"/>
              <w:ind w:firstLine="478"/>
              <w:jc w:val="both"/>
            </w:pPr>
            <w:r>
              <w:rPr>
                <w:rFonts w:ascii="仿宋_GB2312" w:hAnsi="仿宋_GB2312" w:cs="仿宋_GB2312" w:eastAsia="仿宋_GB2312"/>
                <w:sz w:val="21"/>
                <w:color w:val="333333"/>
              </w:rPr>
              <w:t>4、质量控制检测要求：</w:t>
            </w:r>
          </w:p>
          <w:p>
            <w:pPr>
              <w:pStyle w:val="null3"/>
              <w:ind w:firstLine="478"/>
              <w:jc w:val="both"/>
            </w:pPr>
            <w:r>
              <w:rPr>
                <w:rFonts w:ascii="仿宋_GB2312" w:hAnsi="仿宋_GB2312" w:cs="仿宋_GB2312" w:eastAsia="仿宋_GB2312"/>
                <w:sz w:val="21"/>
                <w:color w:val="333333"/>
              </w:rPr>
              <w:t>4.1必须按照WS519—2019《X 射线计算机体层摄影装置质量控制检测规范》执行，重大维修后应进行验收检测，并定期进行稳定性检测。</w:t>
            </w:r>
          </w:p>
          <w:p>
            <w:pPr>
              <w:pStyle w:val="null3"/>
              <w:ind w:firstLine="478"/>
              <w:jc w:val="both"/>
            </w:pPr>
            <w:r>
              <w:rPr>
                <w:rFonts w:ascii="仿宋_GB2312" w:hAnsi="仿宋_GB2312" w:cs="仿宋_GB2312" w:eastAsia="仿宋_GB2312"/>
                <w:sz w:val="21"/>
                <w:color w:val="333333"/>
              </w:rPr>
              <w:t>4.2 验收检测应委托有资质的技术服务机构进行，稳定性检测由厂家授权的专业工程师完成。</w:t>
            </w:r>
          </w:p>
          <w:p>
            <w:pPr>
              <w:pStyle w:val="null3"/>
              <w:ind w:firstLine="478"/>
              <w:jc w:val="both"/>
            </w:pPr>
            <w:r>
              <w:rPr>
                <w:rFonts w:ascii="仿宋_GB2312" w:hAnsi="仿宋_GB2312" w:cs="仿宋_GB2312" w:eastAsia="仿宋_GB2312"/>
                <w:sz w:val="21"/>
                <w:color w:val="333333"/>
              </w:rPr>
              <w:t>4.3验收检测项目包含：诊断床定位精度、定位光精度、扫描架倾角精度、重建层厚偏差、CTDIw、CT值（水）均匀性、噪声、高对比分辨力、低对比可探测能力、CT值线性。定期稳定性检测项目包含：每个月进行一次诊断床定位精度、CT值（水）均匀性、噪声检测；每年进行一次重建层厚偏差、CTDIw检测。各检测项目判定标准应符合WS519—2019《X 射线计算机 夫人  体层摄影装置质量控制检测规范》的要求。</w:t>
            </w:r>
          </w:p>
          <w:p>
            <w:pPr>
              <w:pStyle w:val="null3"/>
              <w:ind w:firstLine="478"/>
              <w:jc w:val="both"/>
            </w:pPr>
            <w:r>
              <w:rPr>
                <w:rFonts w:ascii="仿宋_GB2312" w:hAnsi="仿宋_GB2312" w:cs="仿宋_GB2312" w:eastAsia="仿宋_GB2312"/>
                <w:sz w:val="21"/>
                <w:color w:val="333333"/>
              </w:rPr>
              <w:t>4.4 检测报告的基本内容应包括：委托单位基本信息、设备信息、检测项目、相应检测要求、检测结果及其相应标准要求。</w:t>
            </w:r>
          </w:p>
          <w:p>
            <w:pPr>
              <w:pStyle w:val="null3"/>
              <w:ind w:firstLine="478"/>
              <w:jc w:val="both"/>
            </w:pPr>
            <w:r>
              <w:rPr>
                <w:rFonts w:ascii="仿宋_GB2312" w:hAnsi="仿宋_GB2312" w:cs="仿宋_GB2312" w:eastAsia="仿宋_GB2312"/>
                <w:sz w:val="21"/>
                <w:color w:val="333333"/>
              </w:rPr>
              <w:t>★5、原厂售后维保公司必须提供生产厂家的相关产品维修培训证明，其他维保公司提供有维修资质工程师的技术服务，并提供维保团队专业工程师名单及其近半年社保缴纳证明材料；</w:t>
            </w:r>
          </w:p>
          <w:p>
            <w:pPr>
              <w:pStyle w:val="null3"/>
              <w:ind w:firstLine="478"/>
              <w:jc w:val="both"/>
            </w:pPr>
            <w:r>
              <w:rPr>
                <w:rFonts w:ascii="仿宋_GB2312" w:hAnsi="仿宋_GB2312" w:cs="仿宋_GB2312" w:eastAsia="仿宋_GB2312"/>
                <w:sz w:val="21"/>
                <w:color w:val="333333"/>
              </w:rPr>
              <w:t>6、投标人必须具备特有的客户服务专线电话，全年365天开通，全天24小时服务；</w:t>
            </w:r>
          </w:p>
          <w:p>
            <w:pPr>
              <w:pStyle w:val="null3"/>
              <w:jc w:val="both"/>
            </w:pPr>
            <w:r>
              <w:rPr>
                <w:rFonts w:ascii="仿宋_GB2312" w:hAnsi="仿宋_GB2312" w:cs="仿宋_GB2312" w:eastAsia="仿宋_GB2312"/>
                <w:sz w:val="21"/>
                <w:color w:val="333333"/>
              </w:rPr>
              <w:t>7、其他特殊情况双方协商解决。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依据采购方要求，具体详见磋商文件中技术要求。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依据采购方要求，具体详见磋商文件中技术要求。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自合同签订之日起维保期限一年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西安医学院第二附属医院（甲方指定地点）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必须按照WS519—2019《X 射线计算机体层摄影装置质量控制检测规范》执行，重大维修后应进行验收检测，并定期进行稳定性检测。 1、验收检测应委托有资质的技术服务机构进行，稳定性检测由厂家授权的专业工程师完成。 2、验收检测项目包含：诊断床定位精度、定位光精度、扫描架倾角精度、重建层厚偏差、CTDIw、CT值（水）均匀性、噪声、高对比分辨力、低对比可探测能力、CT值线性。定期稳定性检测项目包含：每个月进行一次诊断床定位精度、CT值（水）均匀性、噪声检测；每年进行一次重建层厚偏差、CTDIw检测。各检测项目判定标准应符合WS519—2019《X 射线计算机体层摄影装置质量控制检测规范》的要求。 3、检测报告的基本内容应包括：委托单位基本信息、设备信息、检测项目、相应检测要求、检测结果及其相应标准要求。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每半年付维保总费用的1/2</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每半年付维保总费用的1/2</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按《民法典》《政府采购法》等相关规定和本合同的约定执行。 （二）乙方逾期交货，每逾期一天应支付合同总额0.5%的违约金，直至交货为止。逾期交货超过20天，甲方有权终止合同。 （三）未按合同要求提供货物或质量不能满足要求，乙方必须无条件更换，提高技术，完善质量，否则，甲方有权终止合同。; 解决争议的方法:本合同在履行过程中发生的争议，由甲、乙双方当事人协商解决，协商不成的提交甲方所在地人民法院起诉。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1.有效的营业执照副本、组织机构代码证、税务登记证（国、地税）（已办理三证合一或五证合一的只需提供营业执照副本）； 2.法定代表人授权书及被授权人身份证和法定代表人身份证（加盖公章）（法定代表人直接参加投标，只须提交其身份证原件及复印件加盖公章）； 3.税收缴纳证明：提供自2025年1月1日至投标截止日前已缴纳的连续三个月纳税证明或完税证明（任意税种），依法免税的单位应提供相关证明材料； 4.社会保障资金缴纳证明：提供自2025年1月1日至投标截止日前已缴纳的连续三个月社会保障资金缴存单据或社保机构开具的社会保险参保缴费情况证明，依法不需要缴纳社会保障资金的单位应提供相关证明材料； 5.供应商应具有履行合同所必需的设备和专业技术能力：供应商须提供《具有履行合同所必需的设备和专业技术能力的承诺书》； 6.参加政府采购活动前 3 年内在经营活动中没有重大违法记录的书面声明（格式详见附件）。同时提供满足政府采购法第二十二条规定的承诺函，供应商需在项目电子化交易系统中按要求填写《投标函》完成承诺并进行电子签章。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财务审计报告（新成立的公司除外），财务报告必须为会计事务所出具赋码审计报告或开标截止日前三个月内其基本存款账户开户银行出具的资信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医疗器械经营备案凭证</w:t>
            </w:r>
          </w:p>
        </w:tc>
        <w:tc>
          <w:tcPr>
            <w:tcW w:type="dxa" w:w="3322"/>
          </w:tcPr>
          <w:p>
            <w:pPr>
              <w:pStyle w:val="null3"/>
            </w:pPr>
            <w:r>
              <w:rPr>
                <w:rFonts w:ascii="仿宋_GB2312" w:hAnsi="仿宋_GB2312" w:cs="仿宋_GB2312" w:eastAsia="仿宋_GB2312"/>
              </w:rPr>
              <w:t>投标人必须提供第二类医疗器械经营备案凭证；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投标文件上法定代表人或被授权人的签字齐全并加盖公章。投标有效期满足招标文件中的规定。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按要求响应，不能有任何采购人不能接受的附加条件。</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磋商报价得分=(磋商基准价／磋商报价)×价格权值（即15%）×100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根据供应商对本次维保项目内容的理解制定的服务方案进行赋分（包含但不限于系统维保、更换、检测方案；维保计划；保养措施；系统硬件设备运维服务、技术支持服务、故障处理等）： 1、维保方案流程完整、清晰、合理，对本次需维保设备的结构完全熟悉，完全符合本次采购期限内的维保服务的要求得20分； 2、维保方案流程比较完整清晰、具体、合理，对本次需维保设备的结构比较熟悉，基本符合本次采购期限内的维保服务的要求但略有欠缺得15分； 3、维保方案流程相对完整，对本次需维保设备的结构不够熟悉，不能完全符合本次采购期限内的维保服务要求并存在欠缺问题得8分； 4、维保方案流程模糊，不符合本次采购期限内的维保服务要求并存在较大欠缺问题得3分； 5、未提供不得分。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针对本项目及采购人实际需求提供详细具体可行的服务措施承诺、合同条款的承诺、对服务期限内服务质量、人员到位情况的承诺、阐明可提供的咨询或后期可优化的有利于采购方的其他服务内容等） 1、内容详细全面、方案设计合理、架构完整、层次清楚、完善可行的计15分； 2、内容不够详细，方案及服务措施承诺内容有部分欠缺得10分； 3、可行服务措施承诺或提供的服务承诺内容不合理，不完整。不利于采购方项目项目实施的得5分；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供应商针对本项目提供健全的服务质量、保障措施与计划，确保设备使用可靠、稳定、性能充分发挥。 ①拟投入的设备稳定、措施全面的，计5分； ②针对以上要求，有1项欠缺或描述不详细的，计3分； ③针对以上要求，有2项欠缺的，计1分；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1、维保服务所提供的除球管以外所需全部部件及备品备件符合国家及行业标准且能够与原设备配套兼容，具备合法、稳定的备件来源渠道以确保设备维修的及时性； （1）证明材料齐全，内容完整，描述清晰，得5分； （2）证明材料齐全，内容较完整，描述简单，得3分； （3）证明材料不全，内容笼统，描述简单，得1分； （4）未提供不得分。 2、投标人应有一定的零备件储存备货，能够保证维修过程中设备零配件的及时更换，①提供备品备件库证明（地址及使用权或所有权的证明材料）；②常用零备件的证明材料（包括但不限于：零备件库存列表、图片等）。满分5分。每有一项缺项扣2.5分，每一项有缺陷扣1.5分。缺陷指项目需求不匹配或不能满足项目实施要求及其他不利因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服务响应及应急方案</w:t>
            </w:r>
          </w:p>
        </w:tc>
        <w:tc>
          <w:tcPr>
            <w:tcW w:type="dxa" w:w="2492"/>
          </w:tcPr>
          <w:p>
            <w:pPr>
              <w:pStyle w:val="null3"/>
            </w:pPr>
            <w:r>
              <w:rPr>
                <w:rFonts w:ascii="仿宋_GB2312" w:hAnsi="仿宋_GB2312" w:cs="仿宋_GB2312" w:eastAsia="仿宋_GB2312"/>
              </w:rPr>
              <w:t>供应商需满足采购人所提出的售后服务相关响应要求并制定合理高效的应急方案，对于出现故障及其他特殊状况时能够及时响应采购人需求并高效提供技术支持及备品备件更换替换等服务。 售后响应速度及时且针对设备可能出现的问题及重大故障，有全面可行的应急措施和解决方案得10分。 售后响应速度一般、且针对设备可能出现的问题及重大故障、提供的应急措施和解决方案基本符合要求但不够全面得6分 售后响应速度慢、维修时间过长且未提供可能出现问题及重大故障、时应急措施和解决方案或所提供的应急方案不合理得3分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供应商针对本项目服务需求制定完善、可行的技术培训计划，协助使用单位做好设备维修维保、远程培训及新技术培训等相关工作（包括但不限于具体培训的时间、培训地点、培训形式、培训内容等）。 1、培训方案全面完善、切实可行得5分； 2、培训方案较完善，可行性有欠缺得3分；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针对供应商拟投入维保服务工作人员配置结构完整、数量、资质、专业技术能力、从业工作经验等，进行综合赋分： （1）管理组织架构合理，人员配备完善，完全满足采购人需求计7分，服务人员如具备原厂相关产品维修培训证明额外得3分，满分10分。 （2）有管理组织架构、人员配备，能保证项目顺利实施，基本满足采购人需求计5分； （3）管理组织架构，人员配备欠缺，不完全满足采购人需求的计3分； （4）未提供不得分； 评审依据：需提供维保服务人员包括但不限于职称证书、培训证书、专业资质证书、从业工作经验证明文件等材料，未提供的或提供不全均不得分。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提供投标人2022年11月1日至今(以合同签订日期为准)同类型维保项目业绩合同及服务单位评价表，每份计2分，满分10分。 评审依据：投标人需提供合同及服务单位评价表的复印件或扫描件加盖公章，时间以签订时间为准，未提供的或无效合同及服务单位评价表均不得分。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详见附件：合同部分条款.docx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