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版本号：SZT2025-SN-SC-ZC-HW-1216.1B220251229001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确定性专网通信验证平台项目(三次)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SZT2025-SN-SC-ZC-HW-1216.1B2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确定性专网通信验证平台项目(三次)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SZT2025-SN-SC-ZC-HW-1216.1B2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确定性专网通信验证平台项目(三次)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满足现代通信网，IP网络实验等相关课程的教学需求，为相关专业的本科生和研究生提供确定性网络相关研究与实验环境。平台支持时间触发以太网等新型确定性专网通信协议，构建面向专网通信的实验场景与演示验证平台，完成确定性网络的关键理论验证与网络性能分析；需满足的要求:该平台包含时间触发以太网交换机，端系统设备以及配套网络配置管理工具，能够对不同类型端系统以及TT、RC、BE等多种业务的支持能力进行实验验证，支持新型算法的部署验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1、授权委托书：法定代表人参加投标时，提供法定代表人证明书；授权代表参加投标时，提供法定代表人授权书；非法人单位参照执行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西安市莲湖区高新四路1号高科广场A座1001室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代理服务费收费标准：参照国家计委颁布的《招标代理服务收费管理暂行办法》（计价格[2002]1980号）及发改办价格[2003]857号文件的规定以成交价为基础按货物类标准下浮20%收取。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现代通信网，IP网络实验等相关课程的教学需求，为相关专业的本科生和研究生提供确定性网络相关研究与实验环境。平台支持时间触发以太网等新型确定性专网通信协议，构建面向专网通信的实验场景与演示验证平台，完成确定性网络的关键理论验证与网络性能分析；需满足的要求:该平台包含时间触发以太网交换机，端系统设备以及配套网络配置管理工具，能够对不同类型端系统以及TT、RC、BE等多种业务的支持能力进行实验验证，支持新型算法的部署验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确定性专网通信验证平台项目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标的名称：确定性专网通信验证平台项目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确定性网络交换机（核心产品）</w:t>
            </w:r>
          </w:p>
          <w:p>
            <w:pPr>
              <w:pStyle w:val="null3"/>
            </w:pPr>
            <w:r>
              <w:rPr>
                <w:rFonts w:ascii="仿宋_GB2312" w:hAnsi="仿宋_GB2312" w:cs="仿宋_GB2312" w:eastAsia="仿宋_GB2312"/>
              </w:rPr>
              <w:t>1.确定性网络交换机1台，用于确定性以太网环境下的高性能流量转发。</w:t>
            </w:r>
          </w:p>
          <w:p>
            <w:pPr>
              <w:pStyle w:val="null3"/>
            </w:pPr>
            <w:r>
              <w:rPr>
                <w:rFonts w:ascii="仿宋_GB2312" w:hAnsi="仿宋_GB2312" w:cs="仿宋_GB2312" w:eastAsia="仿宋_GB2312"/>
              </w:rPr>
              <w:t>2.以太网接口不少于20个，包括16个1G速率RJ45千兆网口及4个10G SFP/SFP+万兆光口；</w:t>
            </w:r>
            <w:r>
              <w:rPr>
                <w:rFonts w:ascii="仿宋_GB2312" w:hAnsi="仿宋_GB2312" w:cs="仿宋_GB2312" w:eastAsia="仿宋_GB2312"/>
                <w:b/>
              </w:rPr>
              <w:t>该指标点供应商需提供相应的产品设备技术性能证明材料（包括但不限于：设备相关技术资料、彩页样本、官网截图、检测报告等）；</w:t>
            </w:r>
          </w:p>
          <w:p>
            <w:pPr>
              <w:pStyle w:val="null3"/>
            </w:pPr>
            <w:r>
              <w:rPr>
                <w:rFonts w:ascii="仿宋_GB2312" w:hAnsi="仿宋_GB2312" w:cs="仿宋_GB2312" w:eastAsia="仿宋_GB2312"/>
              </w:rPr>
              <w:t>3.10/100/1000M 网络自适应；</w:t>
            </w:r>
          </w:p>
          <w:p>
            <w:pPr>
              <w:pStyle w:val="null3"/>
            </w:pPr>
            <w:r>
              <w:rPr>
                <w:rFonts w:ascii="仿宋_GB2312" w:hAnsi="仿宋_GB2312" w:cs="仿宋_GB2312" w:eastAsia="仿宋_GB2312"/>
              </w:rPr>
              <w:t>4.支持AS6802同步协议，同步精度≤300ns；</w:t>
            </w:r>
            <w:r>
              <w:rPr>
                <w:rFonts w:ascii="仿宋_GB2312" w:hAnsi="仿宋_GB2312" w:cs="仿宋_GB2312" w:eastAsia="仿宋_GB2312"/>
                <w:b/>
              </w:rPr>
              <w:t>该指标点供应商需提供相应的产品设备技术性能证明材料（包括但不限于：设备相关技术资料、彩页样本、官网截图、检测报告等）；</w:t>
            </w:r>
          </w:p>
          <w:p>
            <w:pPr>
              <w:pStyle w:val="null3"/>
            </w:pPr>
            <w:r>
              <w:rPr>
                <w:rFonts w:ascii="仿宋_GB2312" w:hAnsi="仿宋_GB2312" w:cs="仿宋_GB2312" w:eastAsia="仿宋_GB2312"/>
              </w:rPr>
              <w:t>5.支持时间触发（TT）/速率受限（RC）/尽力而为（BE）三种不同类型业务，TT业务按时间隔离；</w:t>
            </w:r>
          </w:p>
          <w:p>
            <w:pPr>
              <w:pStyle w:val="null3"/>
            </w:pPr>
            <w:r>
              <w:rPr>
                <w:rFonts w:ascii="仿宋_GB2312" w:hAnsi="仿宋_GB2312" w:cs="仿宋_GB2312" w:eastAsia="仿宋_GB2312"/>
              </w:rPr>
              <w:t>6.支持最大4096条连接；</w:t>
            </w:r>
          </w:p>
          <w:p>
            <w:pPr>
              <w:pStyle w:val="null3"/>
            </w:pPr>
            <w:r>
              <w:rPr>
                <w:rFonts w:ascii="仿宋_GB2312" w:hAnsi="仿宋_GB2312" w:cs="仿宋_GB2312" w:eastAsia="仿宋_GB2312"/>
              </w:rPr>
              <w:t>7.支持流量过滤、警管、QoS优先级、以及流量整形功能；</w:t>
            </w:r>
          </w:p>
          <w:p>
            <w:pPr>
              <w:pStyle w:val="null3"/>
            </w:pPr>
            <w:r>
              <w:rPr>
                <w:rFonts w:ascii="仿宋_GB2312" w:hAnsi="仿宋_GB2312" w:cs="仿宋_GB2312" w:eastAsia="仿宋_GB2312"/>
              </w:rPr>
              <w:t>8.支持VLAN功能，具备最大4K个vlan数；</w:t>
            </w:r>
          </w:p>
          <w:p>
            <w:pPr>
              <w:pStyle w:val="null3"/>
            </w:pPr>
            <w:r>
              <w:rPr>
                <w:rFonts w:ascii="仿宋_GB2312" w:hAnsi="仿宋_GB2312" w:cs="仿宋_GB2312" w:eastAsia="仿宋_GB2312"/>
              </w:rPr>
              <w:t>9. 支持SNMP网络管理协议；</w:t>
            </w:r>
          </w:p>
          <w:p>
            <w:pPr>
              <w:pStyle w:val="null3"/>
            </w:pPr>
            <w:r>
              <w:rPr>
                <w:rFonts w:ascii="仿宋_GB2312" w:hAnsi="仿宋_GB2312" w:cs="仿宋_GB2312" w:eastAsia="仿宋_GB2312"/>
              </w:rPr>
              <w:t>10.支持交换机配置文件远程加载，支持615A、TFTP等文件加载协议；</w:t>
            </w:r>
          </w:p>
          <w:p>
            <w:pPr>
              <w:pStyle w:val="null3"/>
            </w:pPr>
            <w:r>
              <w:rPr>
                <w:rFonts w:ascii="仿宋_GB2312" w:hAnsi="仿宋_GB2312" w:cs="仿宋_GB2312" w:eastAsia="仿宋_GB2312"/>
              </w:rPr>
              <w:t>11. 具备安全隔离，线速转发，即插即用，流量控制阻塞预防功能。</w:t>
            </w:r>
          </w:p>
          <w:p>
            <w:pPr>
              <w:pStyle w:val="null3"/>
            </w:pPr>
            <w:r>
              <w:rPr>
                <w:rFonts w:ascii="仿宋_GB2312" w:hAnsi="仿宋_GB2312" w:cs="仿宋_GB2312" w:eastAsia="仿宋_GB2312"/>
                <w:sz w:val="21"/>
              </w:rPr>
              <w:t>配置要求</w:t>
            </w:r>
            <w:r>
              <w:rPr>
                <w:rFonts w:ascii="仿宋_GB2312" w:hAnsi="仿宋_GB2312" w:cs="仿宋_GB2312" w:eastAsia="仿宋_GB2312"/>
                <w:sz w:val="21"/>
              </w:rPr>
              <w:t>：设备主体，说明书，电源，线缆等。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确定性网络终端</w:t>
            </w:r>
          </w:p>
          <w:p>
            <w:pPr>
              <w:pStyle w:val="null3"/>
            </w:pPr>
            <w:r>
              <w:rPr>
                <w:rFonts w:ascii="仿宋_GB2312" w:hAnsi="仿宋_GB2312" w:cs="仿宋_GB2312" w:eastAsia="仿宋_GB2312"/>
              </w:rPr>
              <w:t>1.确定性网络终端节点机6台，与交换机相连搭建一套完整的确定性网络的验证平台，用于实践教学与科学研究。支持时钟同步、时间触发调度、数据完整性验证三大核心功能，能够进行网络协议适配和数据收发。</w:t>
            </w:r>
          </w:p>
          <w:p>
            <w:pPr>
              <w:pStyle w:val="null3"/>
            </w:pPr>
            <w:r>
              <w:rPr>
                <w:rFonts w:ascii="仿宋_GB2312" w:hAnsi="仿宋_GB2312" w:cs="仿宋_GB2312" w:eastAsia="仿宋_GB2312"/>
              </w:rPr>
              <w:t>2.每个终端支持不少于2个1G速率RJ45千兆网口或2个10G SFP/SFP+万兆光口；</w:t>
            </w:r>
          </w:p>
          <w:p>
            <w:pPr>
              <w:pStyle w:val="null3"/>
            </w:pPr>
            <w:r>
              <w:rPr>
                <w:rFonts w:ascii="仿宋_GB2312" w:hAnsi="仿宋_GB2312" w:cs="仿宋_GB2312" w:eastAsia="仿宋_GB2312"/>
              </w:rPr>
              <w:t>3.支持AS6802同步协议，同步精度≤300ns；</w:t>
            </w:r>
            <w:r>
              <w:rPr>
                <w:rFonts w:ascii="仿宋_GB2312" w:hAnsi="仿宋_GB2312" w:cs="仿宋_GB2312" w:eastAsia="仿宋_GB2312"/>
                <w:b/>
              </w:rPr>
              <w:t>该指标点供应商需提供相应的产品设备技术性能证明材料（包括但不限于：设备相关技术资料、彩页样本、官网截图、检测报告等）；</w:t>
            </w:r>
          </w:p>
          <w:p>
            <w:pPr>
              <w:pStyle w:val="null3"/>
            </w:pPr>
            <w:r>
              <w:rPr>
                <w:rFonts w:ascii="仿宋_GB2312" w:hAnsi="仿宋_GB2312" w:cs="仿宋_GB2312" w:eastAsia="仿宋_GB2312"/>
              </w:rPr>
              <w:t>4.支持时间触发（TT）/速率受限（RC）/尽力而为（BE）三种不同类型业务，TT业务按时间隔离；</w:t>
            </w:r>
          </w:p>
          <w:p>
            <w:pPr>
              <w:pStyle w:val="null3"/>
            </w:pPr>
            <w:r>
              <w:rPr>
                <w:rFonts w:ascii="仿宋_GB2312" w:hAnsi="仿宋_GB2312" w:cs="仿宋_GB2312" w:eastAsia="仿宋_GB2312"/>
              </w:rPr>
              <w:t>5.发送支持最大128条流，接收支持最大256条流；</w:t>
            </w:r>
          </w:p>
          <w:p>
            <w:pPr>
              <w:pStyle w:val="null3"/>
            </w:pPr>
            <w:r>
              <w:rPr>
                <w:rFonts w:ascii="仿宋_GB2312" w:hAnsi="仿宋_GB2312" w:cs="仿宋_GB2312" w:eastAsia="仿宋_GB2312"/>
              </w:rPr>
              <w:t>6.支持端口满速率发送，以及端口独立配置；</w:t>
            </w:r>
          </w:p>
          <w:p>
            <w:pPr>
              <w:pStyle w:val="null3"/>
            </w:pPr>
            <w:r>
              <w:rPr>
                <w:rFonts w:ascii="仿宋_GB2312" w:hAnsi="仿宋_GB2312" w:cs="仿宋_GB2312" w:eastAsia="仿宋_GB2312"/>
              </w:rPr>
              <w:t>7.支持双冗余发送方式，支持冗余流量管理；</w:t>
            </w:r>
          </w:p>
          <w:p>
            <w:pPr>
              <w:pStyle w:val="null3"/>
            </w:pPr>
            <w:r>
              <w:rPr>
                <w:rFonts w:ascii="仿宋_GB2312" w:hAnsi="仿宋_GB2312" w:cs="仿宋_GB2312" w:eastAsia="仿宋_GB2312"/>
              </w:rPr>
              <w:t>8.支持流量过滤、数据错误检测和数据完整性检测；</w:t>
            </w:r>
          </w:p>
          <w:p>
            <w:pPr>
              <w:pStyle w:val="null3"/>
            </w:pPr>
            <w:r>
              <w:rPr>
                <w:rFonts w:ascii="仿宋_GB2312" w:hAnsi="仿宋_GB2312" w:cs="仿宋_GB2312" w:eastAsia="仿宋_GB2312"/>
              </w:rPr>
              <w:t>9.支持基于端口或基于流的统计，包括但不限于发送/接收帧数、发送/接收流速率、接收带宽、错误帧统计、实时丢包统计、时延抖动等。</w:t>
            </w:r>
          </w:p>
          <w:p>
            <w:pPr>
              <w:pStyle w:val="null3"/>
            </w:pPr>
            <w:r>
              <w:rPr>
                <w:rFonts w:ascii="仿宋_GB2312" w:hAnsi="仿宋_GB2312" w:cs="仿宋_GB2312" w:eastAsia="仿宋_GB2312"/>
              </w:rPr>
              <w:t>10.支持L2/L3层协议处理加速；</w:t>
            </w:r>
          </w:p>
          <w:p>
            <w:pPr>
              <w:pStyle w:val="null3"/>
            </w:pPr>
            <w:r>
              <w:rPr>
                <w:rFonts w:ascii="仿宋_GB2312" w:hAnsi="仿宋_GB2312" w:cs="仿宋_GB2312" w:eastAsia="仿宋_GB2312"/>
              </w:rPr>
              <w:t>11.支持 SNMP网络管理协议；</w:t>
            </w:r>
          </w:p>
          <w:p>
            <w:pPr>
              <w:pStyle w:val="null3"/>
            </w:pPr>
            <w:r>
              <w:rPr>
                <w:rFonts w:ascii="仿宋_GB2312" w:hAnsi="仿宋_GB2312" w:cs="仿宋_GB2312" w:eastAsia="仿宋_GB2312"/>
              </w:rPr>
              <w:t>12.支持配置文件远程上传与加载，支持615A、TFTP等文件加载协议。</w:t>
            </w:r>
          </w:p>
          <w:p>
            <w:pPr>
              <w:pStyle w:val="null3"/>
            </w:pPr>
            <w:r>
              <w:rPr>
                <w:rFonts w:ascii="仿宋_GB2312" w:hAnsi="仿宋_GB2312" w:cs="仿宋_GB2312" w:eastAsia="仿宋_GB2312"/>
                <w:sz w:val="21"/>
              </w:rPr>
              <w:t>配置要求</w:t>
            </w:r>
            <w:r>
              <w:rPr>
                <w:rFonts w:ascii="仿宋_GB2312" w:hAnsi="仿宋_GB2312" w:cs="仿宋_GB2312" w:eastAsia="仿宋_GB2312"/>
                <w:sz w:val="21"/>
              </w:rPr>
              <w:t>：设备主体，说明书，电源，线缆等。</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网络业务调度规划系统平台</w:t>
            </w:r>
          </w:p>
          <w:p>
            <w:pPr>
              <w:pStyle w:val="null3"/>
            </w:pPr>
            <w:r>
              <w:rPr>
                <w:rFonts w:ascii="仿宋_GB2312" w:hAnsi="仿宋_GB2312" w:cs="仿宋_GB2312" w:eastAsia="仿宋_GB2312"/>
              </w:rPr>
              <w:t>1.网络业务调度规划系统平台用于规划确定性流量的调度信息，并将调度结果加载至网络节点。主要功能包括网络拓扑设计、TT业务流设计、网络业务调度规划、网络调度结果显示分析等。</w:t>
            </w:r>
            <w:r>
              <w:rPr>
                <w:rFonts w:ascii="仿宋_GB2312" w:hAnsi="仿宋_GB2312" w:cs="仿宋_GB2312" w:eastAsia="仿宋_GB2312"/>
                <w:b/>
              </w:rPr>
              <w:t>该指标点供应商需提供相应的产品设备技术性能证明材料（包括但不限于：设备相关技术资料、彩页样本、官网截图、检测报告等）；</w:t>
            </w:r>
          </w:p>
          <w:p>
            <w:pPr>
              <w:pStyle w:val="null3"/>
            </w:pPr>
            <w:r>
              <w:rPr>
                <w:rFonts w:ascii="仿宋_GB2312" w:hAnsi="仿宋_GB2312" w:cs="仿宋_GB2312" w:eastAsia="仿宋_GB2312"/>
              </w:rPr>
              <w:t>2.系统平台具有图形化界面；</w:t>
            </w:r>
          </w:p>
          <w:p>
            <w:pPr>
              <w:pStyle w:val="null3"/>
            </w:pPr>
            <w:r>
              <w:rPr>
                <w:rFonts w:ascii="仿宋_GB2312" w:hAnsi="仿宋_GB2312" w:cs="仿宋_GB2312" w:eastAsia="仿宋_GB2312"/>
              </w:rPr>
              <w:t>3.TT业务动态调度规划，生成网络各个节点的调度表；</w:t>
            </w:r>
          </w:p>
          <w:p>
            <w:pPr>
              <w:pStyle w:val="null3"/>
            </w:pPr>
            <w:r>
              <w:rPr>
                <w:rFonts w:ascii="仿宋_GB2312" w:hAnsi="仿宋_GB2312" w:cs="仿宋_GB2312" w:eastAsia="仿宋_GB2312"/>
              </w:rPr>
              <w:t>4.支持包括网络拓扑设计、网络参数配置、业务流参数配置等功能，并支持网络配置结果保存；</w:t>
            </w:r>
          </w:p>
          <w:p>
            <w:pPr>
              <w:pStyle w:val="null3"/>
            </w:pPr>
            <w:r>
              <w:rPr>
                <w:rFonts w:ascii="仿宋_GB2312" w:hAnsi="仿宋_GB2312" w:cs="仿宋_GB2312" w:eastAsia="仿宋_GB2312"/>
              </w:rPr>
              <w:t>5.集成不同类型的调度算法对网络中的流量进行调度规划，并生成调度结果，支持调度结果的显示分析。</w:t>
            </w:r>
          </w:p>
          <w:p>
            <w:pPr>
              <w:pStyle w:val="null3"/>
            </w:pPr>
            <w:r>
              <w:rPr>
                <w:rFonts w:ascii="仿宋_GB2312" w:hAnsi="仿宋_GB2312" w:cs="仿宋_GB2312" w:eastAsia="仿宋_GB2312"/>
              </w:rPr>
              <w:t>6.支持二次开发，集成自定义调度算法；</w:t>
            </w:r>
          </w:p>
          <w:p>
            <w:pPr>
              <w:pStyle w:val="null3"/>
            </w:pPr>
            <w:r>
              <w:rPr>
                <w:rFonts w:ascii="仿宋_GB2312" w:hAnsi="仿宋_GB2312" w:cs="仿宋_GB2312" w:eastAsia="仿宋_GB2312"/>
              </w:rPr>
              <w:t>7.支持超过100个端节点、10个交换机、3级以上级联网络的TT业务调度规划；</w:t>
            </w:r>
          </w:p>
          <w:p>
            <w:pPr>
              <w:pStyle w:val="null3"/>
            </w:pPr>
            <w:r>
              <w:rPr>
                <w:rFonts w:ascii="仿宋_GB2312" w:hAnsi="仿宋_GB2312" w:cs="仿宋_GB2312" w:eastAsia="仿宋_GB2312"/>
              </w:rPr>
              <w:t>8. 支持调度结果转换为配置文件并远程加载目标端，支持615A，TFTP等文件加载协议。</w:t>
            </w:r>
          </w:p>
          <w:p>
            <w:pPr>
              <w:pStyle w:val="null3"/>
            </w:pPr>
            <w:r>
              <w:rPr>
                <w:rFonts w:ascii="仿宋_GB2312" w:hAnsi="仿宋_GB2312" w:cs="仿宋_GB2312" w:eastAsia="仿宋_GB2312"/>
                <w:sz w:val="21"/>
              </w:rPr>
              <w:t>配置要求</w:t>
            </w:r>
            <w:r>
              <w:rPr>
                <w:rFonts w:ascii="仿宋_GB2312" w:hAnsi="仿宋_GB2312" w:cs="仿宋_GB2312" w:eastAsia="仿宋_GB2312"/>
                <w:sz w:val="21"/>
              </w:rPr>
              <w:t>：设备主体，说明书，电源，线缆等。</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网络管理监控工作台</w:t>
            </w:r>
          </w:p>
          <w:p>
            <w:pPr>
              <w:pStyle w:val="null3"/>
            </w:pPr>
            <w:r>
              <w:rPr>
                <w:rFonts w:ascii="仿宋_GB2312" w:hAnsi="仿宋_GB2312" w:cs="仿宋_GB2312" w:eastAsia="仿宋_GB2312"/>
              </w:rPr>
              <w:t>1.网络管理监控工作台用于在网络工作后对网络的状态、各设备和各业务的性能参数进行实时监管，以观察网络是否正常工作。主要功能包括设备管理、加载配置、网络性能参数监管等功能；</w:t>
            </w:r>
          </w:p>
          <w:p>
            <w:pPr>
              <w:pStyle w:val="null3"/>
            </w:pPr>
            <w:r>
              <w:rPr>
                <w:rFonts w:ascii="仿宋_GB2312" w:hAnsi="仿宋_GB2312" w:cs="仿宋_GB2312" w:eastAsia="仿宋_GB2312"/>
              </w:rPr>
              <w:t>2.支持设备管理，显示当前网络中设备信息；</w:t>
            </w:r>
          </w:p>
          <w:p>
            <w:pPr>
              <w:pStyle w:val="null3"/>
            </w:pPr>
            <w:r>
              <w:rPr>
                <w:rFonts w:ascii="仿宋_GB2312" w:hAnsi="仿宋_GB2312" w:cs="仿宋_GB2312" w:eastAsia="仿宋_GB2312"/>
              </w:rPr>
              <w:t>3.支持各网络设备配置文件的加载，支持支持615A、TFTP等文件加载协议；</w:t>
            </w:r>
          </w:p>
          <w:p>
            <w:pPr>
              <w:pStyle w:val="null3"/>
            </w:pPr>
            <w:r>
              <w:rPr>
                <w:rFonts w:ascii="仿宋_GB2312" w:hAnsi="仿宋_GB2312" w:cs="仿宋_GB2312" w:eastAsia="仿宋_GB2312"/>
              </w:rPr>
              <w:t>4.支持SNMP网络管理协议，可监控状态包括网络节点同步状态、节点同步偏差、节点发送/接收速率、 网络时延、网络时延抖动等主要网络参数。</w:t>
            </w:r>
          </w:p>
          <w:p>
            <w:pPr>
              <w:pStyle w:val="null3"/>
            </w:pPr>
            <w:r>
              <w:rPr>
                <w:rFonts w:ascii="仿宋_GB2312" w:hAnsi="仿宋_GB2312" w:cs="仿宋_GB2312" w:eastAsia="仿宋_GB2312"/>
              </w:rPr>
              <w:t>5. 支持网络成员管理，网络健康状态管理等功能。</w:t>
            </w:r>
          </w:p>
          <w:p>
            <w:pPr>
              <w:pStyle w:val="null3"/>
            </w:pPr>
            <w:r>
              <w:rPr>
                <w:rFonts w:ascii="仿宋_GB2312" w:hAnsi="仿宋_GB2312" w:cs="仿宋_GB2312" w:eastAsia="仿宋_GB2312"/>
                <w:sz w:val="21"/>
              </w:rPr>
              <w:t>配置要求</w:t>
            </w:r>
            <w:r>
              <w:rPr>
                <w:rFonts w:ascii="仿宋_GB2312" w:hAnsi="仿宋_GB2312" w:cs="仿宋_GB2312" w:eastAsia="仿宋_GB2312"/>
                <w:sz w:val="21"/>
              </w:rPr>
              <w:t>：设备主体，说明书，电源，线缆等。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.质量标准要求：合格，须满足国家标准及业主的质量标准要求；</w:t>
            </w:r>
          </w:p>
          <w:p>
            <w:pPr>
              <w:pStyle w:val="null3"/>
            </w:pPr>
            <w:r>
              <w:rPr>
                <w:rFonts w:ascii="仿宋_GB2312" w:hAnsi="仿宋_GB2312" w:cs="仿宋_GB2312" w:eastAsia="仿宋_GB2312"/>
              </w:rPr>
              <w:t>产品免费质保三年。质保期之内提供交付设备的备件供应，保障设备功能有效性；在质保期结束后，供应商提供至少</w:t>
            </w:r>
            <w:r>
              <w:rPr>
                <w:rFonts w:ascii="仿宋_GB2312" w:hAnsi="仿宋_GB2312" w:cs="仿宋_GB2312" w:eastAsia="仿宋_GB2312"/>
              </w:rPr>
              <w:t>3年的免费现场或/和远程技术支持。在质保期结束后，供应商应提供维修、排故、软硬件升级等技术支持，价格优惠于市场价；</w:t>
            </w:r>
          </w:p>
          <w:p>
            <w:pPr>
              <w:pStyle w:val="null3"/>
            </w:pPr>
            <w:r>
              <w:rPr>
                <w:rFonts w:ascii="仿宋_GB2312" w:hAnsi="仿宋_GB2312" w:cs="仿宋_GB2312" w:eastAsia="仿宋_GB2312"/>
              </w:rPr>
              <w:t>2. 供应商应提供产品的基础操作和系统运行维护相关的技术培训不少于2次；</w:t>
            </w:r>
          </w:p>
          <w:p>
            <w:pPr>
              <w:pStyle w:val="null3"/>
            </w:pPr>
            <w:r>
              <w:rPr>
                <w:rFonts w:ascii="仿宋_GB2312" w:hAnsi="仿宋_GB2312" w:cs="仿宋_GB2312" w:eastAsia="仿宋_GB2312"/>
                <w:sz w:val="21"/>
              </w:rPr>
              <w:t>3. 免费赠送一次移机。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以上所有要求不允许负偏离，有一项负偏离为无效响应。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合同签定后45日历日。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产品免费质保三年。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成交供应商需线下提交与系统电子响应文件一致的纸质响应文件三份。若系统电子响应文件与纸质投标文件不一致的，以系统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供应商需在项目电子化交易系统中按要求填写《响应函》完成承诺并进行电子签及供应商资格证明材料。</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法定代表人授权委托书.docx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商务评审</w:t>
            </w:r>
          </w:p>
        </w:tc>
        <w:tc>
          <w:tcPr>
            <w:tcW w:type="dxa" w:w="3322"/>
          </w:tcPr>
          <w:p>
            <w:pPr>
              <w:pStyle w:val="null3"/>
            </w:pPr>
            <w:r>
              <w:rPr>
                <w:rFonts w:ascii="仿宋_GB2312" w:hAnsi="仿宋_GB2312" w:cs="仿宋_GB2312" w:eastAsia="仿宋_GB2312"/>
              </w:rPr>
              <w:t>1.质量标准要求：合格，须满足国家标准及业主的质量标准要求； 产品免费质保三年。质保期之内提供交付设备的备件供应，保障设备功能有效性；在质保期结束后，供应商提供至少3年的免费现场或/和远程技术支持。在质保期结束后，供应商应提供维修、排故、软硬件升级等技术支持，价格优惠于市场价； 2. 供应商应提供产品的基础操作和系统运行维护相关的技术培训不少于2次； 3. 免费赠送一次移机。</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技术标准审查</w:t>
            </w:r>
          </w:p>
        </w:tc>
        <w:tc>
          <w:tcPr>
            <w:tcW w:type="dxa" w:w="3322"/>
          </w:tcPr>
          <w:p>
            <w:pPr>
              <w:pStyle w:val="null3"/>
            </w:pPr>
            <w:r>
              <w:rPr>
                <w:rFonts w:ascii="仿宋_GB2312" w:hAnsi="仿宋_GB2312" w:cs="仿宋_GB2312" w:eastAsia="仿宋_GB2312"/>
              </w:rPr>
              <w:t>要求完全符合谈判文件要求。 注：采购需求中要求提供证明材料的需提供证明材料，其他以《产品技术参数表》响应为准。</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