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6A8CB">
      <w:pPr>
        <w:pStyle w:val="7"/>
        <w:rPr>
          <w:rFonts w:hint="default" w:ascii="仿宋_GB2312" w:hAnsi="仿宋_GB2312" w:eastAsia="仿宋_GB2312" w:cs="仿宋_GB2312"/>
          <w:color w:val="auto"/>
          <w:lang w:eastAsia="zh-CN"/>
        </w:rPr>
      </w:pPr>
      <w:r>
        <w:rPr>
          <w:rFonts w:ascii="仿宋_GB2312" w:hAnsi="仿宋_GB2312" w:eastAsia="仿宋_GB2312" w:cs="仿宋_GB2312"/>
          <w:color w:val="auto"/>
          <w:lang w:eastAsia="zh-CN"/>
        </w:rPr>
        <w:t>（参考合同，具体按照学校模版签订）</w:t>
      </w:r>
    </w:p>
    <w:p w14:paraId="34D221F1">
      <w:pPr>
        <w:pStyle w:val="7"/>
        <w:rPr>
          <w:rFonts w:hint="default" w:ascii="仿宋_GB2312" w:hAnsi="仿宋_GB2312" w:eastAsia="仿宋_GB2312" w:cs="仿宋_GB2312"/>
          <w:color w:val="auto"/>
        </w:rPr>
      </w:pPr>
    </w:p>
    <w:p w14:paraId="06905012">
      <w:pPr>
        <w:pStyle w:val="7"/>
        <w:rPr>
          <w:rFonts w:hint="default" w:ascii="仿宋_GB2312" w:hAnsi="仿宋_GB2312" w:eastAsia="仿宋_GB2312" w:cs="仿宋_GB2312"/>
          <w:color w:val="auto"/>
        </w:rPr>
      </w:pPr>
    </w:p>
    <w:p w14:paraId="702D5792">
      <w:pPr>
        <w:pStyle w:val="7"/>
        <w:rPr>
          <w:rFonts w:hint="default" w:ascii="仿宋_GB2312" w:hAnsi="仿宋_GB2312" w:eastAsia="仿宋_GB2312" w:cs="仿宋_GB2312"/>
          <w:color w:val="auto"/>
        </w:rPr>
      </w:pPr>
    </w:p>
    <w:p w14:paraId="3864B768">
      <w:pPr>
        <w:widowControl/>
        <w:shd w:val="clear" w:color="auto" w:fill="FFFFFF"/>
        <w:spacing w:line="360" w:lineRule="auto"/>
        <w:ind w:firstLine="1325" w:firstLineChars="300"/>
        <w:textAlignment w:val="baseline"/>
        <w:rPr>
          <w:rFonts w:hint="eastAsia" w:ascii="宋体" w:hAnsi="宋体"/>
          <w:color w:val="auto"/>
          <w:sz w:val="44"/>
          <w:szCs w:val="44"/>
        </w:rPr>
      </w:pPr>
      <w:r>
        <w:rPr>
          <w:rFonts w:hint="eastAsia" w:ascii="宋体" w:hAnsi="宋体"/>
          <w:b/>
          <w:color w:val="auto"/>
          <w:kern w:val="0"/>
          <w:sz w:val="44"/>
          <w:szCs w:val="44"/>
          <w:u w:val="single"/>
          <w:shd w:val="clear" w:color="auto" w:fill="FFFFFF"/>
        </w:rPr>
        <w:t xml:space="preserve">                </w:t>
      </w:r>
      <w:r>
        <w:rPr>
          <w:rFonts w:hint="eastAsia" w:ascii="宋体" w:hAnsi="宋体"/>
          <w:b/>
          <w:color w:val="auto"/>
          <w:kern w:val="0"/>
          <w:sz w:val="44"/>
          <w:szCs w:val="44"/>
          <w:shd w:val="clear" w:color="auto" w:fill="FFFFFF"/>
        </w:rPr>
        <w:t>合同</w:t>
      </w:r>
    </w:p>
    <w:p w14:paraId="0ADCCFF3">
      <w:pPr>
        <w:widowControl/>
        <w:shd w:val="clear" w:color="auto" w:fill="FFFFFF"/>
        <w:spacing w:line="360" w:lineRule="auto"/>
        <w:jc w:val="center"/>
        <w:textAlignment w:val="baseline"/>
        <w:rPr>
          <w:rFonts w:hint="eastAsia" w:ascii="宋体" w:hAnsi="宋体"/>
          <w:color w:val="auto"/>
          <w:sz w:val="32"/>
          <w:szCs w:val="32"/>
        </w:rPr>
      </w:pPr>
      <w:r>
        <w:rPr>
          <w:rFonts w:hint="eastAsia" w:ascii="宋体" w:hAnsi="宋体"/>
          <w:b/>
          <w:color w:val="auto"/>
          <w:kern w:val="0"/>
          <w:sz w:val="32"/>
          <w:szCs w:val="32"/>
          <w:shd w:val="clear" w:color="auto" w:fill="FFFFFF"/>
        </w:rPr>
        <w:t> </w:t>
      </w:r>
    </w:p>
    <w:p w14:paraId="54225579">
      <w:pPr>
        <w:widowControl/>
        <w:shd w:val="clear" w:color="auto" w:fill="FFFFFF"/>
        <w:spacing w:line="360" w:lineRule="auto"/>
        <w:ind w:firstLine="5760" w:firstLineChars="1800"/>
        <w:textAlignment w:val="baseline"/>
        <w:rPr>
          <w:rFonts w:hint="eastAsia" w:ascii="宋体" w:hAnsi="宋体"/>
          <w:color w:val="auto"/>
          <w:sz w:val="32"/>
          <w:szCs w:val="32"/>
        </w:rPr>
      </w:pPr>
      <w:r>
        <w:rPr>
          <w:rFonts w:hint="eastAsia" w:ascii="宋体" w:hAnsi="宋体"/>
          <w:color w:val="auto"/>
          <w:kern w:val="0"/>
          <w:sz w:val="32"/>
          <w:szCs w:val="32"/>
          <w:shd w:val="clear" w:color="auto" w:fill="FFFFFF"/>
        </w:rPr>
        <w:t>合同编号：</w:t>
      </w:r>
    </w:p>
    <w:p w14:paraId="4435E5A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62B78085">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34CA5425">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510AE38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29C6EACA">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4F2A04D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1A07EA65">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3CB7F311">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0098846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5879DE58">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53AE210B">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761B853B">
      <w:pPr>
        <w:widowControl/>
        <w:shd w:val="clear" w:color="auto" w:fill="FFFFFF"/>
        <w:spacing w:line="360" w:lineRule="auto"/>
        <w:jc w:val="center"/>
        <w:textAlignment w:val="baseline"/>
        <w:rPr>
          <w:rFonts w:hint="eastAsia" w:ascii="宋体" w:hAnsi="宋体"/>
          <w:color w:val="auto"/>
          <w:sz w:val="32"/>
          <w:szCs w:val="32"/>
        </w:rPr>
      </w:pPr>
      <w:r>
        <w:rPr>
          <w:rFonts w:hint="eastAsia" w:ascii="宋体" w:hAnsi="宋体"/>
          <w:b/>
          <w:color w:val="auto"/>
          <w:kern w:val="0"/>
          <w:sz w:val="32"/>
          <w:szCs w:val="32"/>
          <w:shd w:val="clear" w:color="auto" w:fill="FFFFFF"/>
        </w:rPr>
        <w:t> </w:t>
      </w:r>
    </w:p>
    <w:p w14:paraId="18D31C47">
      <w:pPr>
        <w:widowControl/>
        <w:shd w:val="clear" w:color="auto" w:fill="FFFFFF"/>
        <w:spacing w:line="360" w:lineRule="auto"/>
        <w:ind w:firstLine="1680" w:firstLineChars="600"/>
        <w:textAlignment w:val="baseline"/>
        <w:rPr>
          <w:rFonts w:hint="eastAsia" w:ascii="宋体" w:hAnsi="宋体"/>
          <w:bCs/>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甲方：        </w:t>
      </w:r>
      <w:r>
        <w:rPr>
          <w:rFonts w:hint="eastAsia" w:ascii="宋体" w:hAnsi="宋体"/>
          <w:bCs/>
          <w:color w:val="auto"/>
          <w:kern w:val="0"/>
          <w:sz w:val="28"/>
          <w:szCs w:val="28"/>
          <w:u w:val="single"/>
          <w:shd w:val="clear" w:color="auto" w:fill="FFFFFF"/>
        </w:rPr>
        <w:tab/>
      </w:r>
      <w:r>
        <w:rPr>
          <w:rFonts w:hint="eastAsia" w:ascii="宋体" w:hAnsi="宋体"/>
          <w:bCs/>
          <w:color w:val="auto"/>
          <w:kern w:val="0"/>
          <w:sz w:val="28"/>
          <w:szCs w:val="28"/>
          <w:u w:val="single"/>
          <w:shd w:val="clear" w:color="auto" w:fill="FFFFFF"/>
        </w:rPr>
        <w:t xml:space="preserve">             </w:t>
      </w:r>
    </w:p>
    <w:p w14:paraId="75F087C3">
      <w:pPr>
        <w:widowControl/>
        <w:shd w:val="clear" w:color="auto" w:fill="FFFFFF"/>
        <w:spacing w:line="360" w:lineRule="auto"/>
        <w:ind w:firstLine="1680" w:firstLineChars="600"/>
        <w:textAlignment w:val="baseline"/>
        <w:rPr>
          <w:rFonts w:hint="eastAsia" w:ascii="宋体" w:hAnsi="宋体"/>
          <w:bCs/>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乙方：                      </w:t>
      </w:r>
    </w:p>
    <w:p w14:paraId="279537FB">
      <w:pPr>
        <w:widowControl/>
        <w:shd w:val="clear" w:color="auto" w:fill="FFFFFF"/>
        <w:spacing w:line="360" w:lineRule="auto"/>
        <w:ind w:firstLine="1680" w:firstLineChars="600"/>
        <w:textAlignment w:val="baseline"/>
        <w:rPr>
          <w:rFonts w:hint="eastAsia" w:ascii="宋体" w:hAnsi="宋体"/>
          <w:bCs/>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签订时间：                  </w:t>
      </w:r>
    </w:p>
    <w:p w14:paraId="229160A4">
      <w:pPr>
        <w:widowControl/>
        <w:shd w:val="clear" w:color="auto" w:fill="FFFFFF"/>
        <w:spacing w:line="360" w:lineRule="auto"/>
        <w:ind w:firstLine="1680" w:firstLineChars="600"/>
        <w:textAlignment w:val="baseline"/>
        <w:rPr>
          <w:rFonts w:hint="eastAsia" w:ascii="宋体" w:hAnsi="宋体"/>
          <w:b/>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签订地点：                  </w:t>
      </w:r>
    </w:p>
    <w:p w14:paraId="3E353FDB">
      <w:pPr>
        <w:widowControl/>
        <w:shd w:val="clear" w:color="auto" w:fill="FFFFFF"/>
        <w:spacing w:line="360" w:lineRule="auto"/>
        <w:jc w:val="center"/>
        <w:textAlignment w:val="baseline"/>
        <w:rPr>
          <w:rFonts w:hint="eastAsia" w:ascii="宋体" w:hAnsi="宋体"/>
          <w:b/>
          <w:color w:val="auto"/>
          <w:kern w:val="0"/>
          <w:sz w:val="32"/>
          <w:szCs w:val="32"/>
          <w:u w:val="single"/>
          <w:shd w:val="clear" w:color="auto" w:fill="FFFFFF"/>
        </w:rPr>
      </w:pPr>
    </w:p>
    <w:p w14:paraId="1BDF8AF4">
      <w:pPr>
        <w:widowControl/>
        <w:shd w:val="clear" w:color="auto" w:fill="FFFFFF"/>
        <w:spacing w:line="360" w:lineRule="auto"/>
        <w:ind w:firstLine="560"/>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根据《中华人民共和国民法典》、《中华人民共和国政府采购法》及相关法律法规的有关规定，遵循平等、自愿、公平和诚实信用原则，甲、乙双方就</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事项，经协商一致，订立本合同。</w:t>
      </w:r>
    </w:p>
    <w:p w14:paraId="69E276AC">
      <w:pPr>
        <w:spacing w:line="360" w:lineRule="auto"/>
        <w:rPr>
          <w:rFonts w:hint="eastAsia" w:ascii="仿宋" w:hAnsi="仿宋" w:eastAsia="仿宋" w:cs="仿宋"/>
          <w:bCs/>
          <w:color w:val="auto"/>
          <w:sz w:val="20"/>
          <w:szCs w:val="20"/>
        </w:rPr>
      </w:pPr>
      <w:r>
        <w:rPr>
          <w:rFonts w:hint="eastAsia" w:ascii="仿宋" w:hAnsi="仿宋" w:eastAsia="仿宋" w:cs="仿宋"/>
          <w:bCs/>
          <w:color w:val="auto"/>
          <w:sz w:val="20"/>
          <w:szCs w:val="20"/>
        </w:rPr>
        <w:t>一、合同内容</w:t>
      </w:r>
    </w:p>
    <w:p w14:paraId="2FEFA1FE">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支付乙方相应的货款。</w:t>
      </w:r>
    </w:p>
    <w:p w14:paraId="17264A45">
      <w:pPr>
        <w:spacing w:line="360" w:lineRule="auto"/>
        <w:ind w:left="555"/>
        <w:rPr>
          <w:rFonts w:hint="eastAsia" w:ascii="仿宋" w:hAnsi="仿宋" w:eastAsia="仿宋" w:cs="仿宋"/>
          <w:color w:val="auto"/>
          <w:sz w:val="20"/>
          <w:szCs w:val="20"/>
        </w:rPr>
      </w:pPr>
      <w:r>
        <w:rPr>
          <w:rFonts w:hint="eastAsia" w:ascii="仿宋" w:hAnsi="仿宋" w:eastAsia="仿宋" w:cs="仿宋"/>
          <w:color w:val="auto"/>
          <w:sz w:val="20"/>
          <w:szCs w:val="20"/>
        </w:rPr>
        <w:t>1.购置清单（人民币）</w:t>
      </w:r>
    </w:p>
    <w:tbl>
      <w:tblPr>
        <w:tblStyle w:val="5"/>
        <w:tblW w:w="858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55"/>
        <w:gridCol w:w="924"/>
        <w:gridCol w:w="1344"/>
        <w:gridCol w:w="1559"/>
        <w:gridCol w:w="708"/>
        <w:gridCol w:w="709"/>
        <w:gridCol w:w="1781"/>
      </w:tblGrid>
      <w:tr w14:paraId="1C917D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2FBE700">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产品名称</w:t>
            </w:r>
          </w:p>
        </w:tc>
        <w:tc>
          <w:tcPr>
            <w:tcW w:w="924" w:type="dxa"/>
            <w:tcBorders>
              <w:top w:val="single" w:color="auto" w:sz="4" w:space="0"/>
              <w:left w:val="single" w:color="auto" w:sz="4" w:space="0"/>
              <w:bottom w:val="single" w:color="auto" w:sz="4" w:space="0"/>
              <w:right w:val="single" w:color="auto" w:sz="4" w:space="0"/>
            </w:tcBorders>
            <w:vAlign w:val="center"/>
          </w:tcPr>
          <w:p w14:paraId="04D9ABBE">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品牌</w:t>
            </w:r>
          </w:p>
        </w:tc>
        <w:tc>
          <w:tcPr>
            <w:tcW w:w="1344" w:type="dxa"/>
            <w:tcBorders>
              <w:top w:val="single" w:color="auto" w:sz="4" w:space="0"/>
              <w:left w:val="single" w:color="auto" w:sz="4" w:space="0"/>
              <w:bottom w:val="single" w:color="auto" w:sz="4" w:space="0"/>
              <w:right w:val="single" w:color="auto" w:sz="4" w:space="0"/>
            </w:tcBorders>
            <w:vAlign w:val="center"/>
          </w:tcPr>
          <w:p w14:paraId="2D9E491A">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规格型号</w:t>
            </w:r>
          </w:p>
        </w:tc>
        <w:tc>
          <w:tcPr>
            <w:tcW w:w="1559" w:type="dxa"/>
            <w:tcBorders>
              <w:top w:val="single" w:color="auto" w:sz="4" w:space="0"/>
              <w:left w:val="single" w:color="auto" w:sz="4" w:space="0"/>
              <w:bottom w:val="single" w:color="auto" w:sz="4" w:space="0"/>
              <w:right w:val="single" w:color="auto" w:sz="4" w:space="0"/>
            </w:tcBorders>
            <w:vAlign w:val="center"/>
          </w:tcPr>
          <w:p w14:paraId="2C674350">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单价（元）</w:t>
            </w:r>
          </w:p>
        </w:tc>
        <w:tc>
          <w:tcPr>
            <w:tcW w:w="708" w:type="dxa"/>
            <w:tcBorders>
              <w:top w:val="single" w:color="auto" w:sz="4" w:space="0"/>
              <w:left w:val="single" w:color="auto" w:sz="4" w:space="0"/>
              <w:bottom w:val="single" w:color="auto" w:sz="4" w:space="0"/>
              <w:right w:val="single" w:color="auto" w:sz="4" w:space="0"/>
            </w:tcBorders>
            <w:vAlign w:val="center"/>
          </w:tcPr>
          <w:p w14:paraId="108E17E0">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数量</w:t>
            </w:r>
          </w:p>
        </w:tc>
        <w:tc>
          <w:tcPr>
            <w:tcW w:w="709" w:type="dxa"/>
            <w:tcBorders>
              <w:top w:val="single" w:color="auto" w:sz="4" w:space="0"/>
              <w:left w:val="single" w:color="auto" w:sz="4" w:space="0"/>
              <w:bottom w:val="single" w:color="auto" w:sz="4" w:space="0"/>
              <w:right w:val="single" w:color="auto" w:sz="4" w:space="0"/>
            </w:tcBorders>
            <w:vAlign w:val="center"/>
          </w:tcPr>
          <w:p w14:paraId="3636AE9D">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单位</w:t>
            </w:r>
          </w:p>
        </w:tc>
        <w:tc>
          <w:tcPr>
            <w:tcW w:w="1781" w:type="dxa"/>
            <w:tcBorders>
              <w:top w:val="single" w:color="auto" w:sz="4" w:space="0"/>
              <w:left w:val="single" w:color="auto" w:sz="4" w:space="0"/>
              <w:bottom w:val="single" w:color="auto" w:sz="4" w:space="0"/>
              <w:right w:val="single" w:color="auto" w:sz="4" w:space="0"/>
            </w:tcBorders>
            <w:vAlign w:val="center"/>
          </w:tcPr>
          <w:p w14:paraId="6AD58663">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小计（元）</w:t>
            </w:r>
          </w:p>
        </w:tc>
      </w:tr>
      <w:tr w14:paraId="72D9A1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555" w:type="dxa"/>
            <w:tcBorders>
              <w:top w:val="single" w:color="auto" w:sz="4" w:space="0"/>
              <w:left w:val="single" w:color="auto" w:sz="4" w:space="0"/>
              <w:bottom w:val="single" w:color="auto" w:sz="4" w:space="0"/>
              <w:right w:val="single" w:color="auto" w:sz="4" w:space="0"/>
            </w:tcBorders>
          </w:tcPr>
          <w:p w14:paraId="148862F5">
            <w:pPr>
              <w:spacing w:line="360" w:lineRule="auto"/>
              <w:rPr>
                <w:rFonts w:hint="eastAsia" w:ascii="仿宋" w:hAnsi="仿宋" w:eastAsia="仿宋" w:cs="仿宋"/>
                <w:color w:val="auto"/>
                <w:sz w:val="20"/>
                <w:szCs w:val="20"/>
              </w:rPr>
            </w:pPr>
          </w:p>
        </w:tc>
        <w:tc>
          <w:tcPr>
            <w:tcW w:w="924" w:type="dxa"/>
            <w:tcBorders>
              <w:top w:val="single" w:color="auto" w:sz="4" w:space="0"/>
              <w:left w:val="single" w:color="auto" w:sz="4" w:space="0"/>
              <w:bottom w:val="single" w:color="auto" w:sz="4" w:space="0"/>
              <w:right w:val="single" w:color="auto" w:sz="4" w:space="0"/>
            </w:tcBorders>
          </w:tcPr>
          <w:p w14:paraId="4F49011B">
            <w:pPr>
              <w:spacing w:line="360" w:lineRule="auto"/>
              <w:rPr>
                <w:rFonts w:hint="eastAsia" w:ascii="仿宋" w:hAnsi="仿宋" w:eastAsia="仿宋" w:cs="仿宋"/>
                <w:color w:val="auto"/>
                <w:sz w:val="20"/>
                <w:szCs w:val="20"/>
              </w:rPr>
            </w:pPr>
          </w:p>
        </w:tc>
        <w:tc>
          <w:tcPr>
            <w:tcW w:w="1344" w:type="dxa"/>
            <w:tcBorders>
              <w:top w:val="single" w:color="auto" w:sz="4" w:space="0"/>
              <w:left w:val="single" w:color="auto" w:sz="4" w:space="0"/>
              <w:bottom w:val="single" w:color="auto" w:sz="4" w:space="0"/>
              <w:right w:val="single" w:color="auto" w:sz="4" w:space="0"/>
            </w:tcBorders>
          </w:tcPr>
          <w:p w14:paraId="3EBC5A2D">
            <w:pPr>
              <w:spacing w:line="360" w:lineRule="auto"/>
              <w:rPr>
                <w:rFonts w:hint="eastAsia" w:ascii="仿宋" w:hAnsi="仿宋" w:eastAsia="仿宋" w:cs="仿宋"/>
                <w:color w:val="auto"/>
                <w:sz w:val="20"/>
                <w:szCs w:val="20"/>
              </w:rPr>
            </w:pPr>
          </w:p>
        </w:tc>
        <w:tc>
          <w:tcPr>
            <w:tcW w:w="1559" w:type="dxa"/>
            <w:tcBorders>
              <w:top w:val="single" w:color="auto" w:sz="4" w:space="0"/>
              <w:left w:val="single" w:color="auto" w:sz="4" w:space="0"/>
              <w:bottom w:val="single" w:color="auto" w:sz="4" w:space="0"/>
              <w:right w:val="single" w:color="auto" w:sz="4" w:space="0"/>
            </w:tcBorders>
          </w:tcPr>
          <w:p w14:paraId="5ADC435E">
            <w:pPr>
              <w:spacing w:line="360" w:lineRule="auto"/>
              <w:rPr>
                <w:rFonts w:hint="eastAsia" w:ascii="仿宋" w:hAnsi="仿宋" w:eastAsia="仿宋" w:cs="仿宋"/>
                <w:color w:val="auto"/>
                <w:sz w:val="20"/>
                <w:szCs w:val="20"/>
              </w:rPr>
            </w:pPr>
          </w:p>
        </w:tc>
        <w:tc>
          <w:tcPr>
            <w:tcW w:w="708" w:type="dxa"/>
            <w:tcBorders>
              <w:top w:val="single" w:color="auto" w:sz="4" w:space="0"/>
              <w:left w:val="single" w:color="auto" w:sz="4" w:space="0"/>
              <w:bottom w:val="single" w:color="auto" w:sz="4" w:space="0"/>
              <w:right w:val="single" w:color="auto" w:sz="4" w:space="0"/>
            </w:tcBorders>
          </w:tcPr>
          <w:p w14:paraId="4F1150E1">
            <w:pPr>
              <w:spacing w:line="360" w:lineRule="auto"/>
              <w:rPr>
                <w:rFonts w:hint="eastAsia" w:ascii="仿宋" w:hAnsi="仿宋" w:eastAsia="仿宋" w:cs="仿宋"/>
                <w:color w:val="auto"/>
                <w:sz w:val="20"/>
                <w:szCs w:val="20"/>
              </w:rPr>
            </w:pPr>
          </w:p>
        </w:tc>
        <w:tc>
          <w:tcPr>
            <w:tcW w:w="709" w:type="dxa"/>
            <w:tcBorders>
              <w:top w:val="single" w:color="auto" w:sz="4" w:space="0"/>
              <w:left w:val="single" w:color="auto" w:sz="4" w:space="0"/>
              <w:bottom w:val="single" w:color="auto" w:sz="4" w:space="0"/>
              <w:right w:val="single" w:color="auto" w:sz="4" w:space="0"/>
            </w:tcBorders>
          </w:tcPr>
          <w:p w14:paraId="66589882">
            <w:pPr>
              <w:spacing w:line="360" w:lineRule="auto"/>
              <w:rPr>
                <w:rFonts w:hint="eastAsia" w:ascii="仿宋" w:hAnsi="仿宋" w:eastAsia="仿宋" w:cs="仿宋"/>
                <w:color w:val="auto"/>
                <w:sz w:val="20"/>
                <w:szCs w:val="20"/>
              </w:rPr>
            </w:pPr>
          </w:p>
        </w:tc>
        <w:tc>
          <w:tcPr>
            <w:tcW w:w="1781" w:type="dxa"/>
            <w:tcBorders>
              <w:top w:val="single" w:color="auto" w:sz="4" w:space="0"/>
              <w:left w:val="single" w:color="auto" w:sz="4" w:space="0"/>
              <w:bottom w:val="single" w:color="auto" w:sz="4" w:space="0"/>
              <w:right w:val="single" w:color="auto" w:sz="4" w:space="0"/>
            </w:tcBorders>
          </w:tcPr>
          <w:p w14:paraId="6FDFAC15">
            <w:pPr>
              <w:spacing w:line="360" w:lineRule="auto"/>
              <w:rPr>
                <w:rFonts w:hint="eastAsia" w:ascii="仿宋" w:hAnsi="仿宋" w:eastAsia="仿宋" w:cs="仿宋"/>
                <w:color w:val="auto"/>
                <w:sz w:val="20"/>
                <w:szCs w:val="20"/>
              </w:rPr>
            </w:pPr>
          </w:p>
        </w:tc>
      </w:tr>
      <w:tr w14:paraId="280CBA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555" w:type="dxa"/>
            <w:tcBorders>
              <w:top w:val="single" w:color="auto" w:sz="4" w:space="0"/>
              <w:left w:val="single" w:color="auto" w:sz="4" w:space="0"/>
              <w:bottom w:val="single" w:color="auto" w:sz="4" w:space="0"/>
              <w:right w:val="single" w:color="auto" w:sz="4" w:space="0"/>
            </w:tcBorders>
          </w:tcPr>
          <w:p w14:paraId="220E1AF5">
            <w:pPr>
              <w:spacing w:line="360" w:lineRule="auto"/>
              <w:rPr>
                <w:rFonts w:hint="eastAsia" w:ascii="仿宋" w:hAnsi="仿宋" w:eastAsia="仿宋" w:cs="仿宋"/>
                <w:color w:val="auto"/>
                <w:sz w:val="20"/>
                <w:szCs w:val="20"/>
              </w:rPr>
            </w:pPr>
          </w:p>
        </w:tc>
        <w:tc>
          <w:tcPr>
            <w:tcW w:w="924" w:type="dxa"/>
            <w:tcBorders>
              <w:top w:val="single" w:color="auto" w:sz="4" w:space="0"/>
              <w:left w:val="single" w:color="auto" w:sz="4" w:space="0"/>
              <w:bottom w:val="single" w:color="auto" w:sz="4" w:space="0"/>
              <w:right w:val="single" w:color="auto" w:sz="4" w:space="0"/>
            </w:tcBorders>
          </w:tcPr>
          <w:p w14:paraId="122CF8F5">
            <w:pPr>
              <w:spacing w:line="360" w:lineRule="auto"/>
              <w:rPr>
                <w:rFonts w:hint="eastAsia" w:ascii="仿宋" w:hAnsi="仿宋" w:eastAsia="仿宋" w:cs="仿宋"/>
                <w:color w:val="auto"/>
                <w:sz w:val="20"/>
                <w:szCs w:val="20"/>
              </w:rPr>
            </w:pPr>
          </w:p>
        </w:tc>
        <w:tc>
          <w:tcPr>
            <w:tcW w:w="1344" w:type="dxa"/>
            <w:tcBorders>
              <w:top w:val="single" w:color="auto" w:sz="4" w:space="0"/>
              <w:left w:val="single" w:color="auto" w:sz="4" w:space="0"/>
              <w:bottom w:val="single" w:color="auto" w:sz="4" w:space="0"/>
              <w:right w:val="single" w:color="auto" w:sz="4" w:space="0"/>
            </w:tcBorders>
          </w:tcPr>
          <w:p w14:paraId="62577B36">
            <w:pPr>
              <w:spacing w:line="360" w:lineRule="auto"/>
              <w:rPr>
                <w:rFonts w:hint="eastAsia" w:ascii="仿宋" w:hAnsi="仿宋" w:eastAsia="仿宋" w:cs="仿宋"/>
                <w:color w:val="auto"/>
                <w:sz w:val="20"/>
                <w:szCs w:val="20"/>
              </w:rPr>
            </w:pPr>
          </w:p>
        </w:tc>
        <w:tc>
          <w:tcPr>
            <w:tcW w:w="1559" w:type="dxa"/>
            <w:tcBorders>
              <w:top w:val="single" w:color="auto" w:sz="4" w:space="0"/>
              <w:left w:val="single" w:color="auto" w:sz="4" w:space="0"/>
              <w:bottom w:val="single" w:color="auto" w:sz="4" w:space="0"/>
              <w:right w:val="single" w:color="auto" w:sz="4" w:space="0"/>
            </w:tcBorders>
          </w:tcPr>
          <w:p w14:paraId="511EA6E6">
            <w:pPr>
              <w:spacing w:line="360" w:lineRule="auto"/>
              <w:rPr>
                <w:rFonts w:hint="eastAsia" w:ascii="仿宋" w:hAnsi="仿宋" w:eastAsia="仿宋" w:cs="仿宋"/>
                <w:color w:val="auto"/>
                <w:sz w:val="20"/>
                <w:szCs w:val="20"/>
              </w:rPr>
            </w:pPr>
          </w:p>
        </w:tc>
        <w:tc>
          <w:tcPr>
            <w:tcW w:w="708" w:type="dxa"/>
            <w:tcBorders>
              <w:top w:val="single" w:color="auto" w:sz="4" w:space="0"/>
              <w:left w:val="single" w:color="auto" w:sz="4" w:space="0"/>
              <w:bottom w:val="single" w:color="auto" w:sz="4" w:space="0"/>
              <w:right w:val="single" w:color="auto" w:sz="4" w:space="0"/>
            </w:tcBorders>
          </w:tcPr>
          <w:p w14:paraId="1FF5AF0E">
            <w:pPr>
              <w:spacing w:line="360" w:lineRule="auto"/>
              <w:rPr>
                <w:rFonts w:hint="eastAsia" w:ascii="仿宋" w:hAnsi="仿宋" w:eastAsia="仿宋" w:cs="仿宋"/>
                <w:color w:val="auto"/>
                <w:sz w:val="20"/>
                <w:szCs w:val="20"/>
              </w:rPr>
            </w:pPr>
          </w:p>
        </w:tc>
        <w:tc>
          <w:tcPr>
            <w:tcW w:w="709" w:type="dxa"/>
            <w:tcBorders>
              <w:top w:val="single" w:color="auto" w:sz="4" w:space="0"/>
              <w:left w:val="single" w:color="auto" w:sz="4" w:space="0"/>
              <w:bottom w:val="single" w:color="auto" w:sz="4" w:space="0"/>
              <w:right w:val="single" w:color="auto" w:sz="4" w:space="0"/>
            </w:tcBorders>
          </w:tcPr>
          <w:p w14:paraId="2F497C56">
            <w:pPr>
              <w:spacing w:line="360" w:lineRule="auto"/>
              <w:rPr>
                <w:rFonts w:hint="eastAsia" w:ascii="仿宋" w:hAnsi="仿宋" w:eastAsia="仿宋" w:cs="仿宋"/>
                <w:color w:val="auto"/>
                <w:sz w:val="20"/>
                <w:szCs w:val="20"/>
              </w:rPr>
            </w:pPr>
          </w:p>
        </w:tc>
        <w:tc>
          <w:tcPr>
            <w:tcW w:w="1781" w:type="dxa"/>
            <w:tcBorders>
              <w:top w:val="single" w:color="auto" w:sz="4" w:space="0"/>
              <w:left w:val="single" w:color="auto" w:sz="4" w:space="0"/>
              <w:bottom w:val="single" w:color="auto" w:sz="4" w:space="0"/>
              <w:right w:val="single" w:color="auto" w:sz="4" w:space="0"/>
            </w:tcBorders>
          </w:tcPr>
          <w:p w14:paraId="3133B753">
            <w:pPr>
              <w:spacing w:line="360" w:lineRule="auto"/>
              <w:rPr>
                <w:rFonts w:hint="eastAsia" w:ascii="仿宋" w:hAnsi="仿宋" w:eastAsia="仿宋" w:cs="仿宋"/>
                <w:color w:val="auto"/>
                <w:sz w:val="20"/>
                <w:szCs w:val="20"/>
              </w:rPr>
            </w:pPr>
          </w:p>
        </w:tc>
      </w:tr>
      <w:tr w14:paraId="6BF150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580" w:type="dxa"/>
            <w:gridSpan w:val="7"/>
            <w:tcBorders>
              <w:top w:val="single" w:color="auto" w:sz="4" w:space="0"/>
              <w:left w:val="single" w:color="auto" w:sz="4" w:space="0"/>
              <w:bottom w:val="single" w:color="auto" w:sz="4" w:space="0"/>
              <w:right w:val="single" w:color="auto" w:sz="4" w:space="0"/>
            </w:tcBorders>
            <w:vAlign w:val="center"/>
          </w:tcPr>
          <w:p w14:paraId="0B6CE747">
            <w:pPr>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合计金额（大写）：</w:t>
            </w:r>
            <w:r>
              <w:rPr>
                <w:rFonts w:hint="eastAsia" w:ascii="仿宋" w:hAnsi="仿宋" w:eastAsia="仿宋" w:cs="仿宋"/>
                <w:color w:val="auto"/>
                <w:sz w:val="20"/>
                <w:szCs w:val="20"/>
                <w:u w:val="single"/>
              </w:rPr>
              <w:t xml:space="preserve">            元整 （￥        ）（含税）</w:t>
            </w:r>
          </w:p>
        </w:tc>
      </w:tr>
      <w:tr w14:paraId="6C9298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3" w:hRule="atLeast"/>
          <w:jc w:val="center"/>
        </w:trPr>
        <w:tc>
          <w:tcPr>
            <w:tcW w:w="8580" w:type="dxa"/>
            <w:gridSpan w:val="7"/>
            <w:tcBorders>
              <w:top w:val="single" w:color="auto" w:sz="4" w:space="0"/>
              <w:left w:val="single" w:color="auto" w:sz="4" w:space="0"/>
              <w:bottom w:val="single" w:color="auto" w:sz="4" w:space="0"/>
              <w:right w:val="single" w:color="auto" w:sz="4" w:space="0"/>
            </w:tcBorders>
            <w:vAlign w:val="center"/>
          </w:tcPr>
          <w:p w14:paraId="23BB8964">
            <w:pPr>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特别说明：本合同内容包括但不限于以上内容，以实现项目整体功能、性能为准。</w:t>
            </w:r>
          </w:p>
        </w:tc>
      </w:tr>
    </w:tbl>
    <w:p w14:paraId="4EFB966E">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本合同总额为货物到达使用地点、验收合格达到正常使用条件前的所有费用，包括但不限于运输费、保险费、装卸费、配套资料费、安装调试费用、验收时的试剂耗材、强制性第三方监督检验机构的验收检验费、税费、培训费用以及售后服务费用等。</w:t>
      </w:r>
    </w:p>
    <w:p w14:paraId="24C6E449">
      <w:pPr>
        <w:spacing w:line="360" w:lineRule="auto"/>
        <w:rPr>
          <w:rFonts w:hint="eastAsia" w:ascii="仿宋" w:hAnsi="仿宋" w:eastAsia="仿宋" w:cs="仿宋"/>
          <w:bCs/>
          <w:color w:val="auto"/>
          <w:sz w:val="20"/>
          <w:szCs w:val="20"/>
        </w:rPr>
      </w:pPr>
      <w:r>
        <w:rPr>
          <w:rFonts w:hint="eastAsia" w:ascii="仿宋" w:hAnsi="仿宋" w:eastAsia="仿宋" w:cs="仿宋"/>
          <w:bCs/>
          <w:color w:val="auto"/>
          <w:sz w:val="20"/>
          <w:szCs w:val="20"/>
        </w:rPr>
        <w:t>二、付款方式</w:t>
      </w:r>
    </w:p>
    <w:p w14:paraId="63D898E1">
      <w:pPr>
        <w:spacing w:line="360" w:lineRule="auto"/>
        <w:rPr>
          <w:rFonts w:hint="default" w:ascii="仿宋" w:hAnsi="仿宋" w:eastAsia="仿宋" w:cs="仿宋"/>
          <w:bCs/>
          <w:color w:val="auto"/>
          <w:sz w:val="20"/>
          <w:szCs w:val="20"/>
          <w:u w:val="single"/>
          <w:lang w:val="en-US" w:eastAsia="zh-CN"/>
        </w:rPr>
      </w:pPr>
      <w:r>
        <w:rPr>
          <w:rFonts w:hint="eastAsia" w:ascii="仿宋" w:hAnsi="仿宋" w:eastAsia="仿宋" w:cs="仿宋"/>
          <w:bCs/>
          <w:color w:val="auto"/>
          <w:sz w:val="20"/>
          <w:szCs w:val="20"/>
          <w:lang w:val="en-US" w:eastAsia="zh-CN"/>
        </w:rPr>
        <w:t xml:space="preserve">    </w:t>
      </w:r>
      <w:r>
        <w:rPr>
          <w:rFonts w:hint="eastAsia" w:ascii="仿宋" w:hAnsi="仿宋" w:eastAsia="仿宋" w:cs="仿宋"/>
          <w:bCs/>
          <w:color w:val="auto"/>
          <w:sz w:val="20"/>
          <w:szCs w:val="20"/>
          <w:u w:val="single"/>
          <w:lang w:val="en-US" w:eastAsia="zh-CN"/>
        </w:rPr>
        <w:t xml:space="preserve">                                             </w:t>
      </w:r>
      <w:bookmarkStart w:id="0" w:name="_GoBack"/>
      <w:bookmarkEnd w:id="0"/>
    </w:p>
    <w:p w14:paraId="67137349">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2.甲方开票发票要求：</w:t>
      </w:r>
    </w:p>
    <w:p w14:paraId="703AA91C">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（1）单位名称：</w:t>
      </w:r>
    </w:p>
    <w:p w14:paraId="15767F1A">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（2）单位账号：</w:t>
      </w:r>
    </w:p>
    <w:p w14:paraId="7DF6B985">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（3）开户行：</w:t>
      </w:r>
    </w:p>
    <w:p w14:paraId="7D38228B">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（4）纳税人识别号:</w:t>
      </w:r>
    </w:p>
    <w:p w14:paraId="6D9218D1">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（5）单位地址:</w:t>
      </w:r>
    </w:p>
    <w:p w14:paraId="18CF008A">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3.乙方收款账户信息：</w:t>
      </w:r>
    </w:p>
    <w:p w14:paraId="5854764A">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（1）开户名称：</w:t>
      </w:r>
    </w:p>
    <w:p w14:paraId="3B4ACBA6">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 xml:space="preserve">（2）银行账号：                </w:t>
      </w:r>
    </w:p>
    <w:p w14:paraId="3F73862E">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 xml:space="preserve">（3）开户行 ：               </w:t>
      </w:r>
    </w:p>
    <w:p w14:paraId="4DEF7B9C">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（4）纳税人识别号:</w:t>
      </w:r>
    </w:p>
    <w:p w14:paraId="7765F4E6">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（5）单位地址：</w:t>
      </w:r>
    </w:p>
    <w:p w14:paraId="1D71049B">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（6）供应商规模：（大型企业/中型企业/小微型企业/其他）</w:t>
      </w:r>
    </w:p>
    <w:p w14:paraId="13CA7B43">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（7）供应商特殊性质：（监狱企业/残疾人福利性单位/其他）</w:t>
      </w:r>
    </w:p>
    <w:p w14:paraId="59E781B8">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注：开户行、单位名称、单位账号如有变更，变更一方应在合同规定的相关付款期限前二十天内以书面方式通知对方，如未按时通知或通知有误而影响结算者，所产生的责任及损失自行承担。</w:t>
      </w:r>
    </w:p>
    <w:p w14:paraId="21685B85">
      <w:pPr>
        <w:pStyle w:val="4"/>
        <w:spacing w:line="360" w:lineRule="auto"/>
        <w:ind w:left="0" w:leftChars="0" w:firstLine="0" w:firstLineChars="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三、交货及交货方式</w:t>
      </w:r>
    </w:p>
    <w:p w14:paraId="3B8BB178">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1.交货时间：自合同签订之日起</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日内/</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年</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月</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日。</w:t>
      </w:r>
    </w:p>
    <w:p w14:paraId="79240C40">
      <w:pPr>
        <w:pStyle w:val="4"/>
        <w:spacing w:line="360" w:lineRule="auto"/>
        <w:ind w:left="0" w:leftChars="0" w:firstLine="400"/>
        <w:rPr>
          <w:rFonts w:hint="eastAsia" w:ascii="仿宋" w:hAnsi="仿宋" w:eastAsia="仿宋" w:cs="仿宋"/>
          <w:color w:val="auto"/>
          <w:sz w:val="20"/>
          <w:szCs w:val="20"/>
          <w:u w:val="single"/>
        </w:rPr>
      </w:pPr>
      <w:r>
        <w:rPr>
          <w:rFonts w:hint="eastAsia" w:ascii="仿宋" w:hAnsi="仿宋" w:eastAsia="仿宋" w:cs="仿宋"/>
          <w:color w:val="auto"/>
          <w:kern w:val="0"/>
          <w:sz w:val="20"/>
          <w:szCs w:val="20"/>
          <w:shd w:val="clear" w:color="auto" w:fill="FFFFFF"/>
        </w:rPr>
        <w:t>2.交货地点：</w:t>
      </w:r>
      <w:r>
        <w:rPr>
          <w:rFonts w:hint="eastAsia" w:ascii="仿宋" w:hAnsi="仿宋" w:eastAsia="仿宋" w:cs="仿宋"/>
          <w:color w:val="auto"/>
          <w:sz w:val="20"/>
          <w:szCs w:val="20"/>
        </w:rPr>
        <w:t xml:space="preserve"> </w:t>
      </w:r>
      <w:r>
        <w:rPr>
          <w:rFonts w:hint="eastAsia" w:ascii="仿宋" w:hAnsi="仿宋" w:eastAsia="仿宋" w:cs="仿宋"/>
          <w:color w:val="auto"/>
          <w:sz w:val="20"/>
          <w:szCs w:val="20"/>
          <w:u w:val="single"/>
        </w:rPr>
        <w:t xml:space="preserve">             </w:t>
      </w:r>
    </w:p>
    <w:p w14:paraId="76F6F446">
      <w:pPr>
        <w:pStyle w:val="8"/>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3.本合同所有物品运抵甲方现场后，乙方应在确保设备外包装完好无损的情况下向甲方交货，出现货物不全，外包装破损等情况，甲方不予接收，由乙方负责更换，其相关费用由乙方负担，交货时间不予顺延。</w:t>
      </w:r>
    </w:p>
    <w:p w14:paraId="7B061989">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4.乙方负责安全地在约定期内送货到约定的地点，运输方式由乙方自行决定，相关费用由乙方承担。运输途中产生的交通事故、人身伤害、财产损失等责任均由乙方自行承担，与甲方无关。</w:t>
      </w:r>
    </w:p>
    <w:p w14:paraId="340EA391">
      <w:pPr>
        <w:pStyle w:val="4"/>
        <w:spacing w:line="360" w:lineRule="auto"/>
        <w:ind w:left="0" w:leftChars="0" w:firstLine="0" w:firstLineChars="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四、产品质量保证</w:t>
      </w:r>
    </w:p>
    <w:p w14:paraId="30A5C2D3">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1.乙方必须保证所提供的货物及配套产品是合同规定厂家制造的、崭新的、未曾使用过的合格货物，品牌、规格型号及数量需与合同完全一致。</w:t>
      </w:r>
    </w:p>
    <w:p w14:paraId="622FE7A0">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2.乙方提供的货物必须符合合同技术指标要求，并能按国家标准（行业标准）供应、检测、调试，确保产品技术指标满足使用要求。</w:t>
      </w:r>
    </w:p>
    <w:p w14:paraId="62D5D03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3.货物质保期为货物最终验收合格之日起</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年。质保期内乙方免费进行维保，包括货物的零配件及不能解决的故障需要返回生产厂维修时所发生的一切费用。</w:t>
      </w:r>
    </w:p>
    <w:p w14:paraId="3FA0FDA8">
      <w:pPr>
        <w:pStyle w:val="4"/>
        <w:spacing w:line="360" w:lineRule="auto"/>
        <w:ind w:left="0" w:leftChars="0" w:firstLine="400"/>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4.其他乙方质量保证要求可根据具体项目补充............</w:t>
      </w:r>
    </w:p>
    <w:p w14:paraId="1E2FFAAA">
      <w:pPr>
        <w:spacing w:line="360" w:lineRule="auto"/>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五、技术服务承诺</w:t>
      </w:r>
    </w:p>
    <w:p w14:paraId="31AFFD10">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1.到货后，由乙方技术人员会同甲方项目单位人员在甲方现场开箱、安装、调试，乙方不得另行收费。</w:t>
      </w:r>
    </w:p>
    <w:p w14:paraId="478C1638">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2.乙方负责提供仪器设备相应的技术资料，包括产品合格证、产品保修单、安装使用及维护说明书以及运输装箱清单等。</w:t>
      </w:r>
    </w:p>
    <w:p w14:paraId="643D4027">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3.人员培训：乙方免费为甲方培训设备使用人员，培训内容包括但不限于：设备操作、维护、简单维修等。（备注：需明确培训的形式、次数、时长等信息）</w:t>
      </w:r>
    </w:p>
    <w:p w14:paraId="1CD301E5">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4.如果采购货物在质保期内出现质量问题，乙方收到甲方维护要求后，在</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小时内做出响应；遇有严重技术问题、重大故障，需要现场维护的，乙方应在</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小时内到达甲方现场（在交通允许的情况下）。</w:t>
      </w:r>
    </w:p>
    <w:p w14:paraId="65FC6CFB">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接到维修通知后，乙方须在约定保修时间内进行维修；如因乙方未及时进行维修，致使甲方造成人身、财产损害的，甲方有权依据有关法律、法规进行追偿。未在约定报修时间内进行维修的，由甲方安排其他方式进行维修，维修费用由乙方承担。</w:t>
      </w:r>
    </w:p>
    <w:p w14:paraId="1FEDBB44">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6.其它技术服务承诺：（可添加条款）</w:t>
      </w:r>
    </w:p>
    <w:p w14:paraId="7E35F09F">
      <w:pPr>
        <w:spacing w:line="360" w:lineRule="auto"/>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六、验收方法及标准</w:t>
      </w:r>
    </w:p>
    <w:p w14:paraId="765D0A8E">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货物到货后，甲方、乙方双方共同开箱验收，在检查货物原产地、规格、型号、配置符合合同要求后，由乙方负责安装调试、甲方与乙方以合同文本中描述的有关技术要求为准，出具验收报告。</w:t>
      </w:r>
    </w:p>
    <w:p w14:paraId="6A6AE118">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七、 违约责任</w:t>
      </w:r>
    </w:p>
    <w:p w14:paraId="214A4B2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1.合同生效后，甲乙双方应按合同规定认真履约。</w:t>
      </w:r>
    </w:p>
    <w:p w14:paraId="3A312308">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2.乙方若因非不可抗力因素无法在供货期内按时供货，乙方应从要求最迟交货日的次日起，每日向甲方支付延迟交货部分货款的【】%的违约金，逾期超过【】日的，甲方有权解除本合同。因此，给甲方造成损失的，乙方应当承担全部赔偿责任。</w:t>
      </w:r>
    </w:p>
    <w:p w14:paraId="0A19AEEB">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除不可抗力原因外，如遇下列情况之一者，甲方有权单方面解除本合同，要求乙方向甲方支付合同总金额【】%的违约金，并追究乙方的相关责任：（1）合同签订后不能按合同时限要求供货或安装调试；（2）所供设备不合格或与合同不符；（3）不能按合同履约；（4）设备开箱、验收不合格。</w:t>
      </w:r>
    </w:p>
    <w:p w14:paraId="16582C04">
      <w:pPr>
        <w:spacing w:line="360" w:lineRule="auto"/>
        <w:ind w:firstLine="400" w:firstLineChars="200"/>
        <w:rPr>
          <w:rFonts w:hint="eastAsia" w:ascii="仿宋" w:hAnsi="仿宋" w:eastAsia="仿宋" w:cs="仿宋"/>
          <w:color w:val="auto"/>
          <w:kern w:val="0"/>
          <w:sz w:val="20"/>
          <w:szCs w:val="20"/>
          <w:highlight w:val="yellow"/>
          <w:shd w:val="clear" w:color="auto" w:fill="FFFFFF"/>
        </w:rPr>
      </w:pPr>
      <w:r>
        <w:rPr>
          <w:rFonts w:hint="eastAsia" w:ascii="仿宋" w:hAnsi="仿宋" w:eastAsia="仿宋" w:cs="仿宋"/>
          <w:color w:val="auto"/>
          <w:kern w:val="0"/>
          <w:sz w:val="20"/>
          <w:szCs w:val="20"/>
          <w:shd w:val="clear" w:color="auto" w:fill="FFFFFF"/>
        </w:rPr>
        <w:t>4.在质保期内，乙方对所供产品出现的问题推托、拖延，未在约定保修时间内进行维修的，每逾期一次乙方应向甲方偿付合同总金额【】%的的违约金。</w:t>
      </w:r>
    </w:p>
    <w:p w14:paraId="4F9D433C">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5.合同履约过程中，甲方应积极配合乙方进行验收以及验收前的外围配套等工作。否则，因此导致不能按期验收时，不能追究乙方责任。</w:t>
      </w:r>
    </w:p>
    <w:p w14:paraId="5F292DF6">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6.本合同履行过程中，任意一方未及时履行相关义务，经守约方催告后仍未履行的，守约方可于催告期满后解除本合同，由此产生的相应损失，由违约方承担。</w:t>
      </w:r>
    </w:p>
    <w:p w14:paraId="49D5160D">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7.乙方向甲方交付的货物不得侵害任何第三方的合法权利，否则，甲方有权解除本合同。乙方应当向甲方支付本合同总价款【】%的违约金并退还给甲方已支付的全部费用。同时，给甲方造成损失的。乙方应当承担全部赔偿责任。</w:t>
      </w:r>
    </w:p>
    <w:p w14:paraId="0EBBC8D7">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8.未经甲方许可，乙方不得擅自将本合同约定的全部或部分义务转让给第三方，否则，甲方有权解除本合同。乙方应当向甲方支付本合同总价款【】%的违约金。同时，给甲方造成损失的，乙方应当承担全部赔偿责任。</w:t>
      </w:r>
    </w:p>
    <w:p w14:paraId="5514AAF5">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9.乙方应当对本合同履行过程中获取的甲方相关数据及资料承担保密义务，保密期限为长期。乙方违反本合同约定的保密义务的，应当向甲方承担本合同总价款【】%的违约金并立即采取补救措施。同时，甲方有权解除本合同。同时，给甲方造成损失的，乙方应当承担全部赔偿责任。</w:t>
      </w:r>
    </w:p>
    <w:p w14:paraId="14EF6474">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八、不可抗力</w:t>
      </w:r>
    </w:p>
    <w:p w14:paraId="3EED7BC0">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1.不可抗力是指本合同生效后，发生合同订立时不能预见、不能避免，并不能克服的客观情况，如地震、台风、水灾、战争等，致使直接影响本合同的履行或不能按约定的条件履行。</w:t>
      </w:r>
    </w:p>
    <w:p w14:paraId="37B144C6">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2.发生不可抗力的一方应立即通知对方，并在十五天内提供不可抗力的详情及将有关证明文件送交对方。</w:t>
      </w:r>
    </w:p>
    <w:p w14:paraId="26A83979">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3.发生不可抗力事件时，甲乙双方应协商以寻找合理的解决方法，双方不可放任不可抗力事件损害后果。</w:t>
      </w:r>
    </w:p>
    <w:p w14:paraId="1EB18CC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4.如不可抗力事件持续三十天时，甲乙双方应友好协商解决本合同是否继续履行或终止的问题。</w:t>
      </w:r>
    </w:p>
    <w:p w14:paraId="1C71B1FD">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九、风险承担</w:t>
      </w:r>
    </w:p>
    <w:p w14:paraId="50C603A3">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1.货物毁损、灭失的风险，在货物经甲方验收合格以前由乙方承担，在货物经甲方验收合格并由乙方交付以后由甲方承担。</w:t>
      </w:r>
    </w:p>
    <w:p w14:paraId="57865E0E">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2.甲方因货物质量不符合约定的质量要求而拒绝接受货物或解除合同的，货物毁损、灭失的风险由乙方承担。</w:t>
      </w:r>
    </w:p>
    <w:p w14:paraId="58D310C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3.由乙方承担货物毁损、灭失风险的，如货物毁损或灭失的，乙方应于</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天内重新提供符合合同规定的货物，否则，视为乙方逾期交货。</w:t>
      </w:r>
    </w:p>
    <w:p w14:paraId="3436BBDE">
      <w:pPr>
        <w:widowControl/>
        <w:shd w:val="clear" w:color="auto" w:fill="FFFFFF"/>
        <w:spacing w:line="360" w:lineRule="auto"/>
        <w:ind w:firstLine="400" w:firstLineChars="200"/>
        <w:jc w:val="left"/>
        <w:rPr>
          <w:rFonts w:hint="eastAsia" w:ascii="仿宋" w:hAnsi="仿宋" w:eastAsia="仿宋" w:cs="仿宋"/>
          <w:color w:val="auto"/>
          <w:kern w:val="0"/>
          <w:sz w:val="20"/>
          <w:szCs w:val="20"/>
          <w:highlight w:val="yellow"/>
          <w:shd w:val="clear" w:color="auto" w:fill="FFFFFF"/>
        </w:rPr>
      </w:pPr>
      <w:r>
        <w:rPr>
          <w:rFonts w:hint="eastAsia" w:ascii="仿宋" w:hAnsi="仿宋" w:eastAsia="仿宋" w:cs="仿宋"/>
          <w:color w:val="auto"/>
          <w:kern w:val="0"/>
          <w:sz w:val="20"/>
          <w:szCs w:val="20"/>
          <w:shd w:val="clear" w:color="auto" w:fill="FFFFFF"/>
        </w:rPr>
        <w:t>4.由甲方承担货物毁损、灭失风险的，则甲方不能免除给付货款的义务。</w:t>
      </w:r>
    </w:p>
    <w:p w14:paraId="32D201E0">
      <w:pPr>
        <w:spacing w:line="360" w:lineRule="auto"/>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十、合同生效与终止</w:t>
      </w:r>
    </w:p>
    <w:p w14:paraId="3D9EBA21">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1.本合同自甲乙双方签字且盖章之日起生效。本合同双方法定代表人或委托代理人签字并加盖单位公章之日即为本合同的生效日期。如双方签字日期不一致时，以最后签字方的签字日期为合同的生效日期。</w:t>
      </w:r>
    </w:p>
    <w:p w14:paraId="0D574FF8">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2.本合同的“采购物品”最终质量保证期限届满日期，即为本合同的终止日期。保密条款、争议解决和双方未了的债权和债务不受合同期满的影响，并且守约方有权提出索赔。</w:t>
      </w:r>
    </w:p>
    <w:p w14:paraId="69A3979C">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3.如乙方未能全面履行合同所有条款，甲方有权单方面解除合同，不退还乙方所交履约保证金（如有），以此作为乙方对甲方的赔偿，并保留追究相关责任的权利。</w:t>
      </w:r>
    </w:p>
    <w:p w14:paraId="43FC368E">
      <w:pPr>
        <w:widowControl/>
        <w:shd w:val="clear" w:color="auto" w:fill="FFFFFF"/>
        <w:spacing w:line="360" w:lineRule="auto"/>
        <w:textAlignment w:val="baseline"/>
        <w:rPr>
          <w:rFonts w:hint="eastAsia" w:ascii="仿宋" w:hAnsi="仿宋" w:eastAsia="仿宋" w:cs="仿宋"/>
          <w:bCs/>
          <w:color w:val="auto"/>
          <w:sz w:val="20"/>
          <w:szCs w:val="20"/>
        </w:rPr>
      </w:pPr>
      <w:r>
        <w:rPr>
          <w:rFonts w:hint="eastAsia" w:ascii="仿宋" w:hAnsi="仿宋" w:eastAsia="仿宋" w:cs="仿宋"/>
          <w:bCs/>
          <w:color w:val="auto"/>
          <w:kern w:val="0"/>
          <w:sz w:val="20"/>
          <w:szCs w:val="20"/>
          <w:shd w:val="clear" w:color="auto" w:fill="FFFFFF"/>
        </w:rPr>
        <w:t>十一、 解决争议的方法</w:t>
      </w:r>
    </w:p>
    <w:p w14:paraId="3DC5BB3B">
      <w:pPr>
        <w:widowControl/>
        <w:shd w:val="clear" w:color="auto" w:fill="FFFFFF"/>
        <w:spacing w:line="360" w:lineRule="auto"/>
        <w:ind w:firstLine="562"/>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 本合同在履行过程中发生的争议，双方应协商解决，协商不成时，任何一方均可向甲方所在地有管辖权的人民法院提起诉讼。</w:t>
      </w:r>
    </w:p>
    <w:p w14:paraId="65AC9183">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十二、 其他规定</w:t>
      </w:r>
    </w:p>
    <w:p w14:paraId="28572895">
      <w:pPr>
        <w:widowControl/>
        <w:shd w:val="clear" w:color="auto" w:fill="FFFFFF"/>
        <w:spacing w:line="360" w:lineRule="auto"/>
        <w:ind w:firstLine="562"/>
        <w:jc w:val="left"/>
        <w:textAlignment w:val="baseline"/>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 1.合同的主要条款应当与招标文件和乙方的投标文件的内容保持一致，双方不得再行订立背离合同实质性内容的其他协议”。</w:t>
      </w:r>
    </w:p>
    <w:p w14:paraId="32BC9560">
      <w:pPr>
        <w:widowControl/>
        <w:shd w:val="clear" w:color="auto" w:fill="FFFFFF"/>
        <w:spacing w:line="360" w:lineRule="auto"/>
        <w:ind w:firstLine="562"/>
        <w:jc w:val="left"/>
        <w:textAlignment w:val="baseline"/>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  双方约定的其它事项（双方根据相关法律法规的规定和合同性质的需要协商一致确定的条款，如保密条款、安全条款、廉洁条款等）。</w:t>
      </w:r>
    </w:p>
    <w:p w14:paraId="07BB5507">
      <w:pPr>
        <w:widowControl/>
        <w:shd w:val="clear" w:color="auto" w:fill="FFFFFF"/>
        <w:spacing w:line="360" w:lineRule="auto"/>
        <w:ind w:firstLine="400" w:firstLineChars="200"/>
        <w:jc w:val="left"/>
        <w:textAlignment w:val="baseline"/>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3.本合同一式6份，甲方执4份（国资处1份，财务处1份，使用单位2份），乙方执2份，具有同等法律效力。</w:t>
      </w:r>
    </w:p>
    <w:p w14:paraId="38B99628">
      <w:pPr>
        <w:widowControl/>
        <w:shd w:val="clear" w:color="auto" w:fill="FFFFFF"/>
        <w:spacing w:line="360" w:lineRule="auto"/>
        <w:ind w:firstLine="562"/>
        <w:jc w:val="left"/>
        <w:textAlignment w:val="baseline"/>
        <w:rPr>
          <w:rFonts w:hint="eastAsia" w:ascii="仿宋" w:hAnsi="仿宋" w:eastAsia="仿宋" w:cs="仿宋"/>
          <w:color w:val="auto"/>
          <w:sz w:val="20"/>
          <w:szCs w:val="20"/>
        </w:rPr>
      </w:pPr>
      <w:r>
        <w:rPr>
          <w:rFonts w:hint="eastAsia" w:ascii="仿宋" w:hAnsi="仿宋" w:eastAsia="仿宋" w:cs="仿宋"/>
          <w:color w:val="auto"/>
          <w:sz w:val="20"/>
          <w:szCs w:val="20"/>
        </w:rPr>
        <w:t>4.</w:t>
      </w:r>
      <w:r>
        <w:rPr>
          <w:rFonts w:hint="eastAsia" w:ascii="仿宋" w:hAnsi="仿宋" w:eastAsia="仿宋" w:cs="仿宋"/>
          <w:color w:val="auto"/>
          <w:kern w:val="0"/>
          <w:sz w:val="20"/>
          <w:szCs w:val="20"/>
          <w:shd w:val="clear" w:color="auto" w:fill="FFFFFF"/>
        </w:rPr>
        <w:t>合同的附件为本合同不可分割的组成部分，与本合同具有同等的法律效力。　　</w:t>
      </w:r>
    </w:p>
    <w:p w14:paraId="42C2413E">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 </w:t>
      </w:r>
    </w:p>
    <w:p w14:paraId="314DB0A8">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甲方（盖章）：</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乙方（盖章）：</w:t>
      </w:r>
      <w:r>
        <w:rPr>
          <w:rFonts w:hint="eastAsia" w:ascii="仿宋" w:hAnsi="仿宋" w:eastAsia="仿宋" w:cs="仿宋"/>
          <w:color w:val="auto"/>
          <w:kern w:val="0"/>
          <w:sz w:val="20"/>
          <w:szCs w:val="20"/>
          <w:u w:val="single"/>
          <w:shd w:val="clear" w:color="auto" w:fill="FFFFFF"/>
        </w:rPr>
        <w:t>           </w:t>
      </w:r>
    </w:p>
    <w:p w14:paraId="0C7EDB4D">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法定代表人（委托代理人）       法定代表人（委托代理人）</w:t>
      </w:r>
    </w:p>
    <w:p w14:paraId="79AFCA46">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（签字）：</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（签字）：</w:t>
      </w:r>
      <w:r>
        <w:rPr>
          <w:rFonts w:hint="eastAsia" w:ascii="仿宋" w:hAnsi="仿宋" w:eastAsia="仿宋" w:cs="仿宋"/>
          <w:color w:val="auto"/>
          <w:kern w:val="0"/>
          <w:sz w:val="20"/>
          <w:szCs w:val="20"/>
          <w:u w:val="single"/>
          <w:shd w:val="clear" w:color="auto" w:fill="FFFFFF"/>
        </w:rPr>
        <w:t>                </w:t>
      </w:r>
    </w:p>
    <w:p w14:paraId="67EFCD33">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联 系 人：</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联 系 人：</w:t>
      </w:r>
      <w:r>
        <w:rPr>
          <w:rFonts w:hint="eastAsia" w:ascii="仿宋" w:hAnsi="仿宋" w:eastAsia="仿宋" w:cs="仿宋"/>
          <w:color w:val="auto"/>
          <w:kern w:val="0"/>
          <w:sz w:val="20"/>
          <w:szCs w:val="20"/>
          <w:u w:val="single"/>
          <w:shd w:val="clear" w:color="auto" w:fill="FFFFFF"/>
        </w:rPr>
        <w:t>                 </w:t>
      </w:r>
    </w:p>
    <w:p w14:paraId="759FFB69">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联系方式：</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联系方式：</w:t>
      </w:r>
      <w:r>
        <w:rPr>
          <w:rFonts w:hint="eastAsia" w:ascii="仿宋" w:hAnsi="仿宋" w:eastAsia="仿宋" w:cs="仿宋"/>
          <w:color w:val="auto"/>
          <w:kern w:val="0"/>
          <w:sz w:val="20"/>
          <w:szCs w:val="20"/>
          <w:u w:val="single"/>
          <w:shd w:val="clear" w:color="auto" w:fill="FFFFFF"/>
        </w:rPr>
        <w:t>                 </w:t>
      </w:r>
    </w:p>
    <w:p w14:paraId="157CDBD7">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签订时间： </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年</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月</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日      签订时间： </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年</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月</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日</w:t>
      </w:r>
    </w:p>
    <w:p w14:paraId="720A81C6">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签订地点：</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签订地点：</w:t>
      </w:r>
      <w:r>
        <w:rPr>
          <w:rFonts w:hint="eastAsia" w:ascii="仿宋" w:hAnsi="仿宋" w:eastAsia="仿宋" w:cs="仿宋"/>
          <w:color w:val="auto"/>
          <w:kern w:val="0"/>
          <w:sz w:val="20"/>
          <w:szCs w:val="20"/>
          <w:u w:val="single"/>
          <w:shd w:val="clear" w:color="auto" w:fill="FFFFFF"/>
        </w:rPr>
        <w:t>                </w:t>
      </w:r>
    </w:p>
    <w:p w14:paraId="18216B63">
      <w:pPr>
        <w:spacing w:line="360" w:lineRule="auto"/>
        <w:rPr>
          <w:color w:val="auto"/>
          <w:sz w:val="24"/>
        </w:rPr>
      </w:pPr>
    </w:p>
    <w:p w14:paraId="3E23D752">
      <w:pPr>
        <w:pStyle w:val="7"/>
        <w:rPr>
          <w:rFonts w:hint="default" w:ascii="仿宋_GB2312" w:hAnsi="仿宋_GB2312" w:eastAsia="仿宋_GB2312" w:cs="仿宋_GB2312"/>
          <w:color w:val="auto"/>
        </w:rPr>
      </w:pPr>
    </w:p>
    <w:p w14:paraId="1C90D830">
      <w:pPr>
        <w:pStyle w:val="7"/>
        <w:rPr>
          <w:rFonts w:hint="default"/>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p>
    <w:p w14:paraId="629FAE2F">
      <w:pPr>
        <w:pStyle w:val="7"/>
        <w:rPr>
          <w:rFonts w:hint="default"/>
          <w:color w:val="auto"/>
        </w:rPr>
      </w:pPr>
    </w:p>
    <w:p w14:paraId="0FB79E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97604B"/>
    <w:rsid w:val="2A377049"/>
    <w:rsid w:val="56D90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ind w:left="455" w:leftChars="30" w:hanging="425" w:hangingChars="425"/>
    </w:pPr>
    <w:rPr>
      <w:rFonts w:ascii="宋体" w:hAnsi="Times New Roman" w:cs="Times New Roman"/>
      <w:sz w:val="24"/>
    </w:rPr>
  </w:style>
  <w:style w:type="paragraph" w:styleId="3">
    <w:name w:val="Normal (Web)"/>
    <w:basedOn w:val="1"/>
    <w:qFormat/>
    <w:uiPriority w:val="0"/>
    <w:pPr>
      <w:spacing w:beforeAutospacing="1" w:afterAutospacing="1"/>
      <w:jc w:val="left"/>
    </w:pPr>
    <w:rPr>
      <w:rFonts w:cs="Times New Roman"/>
      <w:kern w:val="0"/>
      <w:sz w:val="24"/>
    </w:rPr>
  </w:style>
  <w:style w:type="paragraph" w:styleId="4">
    <w:name w:val="Body Text First Indent 2"/>
    <w:basedOn w:val="2"/>
    <w:qFormat/>
    <w:uiPriority w:val="0"/>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1"/>
    <w:basedOn w:val="1"/>
    <w:next w:val="3"/>
    <w:qFormat/>
    <w:uiPriority w:val="0"/>
    <w:rPr>
      <w:rFonts w:ascii="Times New Roman" w:hAnsi="Times New Roman"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3625</Words>
  <Characters>3679</Characters>
  <Lines>0</Lines>
  <Paragraphs>0</Paragraphs>
  <TotalTime>0</TotalTime>
  <ScaleCrop>false</ScaleCrop>
  <LinksUpToDate>false</LinksUpToDate>
  <CharactersWithSpaces>4182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2025-09-22T08:54:00Z</dcterms:created>
  <dc:creator>Administrator</dc:creator>
  <cp:lastModifiedBy>cool~静</cp:lastModifiedBy>
  <dcterms:modified xsi:type="dcterms:W3CDTF">2025-12-08T06:09:53Z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A78839BDD82B48C6B9B67D241DF0A610_12</vt:lpwstr>
  </property>
</Properties>
</file>