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版本号：HXGJXM2025-ZC-CS112420251231001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疫苗存储运输责任保险采购(二次)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HXGJXM2025-ZC-CS1124</w:t>
      </w:r>
      <w:r>
        <w:br/>
      </w:r>
      <w:r>
        <w:br/>
      </w:r>
      <w:r>
        <w:br/>
      </w:r>
    </w:p>
    <w:p>
      <w:pPr>
        <w:pStyle w:val="null3"/>
        <w:jc w:val="center"/>
        <w:outlineLvl w:val="2"/>
      </w:pPr>
      <w:r>
        <w:rPr>
          <w:rFonts w:ascii="仿宋_GB2312" w:hAnsi="仿宋_GB2312" w:cs="仿宋_GB2312" w:eastAsia="仿宋_GB2312"/>
          <w:sz w:val="28"/>
          <w:b/>
        </w:rPr>
        <w:t>陕西省疾病预防控制中心</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陕西省疾病预防控制中心</w:t>
      </w:r>
      <w:r>
        <w:rPr>
          <w:rFonts w:ascii="仿宋_GB2312" w:hAnsi="仿宋_GB2312" w:cs="仿宋_GB2312" w:eastAsia="仿宋_GB2312"/>
        </w:rPr>
        <w:t>委托，拟对</w:t>
      </w:r>
      <w:r>
        <w:rPr>
          <w:rFonts w:ascii="仿宋_GB2312" w:hAnsi="仿宋_GB2312" w:cs="仿宋_GB2312" w:eastAsia="仿宋_GB2312"/>
        </w:rPr>
        <w:t>疫苗存储运输责任保险采购(二次)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HXGJXM2025-ZC-CS1124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疫苗存储运输责任保险采购(二次)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陕西省疾病预防控制中心疫苗存储运输责任保险采购。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或负责人直接参加磋商的，须出具法定代表人身份证或负责人身份证，并与营业执照上信息一致。法定代表人授权代表或负责人授权代表参加磋商的，须出具法定代表人授权书或负责人授权人及被授权人身份证复印件和被授权人投标截止日前一年内已缴存的至少一个月的社会保障资金凭证（事业单位参照执行）；</w:t>
      </w:r>
    </w:p>
    <w:p>
      <w:pPr>
        <w:pStyle w:val="null3"/>
      </w:pPr>
      <w:r>
        <w:rPr>
          <w:rFonts w:ascii="仿宋_GB2312" w:hAnsi="仿宋_GB2312" w:cs="仿宋_GB2312" w:eastAsia="仿宋_GB2312"/>
        </w:rPr>
        <w:t>2、资质证书：供应商具有行业主管部门颁发的保险许可证（同一保险机构只允许其总公司或一家分支机构参与磋商）；</w:t>
      </w:r>
    </w:p>
    <w:p>
      <w:pPr>
        <w:pStyle w:val="null3"/>
      </w:pPr>
      <w:r>
        <w:rPr>
          <w:rFonts w:ascii="仿宋_GB2312" w:hAnsi="仿宋_GB2312" w:cs="仿宋_GB2312" w:eastAsia="仿宋_GB2312"/>
        </w:rPr>
        <w:t>3、信用记录：供应商应在磋商截止日前未被列入失信被执行人、重大税收违法失信主体、政府采购严重违法失信行为记录名单（处罚期限届满的除外）（以“信用中国”网站（www.creditchina.gov.cn）或中国政府采购网（www.ccgp.gov.cn）查询结果为准。</w:t>
      </w:r>
    </w:p>
    <w:p>
      <w:pPr>
        <w:pStyle w:val="null3"/>
      </w:pPr>
      <w:r>
        <w:rPr>
          <w:rFonts w:ascii="仿宋_GB2312" w:hAnsi="仿宋_GB2312" w:cs="仿宋_GB2312" w:eastAsia="仿宋_GB2312"/>
        </w:rPr>
        <w:t>4、是否接受联合体：本项目不接受联合体磋商。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陕西省西安市碑林区和平门外建东街3号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029-82476605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王攀宏、李小峰、康敏茹、张艳萍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开户名称：华夏国际项目管理（西安）有限公司</w:t>
            </w:r>
          </w:p>
          <w:p>
            <w:pPr>
              <w:pStyle w:val="null3"/>
            </w:pPr>
            <w:r>
              <w:rPr>
                <w:rFonts w:ascii="仿宋_GB2312" w:hAnsi="仿宋_GB2312" w:cs="仿宋_GB2312" w:eastAsia="仿宋_GB2312"/>
              </w:rPr>
              <w:t>开户银行：中国工商银行股份有限公司西安城南科技支行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的通知(计价格[2002]1980号)及国家发展和改革委员会办公厅颁发的《关于招标代理服务收费有关问题的通知》（发改办价格[2003]857号）规定的标准按服务类计取。 名称：华夏国际项目管理（西安）有限公司第一分公司 开户行：中国光大银行股份有限公司西安科技六路支行 银行账号：78620188000199459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陕西省疾病预防控制中心</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陕西省疾病预防控制中心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根据每笔运送货物所产生的保险订单，订单的有效期按照此货物在库和出库时间计算。</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联系人：王攀宏、李小峰、康敏茹、张艳萍</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地址：陕西省西安市莲湖区二环南路西段202号九座花园16层1605室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陕西省疾病预防控制中心疫苗存储运输责任保险采购。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陕西省疾病预防控制中心疫苗存储运输责任保险采购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标的名称：陕西省疾病预防控制中心疫苗存储运输责任保险采购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一、投保人/被保险人：陕西省疾病预防控制中心</w:t>
            </w:r>
          </w:p>
          <w:p>
            <w:pPr>
              <w:pStyle w:val="null3"/>
            </w:pPr>
            <w:r>
              <w:rPr>
                <w:rFonts w:ascii="仿宋_GB2312" w:hAnsi="仿宋_GB2312" w:cs="仿宋_GB2312" w:eastAsia="仿宋_GB2312"/>
                <w:sz w:val="21"/>
              </w:rPr>
              <w:t>二、险种：货运险、附加险</w:t>
            </w:r>
          </w:p>
          <w:p>
            <w:pPr>
              <w:pStyle w:val="null3"/>
            </w:pPr>
            <w:r>
              <w:rPr>
                <w:rFonts w:ascii="仿宋_GB2312" w:hAnsi="仿宋_GB2312" w:cs="仿宋_GB2312" w:eastAsia="仿宋_GB2312"/>
                <w:sz w:val="21"/>
              </w:rPr>
              <w:t>1、货运险</w:t>
            </w:r>
          </w:p>
          <w:p>
            <w:pPr>
              <w:pStyle w:val="null3"/>
              <w:ind w:firstLine="400"/>
            </w:pPr>
            <w:r>
              <w:rPr>
                <w:rFonts w:ascii="仿宋_GB2312" w:hAnsi="仿宋_GB2312" w:cs="仿宋_GB2312" w:eastAsia="仿宋_GB2312"/>
                <w:sz w:val="21"/>
              </w:rPr>
              <w:t>有7台自有的福田图雅诺冷藏车，无道路运输许可证（因单位属性为事业单位，无法办理道路运输许可证），且车辆都为小于4.5吨以下的封闭式冷藏车。</w:t>
            </w:r>
          </w:p>
          <w:p>
            <w:pPr>
              <w:pStyle w:val="null3"/>
              <w:ind w:firstLine="400"/>
            </w:pPr>
            <w:r>
              <w:rPr>
                <w:rFonts w:ascii="仿宋_GB2312" w:hAnsi="仿宋_GB2312" w:cs="仿宋_GB2312" w:eastAsia="仿宋_GB2312"/>
                <w:sz w:val="21"/>
              </w:rPr>
              <w:t>每周一发车、根据货量发3-5台车，按照路线划分（西安-陕北：包含铜川延安榆林）（西安-陕南：包含商洛安康汉中）（西安-关中：包含咸阳杨凌宝鸡渭南）</w:t>
            </w:r>
          </w:p>
          <w:p>
            <w:pPr>
              <w:pStyle w:val="null3"/>
              <w:ind w:firstLine="400"/>
            </w:pPr>
            <w:r>
              <w:rPr>
                <w:rFonts w:ascii="仿宋_GB2312" w:hAnsi="仿宋_GB2312" w:cs="仿宋_GB2312" w:eastAsia="仿宋_GB2312"/>
                <w:sz w:val="21"/>
              </w:rPr>
              <w:t>单车运输最大价值3500万，一年约出车240台次。</w:t>
            </w:r>
          </w:p>
          <w:p>
            <w:pPr>
              <w:pStyle w:val="null3"/>
              <w:ind w:firstLine="400"/>
            </w:pPr>
            <w:r>
              <w:rPr>
                <w:rFonts w:ascii="仿宋_GB2312" w:hAnsi="仿宋_GB2312" w:cs="仿宋_GB2312" w:eastAsia="仿宋_GB2312"/>
                <w:sz w:val="21"/>
              </w:rPr>
              <w:t>保额按照单次运输最大赔付额3500万元，全年累计赔偿限额为全年货物投保金额。</w:t>
            </w:r>
          </w:p>
          <w:p>
            <w:pPr>
              <w:pStyle w:val="null3"/>
            </w:pPr>
            <w:r>
              <w:rPr>
                <w:rFonts w:ascii="仿宋_GB2312" w:hAnsi="仿宋_GB2312" w:cs="仿宋_GB2312" w:eastAsia="仿宋_GB2312"/>
                <w:sz w:val="21"/>
              </w:rPr>
              <w:t>三、附加险：盗窃；</w:t>
            </w:r>
          </w:p>
          <w:p>
            <w:pPr>
              <w:pStyle w:val="null3"/>
            </w:pPr>
            <w:r>
              <w:rPr>
                <w:rFonts w:ascii="仿宋_GB2312" w:hAnsi="仿宋_GB2312" w:cs="仿宋_GB2312" w:eastAsia="仿宋_GB2312"/>
                <w:sz w:val="21"/>
              </w:rPr>
              <w:t>四、运输货物：各类疫苗</w:t>
            </w:r>
          </w:p>
          <w:p>
            <w:pPr>
              <w:pStyle w:val="null3"/>
            </w:pPr>
            <w:r>
              <w:rPr>
                <w:rFonts w:ascii="仿宋_GB2312" w:hAnsi="仿宋_GB2312" w:cs="仿宋_GB2312" w:eastAsia="仿宋_GB2312"/>
                <w:sz w:val="21"/>
              </w:rPr>
              <w:t>五、运输工具：符合 GSP 管理规范的冷链车</w:t>
            </w:r>
          </w:p>
          <w:p>
            <w:pPr>
              <w:pStyle w:val="null3"/>
            </w:pPr>
            <w:r>
              <w:rPr>
                <w:rFonts w:ascii="仿宋_GB2312" w:hAnsi="仿宋_GB2312" w:cs="仿宋_GB2312" w:eastAsia="仿宋_GB2312"/>
                <w:sz w:val="21"/>
              </w:rPr>
              <w:t>六、包装及配载条件：符合 GSP 要求的生物制品冷藏条件，投保人/被保险人保证全程运输的包装配载条件完全符合国家、行业标准。</w:t>
            </w:r>
          </w:p>
          <w:p>
            <w:pPr>
              <w:pStyle w:val="null3"/>
            </w:pPr>
            <w:r>
              <w:rPr>
                <w:rFonts w:ascii="仿宋_GB2312" w:hAnsi="仿宋_GB2312" w:cs="仿宋_GB2312" w:eastAsia="仿宋_GB2312"/>
                <w:sz w:val="21"/>
              </w:rPr>
              <w:t>七、路线：</w:t>
            </w:r>
          </w:p>
          <w:p>
            <w:pPr>
              <w:pStyle w:val="null3"/>
            </w:pPr>
            <w:r>
              <w:rPr>
                <w:rFonts w:ascii="仿宋_GB2312" w:hAnsi="仿宋_GB2312" w:cs="仿宋_GB2312" w:eastAsia="仿宋_GB2312"/>
                <w:sz w:val="21"/>
              </w:rPr>
              <w:t>全省108各区县疾控中心的陆运</w:t>
            </w:r>
          </w:p>
          <w:p>
            <w:pPr>
              <w:pStyle w:val="null3"/>
            </w:pPr>
            <w:r>
              <w:rPr>
                <w:rFonts w:ascii="仿宋_GB2312" w:hAnsi="仿宋_GB2312" w:cs="仿宋_GB2312" w:eastAsia="仿宋_GB2312"/>
                <w:sz w:val="21"/>
              </w:rPr>
              <w:t xml:space="preserve">八、全年投保货物金额：约50亿元（以实际发生额为准） </w:t>
            </w:r>
          </w:p>
          <w:p>
            <w:pPr>
              <w:pStyle w:val="null3"/>
            </w:pPr>
            <w:r>
              <w:rPr>
                <w:rFonts w:ascii="仿宋_GB2312" w:hAnsi="仿宋_GB2312" w:cs="仿宋_GB2312" w:eastAsia="仿宋_GB2312"/>
                <w:sz w:val="21"/>
              </w:rPr>
              <w:t>九、免赔率：无免赔</w:t>
            </w:r>
          </w:p>
          <w:p>
            <w:pPr>
              <w:pStyle w:val="null3"/>
            </w:pPr>
            <w:r>
              <w:rPr>
                <w:rFonts w:ascii="仿宋_GB2312" w:hAnsi="仿宋_GB2312" w:cs="仿宋_GB2312" w:eastAsia="仿宋_GB2312"/>
                <w:sz w:val="21"/>
              </w:rPr>
              <w:t>十、保费金额：不超过50万元。</w:t>
            </w:r>
          </w:p>
          <w:p>
            <w:pPr>
              <w:pStyle w:val="null3"/>
            </w:pPr>
            <w:r>
              <w:rPr>
                <w:rFonts w:ascii="仿宋_GB2312" w:hAnsi="仿宋_GB2312" w:cs="仿宋_GB2312" w:eastAsia="仿宋_GB2312"/>
                <w:sz w:val="21"/>
              </w:rPr>
              <w:t>十一、保险责任：保险货物从被保险人拥有货物所有权开始直至货物所有权转移为止，期间的各种储存、运输、中转分拨仓储、驳运等方式都属于保险范围。换言之，同一批次货物从被保险人拥有货物所有权开始到货物所有权转移为止，保单按一次运程计算保费。</w:t>
            </w:r>
          </w:p>
          <w:p>
            <w:pPr>
              <w:pStyle w:val="null3"/>
            </w:pPr>
            <w:r>
              <w:rPr>
                <w:rFonts w:ascii="仿宋_GB2312" w:hAnsi="仿宋_GB2312" w:cs="仿宋_GB2312" w:eastAsia="仿宋_GB2312"/>
                <w:sz w:val="21"/>
              </w:rPr>
              <w:t>十二、保单特别约定：</w:t>
            </w:r>
          </w:p>
          <w:p>
            <w:pPr>
              <w:pStyle w:val="null3"/>
            </w:pPr>
            <w:r>
              <w:rPr>
                <w:rFonts w:ascii="仿宋_GB2312" w:hAnsi="仿宋_GB2312" w:cs="仿宋_GB2312" w:eastAsia="仿宋_GB2312"/>
                <w:sz w:val="21"/>
              </w:rPr>
              <w:t>1、被保险人的疫苗冷藏温度（根据国家药监局批准的药品说明书为准）为 2℃至8℃,因超温问题造成保险标的不符合冷藏温度并给被保险人造成损失的，此类损失纳入承保范围。</w:t>
            </w:r>
          </w:p>
          <w:p>
            <w:pPr>
              <w:pStyle w:val="null3"/>
            </w:pPr>
            <w:r>
              <w:rPr>
                <w:rFonts w:ascii="仿宋_GB2312" w:hAnsi="仿宋_GB2312" w:cs="仿宋_GB2312" w:eastAsia="仿宋_GB2312"/>
                <w:sz w:val="21"/>
              </w:rPr>
              <w:t>2、在保险期限内附加临时仓储（包括但不限于被保险货物在运 输途中因需要运输延迟、绕道、被迫卸货、重新装卸、转载、委 托第三方仓储分拣、转驳等在非目的地仓储的情形），保险责任同运输途中，适用于协议约定的主险及附加险。</w:t>
            </w:r>
          </w:p>
          <w:p>
            <w:pPr>
              <w:pStyle w:val="null3"/>
            </w:pPr>
            <w:r>
              <w:rPr>
                <w:rFonts w:ascii="仿宋_GB2312" w:hAnsi="仿宋_GB2312" w:cs="仿宋_GB2312" w:eastAsia="仿宋_GB2312"/>
                <w:sz w:val="21"/>
              </w:rPr>
              <w:t>3、每趟货物运送最长保险期限不超过 6天。其中包括各种运输、中转、分拨、驳运，临时仓储等所有期限。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陕西省疾病预防控制中心指定地点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根据每笔运送货物所产生的保险订单，订单的有效期按照此货物在库和出库时间计算。</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待投保运输车辆购买车辆运输保险时，根据每次出车的出库单确定保单，采购人收到成交供应商提供的缴费通知单并经审核无误后，半年开票冲抵一次，根据成交供应商据实支付购买车辆运输保险费用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 (1)提供合格有效的法人或者其他组织的营业执照等证明文件，自然人的身份证明； 供应商是法人或其他组织的应提供营业执照等证明文件，供应商是自然人的应提供有效的自然人身份证明。 (2)提供2024年度经审计的已赋码且完整的财务报告，包括“四表一注”即《资产负债表》《利润表》《现金流量表》《所有者权益变动表》及其附注、会计师事务所营业执照和2个注册会计师证书（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(3)提供具有履行合同所必需的设备和专业技术能力的承诺； (4)提供递交响应文件截止之日前一年内任意一个月的依法缴纳税收的完税证明，完税证明应有税务机关或代收机关的公章或业务专用章。依法免税或无须缴纳税收的供应商，应提供相应证明文件； (5)提供磋商截止日前一年内已缴存的至少一个月的社会保障资金缴存单据或社保机构开具的社会保险参保缴费情况证明，依法不需要缴纳社会保障资金的单位应提供相关证明材料； (6)参加政府采购活动前3年内，在经营活动中没有重大违法记录的书面声明。 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已赋码且完整的财务报告，包括“四表一注”即《资产负债表》《利润表》《现金流量表》《所有者权益变动表》及其附注、会计师事务所营业执照和2个注册会计师证书（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或负责人直接参加磋商的，须出具法定代表人身份证或负责人身份证，并与营业执照上信息一致。法定代表人授权代表或负责人授权代表参加磋商的，须出具法定代表人授权书或负责人授权人及被授权人身份证复印件和被授权人投标截止日前一年内已缴存的至少一个月的社会保障资金凭证（事业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供应商具有行业主管部门颁发的保险许可证（同一保险机构只允许其总公司或一家分支机构参与磋商）；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磋商截止日前未被列入失信被执行人、重大税收违法失信主体、政府采购严重违法失信行为记录名单（处罚期限届满的除外）（以“信用中国”网站（www.creditchina.gov.cn）或中国政府采购网（www.ccgp.gov.cn）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开标一览表.docx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法定代表人或被授权人的签字或盖章齐全并加盖公章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其他资料.docx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按照采购人需求，针对本项目制定完整、具体的服务措施。包括但不限于：1、保险保障范围；2、协助处理方案；3、风险管控与预防。 要求：方案各项内容全面详细、阐述条理清晰得满分，每有一项服务措施缺项扣3分，每有一处内容存在缺陷，扣1分，扣完为止。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保险理赔措施</w:t>
            </w:r>
          </w:p>
        </w:tc>
        <w:tc>
          <w:tcPr>
            <w:tcW w:type="dxa" w:w="2492"/>
          </w:tcPr>
          <w:p>
            <w:pPr>
              <w:pStyle w:val="null3"/>
            </w:pPr>
            <w:r>
              <w:rPr>
                <w:rFonts w:ascii="仿宋_GB2312" w:hAnsi="仿宋_GB2312" w:cs="仿宋_GB2312" w:eastAsia="仿宋_GB2312"/>
              </w:rPr>
              <w:t>供应商提供完整成套的保险理赔措施，包括但不限于1、理赔流程；2、理赔响应时间；3、理赔注意事项。 要求：方案各项内容全面详细、阐述条理清晰得满分，每有一项缺项扣2分，每有一处内容存在缺陷，扣1分，扣完为止。 备注：缺陷是指内容不合理、虽有内容但不完善、内容表述前后 不一致、套用其他项目方案或与项目需求不匹配及其他不利于项 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成立工作小组并配备项目专职工作人员，明确工作职责，负责管理、组织、实施保险承保、理赔及其他各项服务。据供应商提供的业务开展方案的科学性、方案具备可行性进行综合评比，方案、能力完备齐全、合理、切实可行，计15分，方案、能力完备齐全、合理、基本可行，计10分，方案、能力简单、不利于项目实施，计5分，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供应商综合偿付能力</w:t>
            </w:r>
          </w:p>
        </w:tc>
        <w:tc>
          <w:tcPr>
            <w:tcW w:type="dxa" w:w="2492"/>
          </w:tcPr>
          <w:p>
            <w:pPr>
              <w:pStyle w:val="null3"/>
            </w:pPr>
            <w:r>
              <w:rPr>
                <w:rFonts w:ascii="仿宋_GB2312" w:hAnsi="仿宋_GB2312" w:cs="仿宋_GB2312" w:eastAsia="仿宋_GB2312"/>
              </w:rPr>
              <w:t>2024年末综合偿付能力充足率250%以上得15分，200%--250%（含）得10分，150%（含）--200%得5分，100%（含）--150%得1分，100%以下得0分。供应商需提供其总公司的2025年第2季度经审计的综合偿付能力报告复印件,并标明供应商的综合偿付能力且加盖供应商公章。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供应商核心偿付能力</w:t>
            </w:r>
          </w:p>
        </w:tc>
        <w:tc>
          <w:tcPr>
            <w:tcW w:type="dxa" w:w="2492"/>
          </w:tcPr>
          <w:p>
            <w:pPr>
              <w:pStyle w:val="null3"/>
            </w:pPr>
            <w:r>
              <w:rPr>
                <w:rFonts w:ascii="仿宋_GB2312" w:hAnsi="仿宋_GB2312" w:cs="仿宋_GB2312" w:eastAsia="仿宋_GB2312"/>
              </w:rPr>
              <w:t>2024年末核心偿付能力充足率300%以上得15分，250%--300%（含）得10分，200%（含）--250%得5分，150%（含）--200%得1分，150%以下得0分。供应商需提供其总公司的2025年第2季度经审计的核心偿付能力报告复印件,并标明供应商的核心偿付能力且加盖供应商公章。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理赔时效方案</w:t>
            </w:r>
          </w:p>
        </w:tc>
        <w:tc>
          <w:tcPr>
            <w:tcW w:type="dxa" w:w="2492"/>
          </w:tcPr>
          <w:p>
            <w:pPr>
              <w:pStyle w:val="null3"/>
            </w:pPr>
            <w:r>
              <w:rPr>
                <w:rFonts w:ascii="仿宋_GB2312" w:hAnsi="仿宋_GB2312" w:cs="仿宋_GB2312" w:eastAsia="仿宋_GB2312"/>
              </w:rPr>
              <w:t>根据供应商提供的理赔服务控制措施、出险处理措施的完整性、可行性、时效性综合评比，内容针对性较强，计10分，内容针对性 基本满足要求，计7分，内容简单略显瑕疵，计4分，未提供的不得分。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风险管控</w:t>
            </w:r>
          </w:p>
        </w:tc>
        <w:tc>
          <w:tcPr>
            <w:tcW w:type="dxa" w:w="2492"/>
          </w:tcPr>
          <w:p>
            <w:pPr>
              <w:pStyle w:val="null3"/>
            </w:pPr>
            <w:r>
              <w:rPr>
                <w:rFonts w:ascii="仿宋_GB2312" w:hAnsi="仿宋_GB2312" w:cs="仿宋_GB2312" w:eastAsia="仿宋_GB2312"/>
              </w:rPr>
              <w:t>根据供应商提供的突发状况应急预案、风险管理、控制措施的完整性、可行性综合评比，内容完备齐全、科学、合理得当，针对性较强，计5分，内容基本满足要求,计3分，内容简单略显瑕疵,计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提供2022年1月1日至今类似项目业绩（运输责任保险）证明文件。每提供1份，得1分，满分5分；不提供者不得分。注：时间以合同或保单签订时间为准，附合同或保单扫描件并加盖公章。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报价为磋商基准价，其价格分为满分。其他供应商的价格分统一按照下列公式计算：磋商报价得分=（磋商基准价/最后磋商报价）×权值×100注：报价得分保留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