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版本号：ZMZB2025GCDX-317A20251204001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全自动密度粘度联用系统、高级旋转流变仪采购项目第2包(三次)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ZMZB2025GCDX-317A</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全自动密度粘度联用系统、高级旋转流变仪采购项目第2包(三次)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ZMZB2025GCDX-317A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全自动密度粘度联用系统、高级旋转流变仪采购项目第2包(三次)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高级旋转流变仪采购项目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高级旋转流变仪采购项目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高级旋转流变仪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标的名称：高级旋转流变仪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高级旋转流变仪</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1</w:t>
            </w:r>
            <w:r>
              <w:rPr>
                <w:rFonts w:ascii="仿宋_GB2312" w:hAnsi="仿宋_GB2312" w:cs="仿宋_GB2312" w:eastAsia="仿宋_GB2312"/>
                <w:sz w:val="21"/>
              </w:rPr>
              <w:t>）马达类型：同步直流马达</w:t>
            </w:r>
            <w:r>
              <w:rPr>
                <w:rFonts w:ascii="仿宋_GB2312" w:hAnsi="仿宋_GB2312" w:cs="仿宋_GB2312" w:eastAsia="仿宋_GB2312"/>
                <w:sz w:val="21"/>
              </w:rPr>
              <w:t>或托杯马达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最小扭矩</w:t>
            </w:r>
            <w:r>
              <w:rPr>
                <w:rFonts w:ascii="仿宋_GB2312" w:hAnsi="仿宋_GB2312" w:cs="仿宋_GB2312" w:eastAsia="仿宋_GB2312"/>
                <w:sz w:val="21"/>
              </w:rPr>
              <w:t>（稳态测量模式）</w:t>
            </w:r>
            <w:r>
              <w:rPr>
                <w:rFonts w:ascii="仿宋_GB2312" w:hAnsi="仿宋_GB2312" w:cs="仿宋_GB2312" w:eastAsia="仿宋_GB2312"/>
                <w:sz w:val="21"/>
              </w:rPr>
              <w:t>：</w:t>
            </w:r>
            <w:r>
              <w:rPr>
                <w:rFonts w:ascii="仿宋_GB2312" w:hAnsi="仿宋_GB2312" w:cs="仿宋_GB2312" w:eastAsia="仿宋_GB2312"/>
                <w:sz w:val="21"/>
              </w:rPr>
              <w:t>5nN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或者更低</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最小扭矩</w:t>
            </w:r>
            <w:r>
              <w:rPr>
                <w:rFonts w:ascii="仿宋_GB2312" w:hAnsi="仿宋_GB2312" w:cs="仿宋_GB2312" w:eastAsia="仿宋_GB2312"/>
                <w:sz w:val="21"/>
              </w:rPr>
              <w:t>（振荡测量模式）</w:t>
            </w:r>
            <w:r>
              <w:rPr>
                <w:rFonts w:ascii="仿宋_GB2312" w:hAnsi="仿宋_GB2312" w:cs="仿宋_GB2312" w:eastAsia="仿宋_GB2312"/>
                <w:sz w:val="21"/>
              </w:rPr>
              <w:t>：</w:t>
            </w:r>
            <w:r>
              <w:rPr>
                <w:rFonts w:ascii="仿宋_GB2312" w:hAnsi="仿宋_GB2312" w:cs="仿宋_GB2312" w:eastAsia="仿宋_GB2312"/>
                <w:sz w:val="21"/>
              </w:rPr>
              <w:t>5nN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）最大扭矩：</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 mNm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）角速度：</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 xml:space="preserve"> rad/s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）角频率：</w:t>
            </w:r>
            <w:r>
              <w:rPr>
                <w:rFonts w:ascii="仿宋_GB2312" w:hAnsi="仿宋_GB2312" w:cs="仿宋_GB2312" w:eastAsia="仿宋_GB2312"/>
                <w:sz w:val="21"/>
              </w:rPr>
              <w:t>≥</w:t>
            </w:r>
            <w:r>
              <w:rPr>
                <w:rFonts w:ascii="仿宋_GB2312" w:hAnsi="仿宋_GB2312" w:cs="仿宋_GB2312" w:eastAsia="仿宋_GB2312"/>
                <w:sz w:val="21"/>
              </w:rPr>
              <w:t xml:space="preserve">628 </w:t>
            </w:r>
            <w:r>
              <w:rPr>
                <w:rFonts w:ascii="仿宋_GB2312" w:hAnsi="仿宋_GB2312" w:cs="仿宋_GB2312" w:eastAsia="仿宋_GB2312"/>
                <w:sz w:val="21"/>
              </w:rPr>
              <w:t>rad/s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振荡频率</w:t>
            </w:r>
            <w:r>
              <w:rPr>
                <w:rFonts w:ascii="仿宋_GB2312" w:hAnsi="仿宋_GB2312" w:cs="仿宋_GB2312" w:eastAsia="仿宋_GB2312"/>
                <w:sz w:val="21"/>
              </w:rPr>
              <w:t xml:space="preserve">: </w:t>
            </w:r>
            <w:r>
              <w:rPr>
                <w:rFonts w:ascii="仿宋_GB2312" w:hAnsi="仿宋_GB2312" w:cs="仿宋_GB2312" w:eastAsia="仿宋_GB2312"/>
                <w:sz w:val="21"/>
              </w:rPr>
              <w:t>≤ 1.0E⁻⁷ 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）内置于空气轴承中的电容式法向力传感器，</w:t>
            </w:r>
            <w:r>
              <w:rPr>
                <w:rFonts w:ascii="仿宋_GB2312" w:hAnsi="仿宋_GB2312" w:cs="仿宋_GB2312" w:eastAsia="仿宋_GB2312"/>
                <w:sz w:val="21"/>
              </w:rPr>
              <w:t>法向力范围：</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9</w:t>
            </w:r>
            <w:r>
              <w:rPr>
                <w:rFonts w:ascii="仿宋_GB2312" w:hAnsi="仿宋_GB2312" w:cs="仿宋_GB2312" w:eastAsia="仿宋_GB2312"/>
                <w:sz w:val="21"/>
              </w:rPr>
              <w:t>）锥</w:t>
            </w:r>
            <w:r>
              <w:rPr>
                <w:rFonts w:ascii="仿宋_GB2312" w:hAnsi="仿宋_GB2312" w:cs="仿宋_GB2312" w:eastAsia="仿宋_GB2312"/>
                <w:sz w:val="21"/>
              </w:rPr>
              <w:t>/</w:t>
            </w:r>
            <w:r>
              <w:rPr>
                <w:rFonts w:ascii="仿宋_GB2312" w:hAnsi="仿宋_GB2312" w:cs="仿宋_GB2312" w:eastAsia="仿宋_GB2312"/>
                <w:sz w:val="21"/>
              </w:rPr>
              <w:t>平板控温系统，帕尔贴控温范围</w:t>
            </w:r>
            <w:r>
              <w:rPr>
                <w:rFonts w:ascii="仿宋_GB2312" w:hAnsi="仿宋_GB2312" w:cs="仿宋_GB2312" w:eastAsia="仿宋_GB2312"/>
                <w:sz w:val="21"/>
              </w:rPr>
              <w:t>-45</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）紫外光学流变测量系统，独立控温系统，温度范围：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控制和</w:t>
            </w:r>
            <w:r>
              <w:rPr>
                <w:rFonts w:ascii="仿宋_GB2312" w:hAnsi="仿宋_GB2312" w:cs="仿宋_GB2312" w:eastAsia="仿宋_GB2312"/>
                <w:sz w:val="21"/>
              </w:rPr>
              <w:t>分析软件：采用</w:t>
            </w:r>
            <w:r>
              <w:rPr>
                <w:rFonts w:ascii="仿宋_GB2312" w:hAnsi="仿宋_GB2312" w:cs="仿宋_GB2312" w:eastAsia="仿宋_GB2312"/>
                <w:sz w:val="21"/>
              </w:rPr>
              <w:t>SQL</w:t>
            </w:r>
            <w:r>
              <w:rPr>
                <w:rFonts w:ascii="仿宋_GB2312" w:hAnsi="仿宋_GB2312" w:cs="仿宋_GB2312" w:eastAsia="仿宋_GB2312"/>
                <w:sz w:val="21"/>
              </w:rPr>
              <w:t>数据库管理系统进行数据管理，确保数据安全性；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流变测试分析软件：</w:t>
            </w:r>
            <w:r>
              <w:rPr>
                <w:rFonts w:ascii="仿宋_GB2312" w:hAnsi="仿宋_GB2312" w:cs="仿宋_GB2312" w:eastAsia="仿宋_GB2312"/>
                <w:sz w:val="21"/>
              </w:rPr>
              <w:t>软件具有全中文界面和英文界面，可按需切换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）转子连接方式：测量转子须采用无螺纹的双锥连接器与马达进行连接；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）测量转子和控温系统采用无线射频技术的自动识别系统；</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）扭矩分辨率：</w:t>
            </w:r>
            <w:r>
              <w:rPr>
                <w:rFonts w:ascii="仿宋_GB2312" w:hAnsi="仿宋_GB2312" w:cs="仿宋_GB2312" w:eastAsia="仿宋_GB2312"/>
                <w:sz w:val="21"/>
              </w:rPr>
              <w:t>0.1nN</w:t>
            </w:r>
            <w:r>
              <w:rPr>
                <w:rFonts w:ascii="仿宋_GB2312" w:hAnsi="仿宋_GB2312" w:cs="仿宋_GB2312" w:eastAsia="仿宋_GB2312"/>
                <w:sz w:val="21"/>
              </w:rPr>
              <w:t>∙</w:t>
            </w:r>
            <w:r>
              <w:rPr>
                <w:rFonts w:ascii="仿宋_GB2312" w:hAnsi="仿宋_GB2312" w:cs="仿宋_GB2312" w:eastAsia="仿宋_GB2312"/>
                <w:sz w:val="21"/>
              </w:rPr>
              <w:t>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1、流变仪主机：1套</w:t>
            </w:r>
          </w:p>
          <w:p>
            <w:pPr>
              <w:pStyle w:val="null3"/>
              <w:jc w:val="both"/>
            </w:pPr>
            <w:r>
              <w:rPr>
                <w:rFonts w:ascii="仿宋_GB2312" w:hAnsi="仿宋_GB2312" w:cs="仿宋_GB2312" w:eastAsia="仿宋_GB2312"/>
                <w:sz w:val="21"/>
              </w:rPr>
              <w:t>2、分析软件：1套</w:t>
            </w:r>
          </w:p>
          <w:p>
            <w:pPr>
              <w:pStyle w:val="null3"/>
              <w:jc w:val="both"/>
            </w:pPr>
            <w:r>
              <w:rPr>
                <w:rFonts w:ascii="仿宋_GB2312" w:hAnsi="仿宋_GB2312" w:cs="仿宋_GB2312" w:eastAsia="仿宋_GB2312"/>
                <w:sz w:val="21"/>
              </w:rPr>
              <w:t>3、原装进口空气过滤干燥系统：1套</w:t>
            </w:r>
          </w:p>
          <w:p>
            <w:pPr>
              <w:pStyle w:val="null3"/>
              <w:jc w:val="both"/>
            </w:pPr>
            <w:r>
              <w:rPr>
                <w:rFonts w:ascii="仿宋_GB2312" w:hAnsi="仿宋_GB2312" w:cs="仿宋_GB2312" w:eastAsia="仿宋_GB2312"/>
                <w:sz w:val="21"/>
              </w:rPr>
              <w:t>4、锥/平板帕尔贴控温系统：1套</w:t>
            </w:r>
          </w:p>
          <w:p>
            <w:pPr>
              <w:pStyle w:val="null3"/>
              <w:jc w:val="both"/>
            </w:pPr>
            <w:r>
              <w:rPr>
                <w:rFonts w:ascii="仿宋_GB2312" w:hAnsi="仿宋_GB2312" w:cs="仿宋_GB2312" w:eastAsia="仿宋_GB2312"/>
                <w:sz w:val="21"/>
              </w:rPr>
              <w:t>5、25mm直径平行板测量转子：1套</w:t>
            </w:r>
          </w:p>
          <w:p>
            <w:pPr>
              <w:pStyle w:val="null3"/>
              <w:jc w:val="both"/>
            </w:pPr>
            <w:r>
              <w:rPr>
                <w:rFonts w:ascii="仿宋_GB2312" w:hAnsi="仿宋_GB2312" w:cs="仿宋_GB2312" w:eastAsia="仿宋_GB2312"/>
                <w:sz w:val="21"/>
              </w:rPr>
              <w:t>6、50mm直径平行板测量转子：1套</w:t>
            </w:r>
          </w:p>
          <w:p>
            <w:pPr>
              <w:pStyle w:val="null3"/>
              <w:jc w:val="both"/>
            </w:pPr>
            <w:r>
              <w:rPr>
                <w:rFonts w:ascii="仿宋_GB2312" w:hAnsi="仿宋_GB2312" w:cs="仿宋_GB2312" w:eastAsia="仿宋_GB2312"/>
                <w:sz w:val="21"/>
              </w:rPr>
              <w:t>7、光学流变控温系统：1套</w:t>
            </w:r>
          </w:p>
          <w:p>
            <w:pPr>
              <w:pStyle w:val="null3"/>
              <w:jc w:val="both"/>
            </w:pPr>
            <w:r>
              <w:rPr>
                <w:rFonts w:ascii="仿宋_GB2312" w:hAnsi="仿宋_GB2312" w:cs="仿宋_GB2312" w:eastAsia="仿宋_GB2312"/>
                <w:sz w:val="21"/>
              </w:rPr>
              <w:t>8、紫外光源（含光纤）：1套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专用工具箱：</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10、马达保护罩：1只</w:t>
            </w:r>
          </w:p>
          <w:p>
            <w:pPr>
              <w:pStyle w:val="null3"/>
              <w:jc w:val="both"/>
            </w:pPr>
            <w:r>
              <w:rPr>
                <w:rFonts w:ascii="仿宋_GB2312" w:hAnsi="仿宋_GB2312" w:cs="仿宋_GB2312" w:eastAsia="仿宋_GB2312"/>
                <w:sz w:val="21"/>
              </w:rPr>
              <w:t>11、粘弹性标准品：1瓶</w:t>
            </w:r>
          </w:p>
          <w:p>
            <w:pPr>
              <w:pStyle w:val="null3"/>
              <w:jc w:val="both"/>
            </w:pPr>
            <w:r>
              <w:rPr>
                <w:rFonts w:ascii="仿宋_GB2312" w:hAnsi="仿宋_GB2312" w:cs="仿宋_GB2312" w:eastAsia="仿宋_GB2312"/>
                <w:sz w:val="21"/>
              </w:rPr>
              <w:t>12、静音无油空压机：1套</w:t>
            </w:r>
          </w:p>
          <w:p>
            <w:pPr>
              <w:pStyle w:val="null3"/>
              <w:jc w:val="both"/>
            </w:pPr>
            <w:r>
              <w:rPr>
                <w:rFonts w:ascii="仿宋_GB2312" w:hAnsi="仿宋_GB2312" w:cs="仿宋_GB2312" w:eastAsia="仿宋_GB2312"/>
                <w:sz w:val="21"/>
              </w:rPr>
              <w:t>13、低温循环水浴：1套</w:t>
            </w:r>
          </w:p>
          <w:p>
            <w:pPr>
              <w:pStyle w:val="null3"/>
              <w:jc w:val="both"/>
            </w:pPr>
            <w:r>
              <w:rPr>
                <w:rFonts w:ascii="仿宋_GB2312" w:hAnsi="仿宋_GB2312" w:cs="仿宋_GB2312" w:eastAsia="仿宋_GB2312"/>
                <w:sz w:val="21"/>
              </w:rPr>
              <w:t>14、工作站：</w:t>
            </w:r>
            <w:r>
              <w:rPr>
                <w:rFonts w:ascii="仿宋_GB2312" w:hAnsi="仿宋_GB2312" w:cs="仿宋_GB2312" w:eastAsia="仿宋_GB2312"/>
                <w:sz w:val="20"/>
                <w:color w:val="000000"/>
              </w:rPr>
              <w:t>i7 /32G 1T 固态硬盘/27 寸显示器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★和▲参数必须提供佐证材料（包括但不限于产品彩页、检测报告、功能截图、盖章的说明书等），未提供佐证材料或提供的佐证材料低于招标要求时按负偏离处理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交货期：进口设备：合同签订之日起 90 日历天内完成交付、安装及调试，国产设备：合同签订之日起 45日历天内完成交付、安装及调试。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西安工程大学金花校区2号楼203室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质保期：验收合格通过之日起1年。售后服务响应时间（质保期内）：售后服务响应不得超出 12 小时，制定解决方案，3 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1、培训内容及要求： 设备使用培训。 2、安装要求：供应商负责提供从设备安装位置至最近配电箱的所有线缆、管路、插座及附属材料。所有电气材料及安装施工均须符合中华人民共和国现行有效的《GB 50303 建筑电气工程施工质量验收规范》及相关国家、行业标准，确保供电安全、可靠，满足设备满载运行需求。 本项目为交钥匙项目，供应商应为设备提供合规、安全、可靠的最终供电解决方案（包括但不限于敷设线缆、安装管路、插座及断路器等），投标报价应包含满足设备最终正常运行所需的一切费用。 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 投标保证金以电子保函形式递交需在开标前给shanxizhuoming_zb@163.com发一份扫描件。 4.本项目为非专门面向中小企业采购。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供应商认为有必要说明的其他问题.docx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供应商认为有必要说明的其他问题.docx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基本分（40分）：完全符合、响应招标文件要求，没有负偏离计40分，“▲”参数每负偏离一项扣5分，未带标识参数每负偏离一项扣1.35分，扣完为止。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 ①项目总体实施方案；②项目团队方案；③项目实施时间安排方案；④系统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