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版本号：SCZA2025-DY-3052-0120251204001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人大预算和国有资产联网监督系统三期建设项目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SCZA2025-DY-3052-01</w:t>
      </w:r>
      <w:r>
        <w:br/>
      </w:r>
      <w:r>
        <w:br/>
      </w:r>
      <w:r>
        <w:br/>
      </w:r>
      <w:r>
        <w:br/>
      </w:r>
      <w:r>
        <w:br/>
      </w:r>
    </w:p>
    <w:p>
      <w:pPr>
        <w:pStyle w:val="null3"/>
        <w:jc w:val="center"/>
        <w:outlineLvl w:val="5"/>
      </w:pPr>
      <w:r>
        <w:rPr>
          <w:rFonts w:ascii="仿宋_GB2312" w:hAnsi="仿宋_GB2312" w:cs="仿宋_GB2312" w:eastAsia="仿宋_GB2312"/>
          <w:sz w:val="15"/>
          <w:b/>
        </w:rPr>
        <w:t>陕西省人大常委会预算监督联网中心</w:t>
      </w:r>
    </w:p>
    <w:p>
      <w:pPr>
        <w:pStyle w:val="null3"/>
        <w:jc w:val="center"/>
        <w:outlineLvl w:val="5"/>
      </w:pPr>
      <w:r>
        <w:rPr>
          <w:rFonts w:ascii="仿宋_GB2312" w:hAnsi="仿宋_GB2312" w:cs="仿宋_GB2312" w:eastAsia="仿宋_GB2312"/>
          <w:sz w:val="15"/>
          <w:b/>
        </w:rPr>
        <w:t>陕西省采购招标有限责任公司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陕西省人大常委会预算监督联网中心</w:t>
      </w:r>
      <w:r>
        <w:rPr>
          <w:rFonts w:ascii="仿宋_GB2312" w:hAnsi="仿宋_GB2312" w:cs="仿宋_GB2312" w:eastAsia="仿宋_GB2312"/>
        </w:rPr>
        <w:t>委托，拟对</w:t>
      </w:r>
      <w:r>
        <w:rPr>
          <w:rFonts w:ascii="仿宋_GB2312" w:hAnsi="仿宋_GB2312" w:cs="仿宋_GB2312" w:eastAsia="仿宋_GB2312"/>
        </w:rPr>
        <w:t>人大预算和国有资产联网监督系统三期建设项目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SCZA2025-DY-3052-01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人大预算和国有资产联网监督系统三期建设项目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人大预算和国有资产联网监督系统三期建设</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采购包1（人大预算和国有资产联网监督系统三期建设项目）：属于专门面向中小企业采购。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供应商在递交响应文件截止时间前被“信用中国”网站（www.creditchina.gov.cn）和中国政府采购网（www.ccgp.gov.cn）上被列入失信被执行人、重大税收违法失信主体、政府采购严重违法失信行为记录名单的，不得参加协商</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陕西省人大常委会预算监督联网中心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南关正街109号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029-63910934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马亚敏、白国锋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代理服务费收费标准：1.代理服务费参照《国家计委关于印发&lt;招标代理服务收费管理暂行办法&gt;的通知》（计价格[2002]1980号）规定标准按标段收取。2.成交单位的代理服务费交纳信息 银行户名：陕西省采购招标有限责任公司 开户银行：中国光大银行西安友谊路支行 账号：78560188000095264 联系人：财务部 联系电话：029-85263975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陕西省人大常委会预算监督联网中心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陕西省人大常委会预算监督联网中心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按单一来源采购文件及合同约定执行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人大预算和国有资产联网监督系统三期建设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人大预算和国有资产联网监督系统三期建设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标的名称：人大预算和国有资产联网监督系统三期建设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553"/>
            </w:tblGrid>
            <w:tr>
              <w:tc>
                <w:tcPr>
                  <w:tcW w:type="dxa" w:w="2553"/>
                </w:tcPr>
                <w:p>
                  <w:pPr>
                    <w:pStyle w:val="null3"/>
                  </w:pPr>
                  <w:r>
                    <w:rPr>
                      <w:rFonts w:ascii="仿宋_GB2312" w:hAnsi="仿宋_GB2312" w:cs="仿宋_GB2312" w:eastAsia="仿宋_GB2312"/>
                    </w:rPr>
                    <w:t>一、建设内容</w:t>
                  </w:r>
                </w:p>
                <w:p>
                  <w:pPr>
                    <w:pStyle w:val="null3"/>
                  </w:pPr>
                  <w:r>
                    <w:rPr>
                      <w:rFonts w:ascii="仿宋_GB2312" w:hAnsi="仿宋_GB2312" w:cs="仿宋_GB2312" w:eastAsia="仿宋_GB2312"/>
                    </w:rPr>
                    <w:t>（一）建设专题分析场景。围绕财政预算监督的深化需求，构建财政收入、财政支出、转移支付和专项资金四大专题分析场景。其中，财政收入专题分析场景对财政收入总体情况、税收收入、非税收入、转移性收入及债券资金五大方面进行分析，系统评估收入健康度、政策效果、规范性和债务风险。财政支出专题分析场景通过总体情况分析宏观展现支出总量、进度和方向；围绕教育、科技、医疗卫生等关键领域开展专题分析，评估保障力度与执行情况；并通过对比分析各类支出的效益效果，为优化财政资源配置、压减非急需非刚性支出提供数据支持。转移支付专题分析场景通过对总体情况、接收上级、分配情况、执行情况及重点项目跟踪等分析，全面监控转移支付的规模、来源、分配合理性、执行进度及政策吻合度，强化对资金全流程的监督与问效，保障重大专项项目落地见效，提升财政资金整体使用效益和公共服务水平。财政专项资金专题分析场景通过总体情况、分配情况、省本级执行和市县执行四个分析维度，全面跟踪专项资金的规模、分配规则、支出进度及绩效目标实现情况，加强对资金使用全过程的监督与预警，保障专项资金高效安全运行和政策目标有效落实。围绕国有资产监督的深化需求，结合政府报告和人大监督重点，构建国有资产专题分析场景，通过资产状况、资产管理、资产绩效、资产安全、依法监督等指标，对国有资产总量规模、布局结构、配置使用、管理效益等情况展开分析。为常委会听取审议国有资产管理情况报告提供服务和保障。</w:t>
                  </w:r>
                </w:p>
                <w:p>
                  <w:pPr>
                    <w:pStyle w:val="null3"/>
                  </w:pPr>
                  <w:r>
                    <w:rPr>
                      <w:rFonts w:ascii="仿宋_GB2312" w:hAnsi="仿宋_GB2312" w:cs="仿宋_GB2312" w:eastAsia="仿宋_GB2312"/>
                    </w:rPr>
                    <w:t>（二）建设政府债务、审计整改监督内网系统。在符合保密管理要求的前提下，推进审计整改与政府债务监督模块的开发与应用。审计整改监督模块通过对接省审计厅整改台账，汇聚多维度、跨年度数据，实现对突出问题的穿透分析和持续跟踪，助力人大常委会强化监督、推动长效机制建设。政府债务监督模块将隐性债务纳入监管，覆盖举借、使用、偿还全流程，建立风险评估与预警机制，为防范和化解地方债务风险提供有效支撑。</w:t>
                  </w:r>
                </w:p>
                <w:p>
                  <w:pPr>
                    <w:pStyle w:val="null3"/>
                  </w:pPr>
                  <w:r>
                    <w:rPr>
                      <w:rFonts w:ascii="仿宋_GB2312" w:hAnsi="仿宋_GB2312" w:cs="仿宋_GB2312" w:eastAsia="仿宋_GB2312"/>
                    </w:rPr>
                    <w:t>（三）建设人大审查监督AI大模型平台。依托DeepSeek技术，集成自然语言处理与多模态能力，建设人大审查监督AI大模型平台，打造“AI+预算联网”智能新模式。平台提供AI智能助手（支持PC/移动端智能问答与数据查询）和AI智能工作台（嵌入预决算、国资、审计及债务监督模块，实现知识业务问答、智能分析、审查预警和报告生成）。通过自动化数据洞察和智能写作，显著降低使用门槛，提升监督效率。平台支持省级AI算力与区县共享，助力基层人大开展智能问答和数据分析，全面增强预算联网监督的智能化水平与应用范围。</w:t>
                  </w:r>
                </w:p>
                <w:p>
                  <w:pPr>
                    <w:pStyle w:val="null3"/>
                  </w:pPr>
                  <w:r>
                    <w:rPr>
                      <w:rFonts w:ascii="仿宋_GB2312" w:hAnsi="仿宋_GB2312" w:cs="仿宋_GB2312" w:eastAsia="仿宋_GB2312"/>
                    </w:rPr>
                    <w:t>（四）建设财税立法服务模块。与法律法规数据库进行对接，实现财政、预算、税收等方面法律、法规、规章及规范性文件的查询服务。建立服务立法、执法检查需要的智能分析模型，为财税立法工作提供有效支撑。综合运用预算联网监督系统移动端应用，拓宽财税立法征求本级人大代表、基层联系点、下一级人大常委会、专家学者等意见建议的渠道。</w:t>
                  </w:r>
                </w:p>
                <w:p>
                  <w:pPr>
                    <w:pStyle w:val="null3"/>
                  </w:pPr>
                  <w:r>
                    <w:rPr>
                      <w:rFonts w:ascii="仿宋_GB2312" w:hAnsi="仿宋_GB2312" w:cs="仿宋_GB2312" w:eastAsia="仿宋_GB2312"/>
                    </w:rPr>
                    <w:t>（五）建设全省人大预算联网监督资源共享平台。加强上下级人大的衔接联动和工作协同，解决各级人大数据采集难点。一是按照《人大预算联网监督系统数据清单》的要求，结合人大预算审查监督工作内容、实际、现状和未来拓展的需要，完善与省财政预算管理一体化系统的数据对接工作。全面采集全省的项目库、转移支付的接收、分配、 债券发行、转贷、还本付息等财政预算数据报表，进一步丰富全省预算联网监督数据资源。二是实现系统功能与数据共享。将国有企业监督、财政专项资金和转移支付监督等功能模块共享给全省各级人大使用，改变我省部分市县以预决算审查为主，国有资产和债务监督模块薄弱的系统现状，进一步带动我省市县人大预算联网监督工作提质增效。</w:t>
                  </w:r>
                </w:p>
                <w:p>
                  <w:pPr>
                    <w:pStyle w:val="null3"/>
                  </w:pPr>
                  <w:r>
                    <w:rPr>
                      <w:rFonts w:ascii="仿宋_GB2312" w:hAnsi="仿宋_GB2312" w:cs="仿宋_GB2312" w:eastAsia="仿宋_GB2312"/>
                    </w:rPr>
                    <w:t>（六）建设省级部门数据报送平台。遵循全国人大《人大预算联网监督系统数据清单》对报送主体、目录、时限、频率和格式的要求，建设省级部门数据报送平台。平台将依托联网监督系统，实现数据的直接报送与自动抓取，并自动生成标准化报表、在相应模块进行展示。能够使省级部门数据报送工作更加安全、规范、便捷，有效提升数据采集的效率与质量。并具备定期自动提醒功能，并可展示各部门的数据报送进度、任务完成情况以及对监督发现问题的反馈结果。</w:t>
                  </w:r>
                </w:p>
                <w:p>
                  <w:pPr>
                    <w:pStyle w:val="null3"/>
                  </w:pPr>
                  <w:r>
                    <w:rPr>
                      <w:rFonts w:ascii="仿宋_GB2312" w:hAnsi="仿宋_GB2312" w:cs="仿宋_GB2312" w:eastAsia="仿宋_GB2312"/>
                    </w:rPr>
                    <w:t>（七）优化现有功能模块。对现有功能模块进行系统性优化，进一步提升人大预算联网监督效能。一是拓展数据资源，新增海关进出口数据模块，涵盖税收明细、商品总值、国别贸易及进出口量值等报表，全面对接全国人大数据清单要求。二是重构核心功能，对标全国人大业务规范，升级财政预决算、国有资产、审计整改及政府债务等核心模块，并优化分析报告体系，实现图文报告“一键生成”，切实增强审查监督的针对性与有效性，更好服务常委会决策。三是健全指标体系，依据全国人大监督框架并借鉴各省先进经验，构建本省审查监督评价指标，重点完善五类国有资产监督与政府债务预警指标，形成科学完备的指标体系。</w:t>
                  </w:r>
                </w:p>
                <w:p>
                  <w:pPr>
                    <w:pStyle w:val="null3"/>
                  </w:pPr>
                  <w:r>
                    <w:rPr>
                      <w:rFonts w:ascii="仿宋_GB2312" w:hAnsi="仿宋_GB2312" w:cs="仿宋_GB2312" w:eastAsia="仿宋_GB2312"/>
                    </w:rPr>
                    <w:t>（八）强化经济监督功能。按照新修订的《监督法》《代表法》要求，围绕人大财政经济监督职能，完善数据报表体系，建立专题分析模型，强化对宏观经济、发展规划、计划执行、四个经济、重大项目、商贸流通等工作的联网监督，更直观地呈现我省经济运行全貌，为财政经济监督和领导决策提供参考。</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合同签订之日起45日内完成系统建设</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本项目首期款以相关运维准备工作完成后，乙方书面提出支付申请函及与拟支付金额等额的符合甲方财务管理要求的相应发票，甲方确认后启动首期款支付流程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项目服务期满，经甲方验收合格后，乙方书面提出支付申请函及与拟支付金额等额的符合甲方财务管理要求的相应发票，甲方确认后启动支付流程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本项目服务期满，依据竣工决算审计结果确认的金额，乙方书面提出支付申请函及与拟支付金额等额的符合甲方财务管理要求的相应发票，甲方确认后启动尾款支付流程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按单一来源采购文件及合同约定执行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按单一来源采购文件及合同约定执行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2、提供可满足履行合同所需设备和专业技术能力的证明材料或承诺 3、提供投标截止时间前近六个月中至少一个月的纳税证明或完税证明，依法免税的单位应提供相关证明材料；时间以税款所属时期为准 4、提供投标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投标文件截止之日前两年内任意一个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投标人开户银行出具。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协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产品技术参数表 商务应答表 项目实施方案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首次报价</w:t>
            </w:r>
          </w:p>
        </w:tc>
        <w:tc>
          <w:tcPr>
            <w:tcW w:type="dxa" w:w="3322"/>
          </w:tcPr>
          <w:p>
            <w:pPr>
              <w:pStyle w:val="null3"/>
            </w:pPr>
            <w:r>
              <w:rPr>
                <w:rFonts w:ascii="仿宋_GB2312" w:hAnsi="仿宋_GB2312" w:cs="仿宋_GB2312" w:eastAsia="仿宋_GB2312"/>
              </w:rPr>
              <w:t>供应商首次报价没有超出采购预算或最高限价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响应文件按采购文件要求签字盖章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项目实施方案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