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版本号：LZBA2025-209220251205001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2026年陕西省非税暨票据管理一体化及电子票据告知平台运维项目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LZBA2025-2092</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2026年陕西省非税暨票据管理一体化及电子票据告知平台运维项目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LZBA2025-2092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2026年陕西省非税暨票据管理一体化及电子票据告知平台运维项目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全省财政部门、执收单位、票据单位、缴款单位及个人提供非税收入收缴和财政电子票据业务日常维护服务；为全省非税收入代理银行提供缴款缴库业务日常维护服务；为外部接口单位提供对接服务及日常运行维护服务；为财政电子票据开具、查验及查缴信息微信告知业务提供日常维护服务；其他技术支持工作，具体详见磋商文件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财务状况报告：财务状况报告：供应商2024年经审计的财务报告（事业法人可提供部门决算报告）或基本开户银行出具的资信证明或专业担保机构出具的投标担保函，供应商需在项目电子化交易系统中按要求上传相应证明文件；</w:t>
      </w:r>
    </w:p>
    <w:p>
      <w:pPr>
        <w:pStyle w:val="null3"/>
      </w:pPr>
      <w:r>
        <w:rPr>
          <w:rFonts w:ascii="仿宋_GB2312" w:hAnsi="仿宋_GB2312" w:cs="仿宋_GB2312" w:eastAsia="仿宋_GB2312"/>
        </w:rPr>
        <w:t>3、书面声明：书面声明：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其中：重大违法记录是指供应商因违法经营受到刑事处罚或者责令停产停业、吊销许可证或者执照、较大数额罚款等行政处罚；</w:t>
      </w:r>
    </w:p>
    <w:p>
      <w:pPr>
        <w:pStyle w:val="null3"/>
      </w:pPr>
      <w:r>
        <w:rPr>
          <w:rFonts w:ascii="仿宋_GB2312" w:hAnsi="仿宋_GB2312" w:cs="仿宋_GB2312" w:eastAsia="仿宋_GB2312"/>
        </w:rPr>
        <w:t>4、具有履行合同所必需的设备和专业技术能力的承诺函：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5、税收缴纳凭证及社会保险缴纳的凭证：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6、供应商不得为“信用中国”网站（www.creditchina.gov.cn）中列入失信被执行人和重大税收违法失信主体的供应商，不得为中国政府采购网（www.ccgp.gov.cn）政府采购严重违法失信行为记录名单中被财政部门禁止参加政府采购活动的供应商：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站(www.creditchina.gov.cn)、中国政府采购网(www.ccgp.gov.cn)查询相关主体信用记录网页截图保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西安市莲湖区冰窖巷6号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029-68936185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王翠翠、刘婧、张波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029-88228899-616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代理服务费收费标准：1、成交单位在领取成交通知书前，须向采购代理机构支付采购代理服务费。 2、采购代理服务费参照《国家计委关于印发&lt;招标代理服务收费管理暂行办法&gt;的通知》（计价格[2002]1980号）和国家发展和改革委员会办公厅颁发的《关于招标代理服务收费有关问题的通知》（发改办价格[2003]857号）规定标准下浮30%收取。此采购代理服务费应计入响应报价中，但不需要单独开列。 3、采购代理服务费以转账或现金形式交纳，服务费缴纳账号如下： 收款单位：龙寰项目管理咨询有限公司 开户行：平安银行西安高新路支行 账号：30201278017918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联系人：王翠翠、刘婧、张波</w:t>
      </w:r>
    </w:p>
    <w:p>
      <w:pPr>
        <w:pStyle w:val="null3"/>
      </w:pPr>
      <w:r>
        <w:rPr>
          <w:rFonts w:ascii="仿宋_GB2312" w:hAnsi="仿宋_GB2312" w:cs="仿宋_GB2312" w:eastAsia="仿宋_GB2312"/>
        </w:rPr>
        <w:t>联系电话：029-88228899-616</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省财政部门、执收单位、票据单位、缴款单位及个人提供非税收入收缴和财政电子票据业务日常维护服务；为全省非税收入代理银行提供缴款缴库业务日常维护服务；为外部接口单位提供对接服务及日常运行维护服务；为财政电子票据开具、查验及查缴信息微信告知业务提供日常维护服务；其他技术支持工作，具体详见磋商文件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1,890,000.00</w:t>
      </w:r>
    </w:p>
    <w:p>
      <w:pPr>
        <w:pStyle w:val="null3"/>
      </w:pPr>
      <w:r>
        <w:rPr>
          <w:rFonts w:ascii="仿宋_GB2312" w:hAnsi="仿宋_GB2312" w:cs="仿宋_GB2312" w:eastAsia="仿宋_GB2312"/>
        </w:rPr>
        <w:t>采购包最高限价（元）: 1,890,000.00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陕西省非税暨票据管理一体化及电子票据告知平台运行维护服务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标的名称：陕西省非税暨票据管理一体化及电子票据告知平台运行维护服务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pPr>
            <w:r>
              <w:rPr>
                <w:rFonts w:ascii="仿宋_GB2312" w:hAnsi="仿宋_GB2312" w:cs="仿宋_GB2312" w:eastAsia="仿宋_GB2312"/>
                <w:sz w:val="20"/>
                <w:color w:val="000000"/>
              </w:rPr>
              <w:t>一、基本信息</w:t>
            </w:r>
          </w:p>
          <w:p>
            <w:pPr>
              <w:pStyle w:val="null3"/>
            </w:pPr>
            <w:r>
              <w:rPr>
                <w:rFonts w:ascii="仿宋_GB2312" w:hAnsi="仿宋_GB2312" w:cs="仿宋_GB2312" w:eastAsia="仿宋_GB2312"/>
                <w:sz w:val="20"/>
                <w:color w:val="000000"/>
              </w:rPr>
              <w:t>（一）项目名称：陕西省非税暨票据管理一体化及电子票据告知平台运维项目</w:t>
            </w:r>
          </w:p>
          <w:p>
            <w:pPr>
              <w:pStyle w:val="null3"/>
            </w:pPr>
            <w:r>
              <w:rPr>
                <w:rFonts w:ascii="仿宋_GB2312" w:hAnsi="仿宋_GB2312" w:cs="仿宋_GB2312" w:eastAsia="仿宋_GB2312"/>
                <w:sz w:val="20"/>
                <w:color w:val="000000"/>
              </w:rPr>
              <w:t>（二）项目功能或目标：为全省财政部门、执收单位、票据单位、缴款单位及个人提供非税收入收缴和财政电子票据业务日常维护服务；为全省非税收入代理银行提供缴款缴库业务日常维护服务；为外部接口单位提供对接服务及日常运行维护服务；为财政电子票据开具、查验及查缴信息微信告知业务提供日常维护服务；其他技术支持工作。</w:t>
            </w:r>
          </w:p>
          <w:p>
            <w:pPr>
              <w:pStyle w:val="null3"/>
            </w:pPr>
            <w:r>
              <w:rPr>
                <w:rFonts w:ascii="仿宋_GB2312" w:hAnsi="仿宋_GB2312" w:cs="仿宋_GB2312" w:eastAsia="仿宋_GB2312"/>
                <w:sz w:val="20"/>
                <w:color w:val="000000"/>
              </w:rPr>
              <w:t>（三）服务期限：</w:t>
            </w:r>
            <w:r>
              <w:rPr>
                <w:rFonts w:ascii="仿宋_GB2312" w:hAnsi="仿宋_GB2312" w:cs="仿宋_GB2312" w:eastAsia="仿宋_GB2312"/>
                <w:sz w:val="20"/>
                <w:color w:val="000000"/>
              </w:rPr>
              <w:t>1年</w:t>
            </w:r>
          </w:p>
          <w:p>
            <w:pPr>
              <w:pStyle w:val="null3"/>
            </w:pPr>
            <w:r>
              <w:rPr>
                <w:rFonts w:ascii="仿宋_GB2312" w:hAnsi="仿宋_GB2312" w:cs="仿宋_GB2312" w:eastAsia="仿宋_GB2312"/>
                <w:sz w:val="20"/>
                <w:color w:val="000000"/>
              </w:rPr>
              <w:t>（四）服务地点：陕西省财政厅指定地点</w:t>
            </w:r>
          </w:p>
          <w:p>
            <w:pPr>
              <w:pStyle w:val="null3"/>
            </w:pPr>
            <w:r>
              <w:rPr>
                <w:rFonts w:ascii="仿宋_GB2312" w:hAnsi="仿宋_GB2312" w:cs="仿宋_GB2312" w:eastAsia="仿宋_GB2312"/>
                <w:sz w:val="20"/>
                <w:color w:val="000000"/>
              </w:rPr>
              <w:t>（五）项目资金情况：预算金额为</w:t>
            </w:r>
            <w:r>
              <w:rPr>
                <w:rFonts w:ascii="仿宋_GB2312" w:hAnsi="仿宋_GB2312" w:cs="仿宋_GB2312" w:eastAsia="仿宋_GB2312"/>
                <w:sz w:val="20"/>
                <w:color w:val="000000"/>
              </w:rPr>
              <w:t>189万元</w:t>
            </w:r>
          </w:p>
          <w:p>
            <w:pPr>
              <w:pStyle w:val="null3"/>
            </w:pPr>
            <w:r>
              <w:rPr>
                <w:rFonts w:ascii="仿宋_GB2312" w:hAnsi="仿宋_GB2312" w:cs="仿宋_GB2312" w:eastAsia="仿宋_GB2312"/>
                <w:sz w:val="20"/>
                <w:color w:val="000000"/>
              </w:rPr>
              <w:t>二、项目参数</w:t>
            </w:r>
          </w:p>
          <w:p>
            <w:pPr>
              <w:pStyle w:val="null3"/>
            </w:pPr>
            <w:r>
              <w:rPr>
                <w:rFonts w:ascii="仿宋_GB2312" w:hAnsi="仿宋_GB2312" w:cs="仿宋_GB2312" w:eastAsia="仿宋_GB2312"/>
                <w:sz w:val="20"/>
                <w:color w:val="000000"/>
              </w:rPr>
              <w:t>（一）项目概况</w:t>
            </w:r>
          </w:p>
          <w:p>
            <w:pPr>
              <w:pStyle w:val="null3"/>
            </w:pPr>
            <w:r>
              <w:rPr>
                <w:rFonts w:ascii="仿宋_GB2312" w:hAnsi="仿宋_GB2312" w:cs="仿宋_GB2312" w:eastAsia="仿宋_GB2312"/>
                <w:sz w:val="20"/>
                <w:color w:val="000000"/>
              </w:rPr>
              <w:t>陕西省非税暨票据管理一体化及电子票据告知平台通过财政部门、人民银行、执收单位、代理银行间联网，实现非税收入收缴及财政电子票据管理。系统涵盖非税收入缴款、开具财政电子票据、电子票据微信告知及查验、缴款识别码查缴、资金缴库等功能，实现实时查询、监控政府非税收入收缴和财政电子票据使用情况。通过对全省财政部门、执收单位、票据单位、缴款单位、缴款个人、非税代理银行及外部接口单位日常运维支持，保障陕西省非税暨票据管理一体化及电子票据告知平台高效、安全、稳定地运行，有力支撑财政非税收入收缴和财政电子票据管理工作。</w:t>
            </w:r>
          </w:p>
          <w:p>
            <w:pPr>
              <w:pStyle w:val="null3"/>
            </w:pPr>
            <w:r>
              <w:rPr>
                <w:rFonts w:ascii="仿宋_GB2312" w:hAnsi="仿宋_GB2312" w:cs="仿宋_GB2312" w:eastAsia="仿宋_GB2312"/>
                <w:sz w:val="20"/>
                <w:color w:val="000000"/>
              </w:rPr>
              <w:t>（二）服务对象</w:t>
            </w:r>
          </w:p>
          <w:p>
            <w:pPr>
              <w:pStyle w:val="null3"/>
            </w:pPr>
            <w:r>
              <w:rPr>
                <w:rFonts w:ascii="仿宋_GB2312" w:hAnsi="仿宋_GB2312" w:cs="仿宋_GB2312" w:eastAsia="仿宋_GB2312"/>
                <w:sz w:val="20"/>
                <w:color w:val="000000"/>
              </w:rPr>
              <w:t>全省财政部门、非税执收单位、票据单位、缴款单位、缴款个人、非税收入代理银行及已接入系统的接口单位。</w:t>
            </w:r>
          </w:p>
          <w:p>
            <w:pPr>
              <w:pStyle w:val="null3"/>
            </w:pPr>
            <w:r>
              <w:rPr>
                <w:rFonts w:ascii="仿宋_GB2312" w:hAnsi="仿宋_GB2312" w:cs="仿宋_GB2312" w:eastAsia="仿宋_GB2312"/>
                <w:sz w:val="20"/>
                <w:color w:val="000000"/>
              </w:rPr>
              <w:t>（三）服务内容</w:t>
            </w:r>
          </w:p>
          <w:p>
            <w:pPr>
              <w:pStyle w:val="null3"/>
            </w:pPr>
            <w:r>
              <w:rPr>
                <w:rFonts w:ascii="仿宋_GB2312" w:hAnsi="仿宋_GB2312" w:cs="仿宋_GB2312" w:eastAsia="仿宋_GB2312"/>
                <w:sz w:val="20"/>
                <w:color w:val="000000"/>
              </w:rPr>
              <w:t>1.业务办理保障服务</w:t>
            </w:r>
          </w:p>
          <w:p>
            <w:pPr>
              <w:pStyle w:val="null3"/>
              <w:ind w:firstLine="400"/>
            </w:pPr>
            <w:r>
              <w:rPr>
                <w:rFonts w:ascii="仿宋_GB2312" w:hAnsi="仿宋_GB2312" w:cs="仿宋_GB2312" w:eastAsia="仿宋_GB2312"/>
                <w:sz w:val="20"/>
                <w:color w:val="000000"/>
              </w:rPr>
              <w:t>保障陕西省各级财政部门，非税执收单位、票据单位的系统使用，缴款单位或个人的正常缴费和票据获取，向已接入的非税收入代理银行和接口单位提供服务，保障用户通过系统正常办理非税收入缴款缴库业务，以及电子票据的开具、微信告知、核销、入账和查验等业务活动。</w:t>
            </w:r>
          </w:p>
          <w:p>
            <w:pPr>
              <w:pStyle w:val="null3"/>
            </w:pPr>
            <w:r>
              <w:rPr>
                <w:rFonts w:ascii="仿宋_GB2312" w:hAnsi="仿宋_GB2312" w:cs="仿宋_GB2312" w:eastAsia="仿宋_GB2312"/>
                <w:sz w:val="20"/>
                <w:color w:val="000000"/>
              </w:rPr>
              <w:t>2.日常技术支持服务</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1）驻场服务</w:t>
            </w:r>
          </w:p>
          <w:p>
            <w:pPr>
              <w:pStyle w:val="null3"/>
              <w:ind w:firstLine="400"/>
            </w:pPr>
            <w:r>
              <w:rPr>
                <w:rFonts w:ascii="仿宋_GB2312" w:hAnsi="仿宋_GB2312" w:cs="仿宋_GB2312" w:eastAsia="仿宋_GB2312"/>
                <w:sz w:val="20"/>
                <w:color w:val="000000"/>
              </w:rPr>
              <w:t>提供驻场运维服务，负责系统运行监控以及问题处理工作。服务期间，运维服务人员在国家法定工作日提供技术支持服务，通过</w:t>
            </w:r>
            <w:r>
              <w:rPr>
                <w:rFonts w:ascii="仿宋_GB2312" w:hAnsi="仿宋_GB2312" w:cs="仿宋_GB2312" w:eastAsia="仿宋_GB2312"/>
                <w:sz w:val="20"/>
                <w:color w:val="000000"/>
              </w:rPr>
              <w:t>96702热线电话提供一线坐席和二线运维服务。在接到用户的使用及技术问题后，一线运维服务人员应立即响应并及时解决；遇到疑难问题与用户协商后，提交二线运维服务人员处理，处理完成后反馈用户。必要时，可根据业务需要延长驻场时间，配合采购人完成相关临时工作任务。</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2）电</w:t>
            </w:r>
            <w:r>
              <w:rPr>
                <w:rFonts w:ascii="仿宋_GB2312" w:hAnsi="仿宋_GB2312" w:cs="仿宋_GB2312" w:eastAsia="仿宋_GB2312"/>
                <w:sz w:val="20"/>
                <w:color w:val="000000"/>
              </w:rPr>
              <w:t>话服务及现场服务</w:t>
            </w:r>
          </w:p>
          <w:p>
            <w:pPr>
              <w:pStyle w:val="null3"/>
              <w:ind w:firstLine="400"/>
            </w:pPr>
            <w:r>
              <w:rPr>
                <w:rFonts w:ascii="仿宋_GB2312" w:hAnsi="仿宋_GB2312" w:cs="仿宋_GB2312" w:eastAsia="仿宋_GB2312"/>
                <w:sz w:val="20"/>
                <w:color w:val="000000"/>
              </w:rPr>
              <w:t>向用户提供电话等技术服务，进行业务系统流程及操作咨询和答疑。有必要时，按照业务需要，采购人派运维服务人员上门现场服务，保证用户问题得到有效解决，系统平稳运行。</w:t>
            </w:r>
          </w:p>
          <w:p>
            <w:pPr>
              <w:pStyle w:val="null3"/>
            </w:pPr>
            <w:r>
              <w:rPr>
                <w:rFonts w:ascii="仿宋_GB2312" w:hAnsi="仿宋_GB2312" w:cs="仿宋_GB2312" w:eastAsia="仿宋_GB2312"/>
                <w:sz w:val="20"/>
                <w:color w:val="000000"/>
              </w:rPr>
              <w:t>3.软件系统运行维护服务</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对陕西省非税暨票据管理一体化及电子票据告知平台提供基本的软件运行维护服务，防止系统出现技术性问题，具体包括：每工作日检查系统运行状态，对业务应用服务、数据库服务、中间件服务的运行情况检查，出现异常问题及时上报，提交问题情况说明，并排查、处理。</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2）负责该系统因硬件设备调整或故障、网络环境调整或故障、部署方案调整等各种原因引起的重新部署、迁移、测试以及升级工作，以保障该系统正常稳定运行。</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3）提供非税代理银行联调测试服务、清分服务、专户行对账服务、收入数据对账服务等。对于监测产生的异常数据进行处理，包括发送失败的非税收缴报文、退付异常缴款数据、开具失败电子票据。</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4）提供非税和票据年结服务，协助各级财政部门完成本年度数据结转，并按照非税及票据管理要求完成业务数据初始化配置，做好年结切换支持工作。</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5）提供统一支付平台运行维护服务，为各级财政部门、各执收单位提供稳定的非税收入统一支付服务，为缴款单位和个人提供便捷缴费渠道。服务内容包括统一支付平台及第三方支付渠道运维服务。</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6）提供电子票据告知平台运行维护服务，为缴款单位和个人提供稳定的财政电子票据微信告知服务。</w:t>
            </w:r>
          </w:p>
          <w:p>
            <w:pPr>
              <w:pStyle w:val="null3"/>
            </w:pPr>
            <w:r>
              <w:rPr>
                <w:rFonts w:ascii="仿宋_GB2312" w:hAnsi="仿宋_GB2312" w:cs="仿宋_GB2312" w:eastAsia="仿宋_GB2312"/>
                <w:sz w:val="20"/>
                <w:color w:val="000000"/>
              </w:rPr>
              <w:t>4.业务数据统计服务</w:t>
            </w:r>
          </w:p>
          <w:p>
            <w:pPr>
              <w:pStyle w:val="null3"/>
              <w:ind w:firstLine="400"/>
            </w:pPr>
            <w:r>
              <w:rPr>
                <w:rFonts w:ascii="仿宋_GB2312" w:hAnsi="仿宋_GB2312" w:cs="仿宋_GB2312" w:eastAsia="仿宋_GB2312"/>
                <w:sz w:val="20"/>
                <w:color w:val="000000"/>
              </w:rPr>
              <w:t>根据用户的需求，提供系统相关数据加工处理，统计分析服务，保证统计数据的完整和准确。</w:t>
            </w:r>
          </w:p>
          <w:p>
            <w:pPr>
              <w:pStyle w:val="null3"/>
            </w:pPr>
            <w:r>
              <w:rPr>
                <w:rFonts w:ascii="仿宋_GB2312" w:hAnsi="仿宋_GB2312" w:cs="仿宋_GB2312" w:eastAsia="仿宋_GB2312"/>
                <w:sz w:val="20"/>
                <w:color w:val="000000"/>
              </w:rPr>
              <w:t>5.数据维护运维服务</w:t>
            </w:r>
          </w:p>
          <w:p>
            <w:pPr>
              <w:pStyle w:val="null3"/>
              <w:ind w:firstLine="400"/>
            </w:pPr>
            <w:r>
              <w:rPr>
                <w:rFonts w:ascii="仿宋_GB2312" w:hAnsi="仿宋_GB2312" w:cs="仿宋_GB2312" w:eastAsia="仿宋_GB2312"/>
                <w:sz w:val="20"/>
                <w:color w:val="000000"/>
              </w:rPr>
              <w:t>为各级财政部门提供保证业务正常开展的数据维护服务，包括单位基础数据、用户数据、项目库数据、财政账户数据、收入分成设置等基础类数据的维护。</w:t>
            </w:r>
          </w:p>
          <w:p>
            <w:pPr>
              <w:pStyle w:val="null3"/>
            </w:pPr>
            <w:r>
              <w:rPr>
                <w:rFonts w:ascii="仿宋_GB2312" w:hAnsi="仿宋_GB2312" w:cs="仿宋_GB2312" w:eastAsia="仿宋_GB2312"/>
                <w:sz w:val="20"/>
                <w:color w:val="000000"/>
              </w:rPr>
              <w:t>6.接口单位对接</w:t>
            </w:r>
          </w:p>
          <w:p>
            <w:pPr>
              <w:pStyle w:val="null3"/>
            </w:pPr>
            <w:r>
              <w:rPr>
                <w:rFonts w:ascii="仿宋_GB2312" w:hAnsi="仿宋_GB2312" w:cs="仿宋_GB2312" w:eastAsia="仿宋_GB2312"/>
                <w:sz w:val="20"/>
                <w:color w:val="000000"/>
              </w:rPr>
              <w:t>配合外部接口单位按照统一接口规范，完成单位对接的联调、测试、上线支持工作，以保证单位非税收入收缴和财政票据管理业务正常开展；配合完成与财政接口平台对接的联调、测试工作。</w:t>
            </w:r>
          </w:p>
          <w:p>
            <w:pPr>
              <w:pStyle w:val="null3"/>
            </w:pPr>
            <w:r>
              <w:rPr>
                <w:rFonts w:ascii="仿宋_GB2312" w:hAnsi="仿宋_GB2312" w:cs="仿宋_GB2312" w:eastAsia="仿宋_GB2312"/>
                <w:sz w:val="20"/>
                <w:color w:val="000000"/>
              </w:rPr>
              <w:t>7.安全运维服务</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定期巡检服务：通过日常巡检工作，有效保证系统的正常运行，巡检内容包括查询数据库表空间、磁盘空间余量，系统服务进程运行状态等相关性能指标情况。每周对系统运行情况开展巡检服务，每次巡检均需做好记录，每月汇总形成巡检报告；对巡检过程中发现的问题或缺陷应及时分析处理，形成报告。</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故障处理服务：建立该系统应急处理机制，提供故障应急处理服务，当网络访问异常或系统运行出现故障时，运维服务人员应立即上报，根据要求对问题进行排查和处理，使系统正常运行，保障系统在运维年度内的运行安全和数据安全。</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3）安全保障服务：提供安全基线检查、安全加固、漏洞处理、应急响应、应急演练等安全保障支持，保证系统在运维年度内运行安全。</w:t>
            </w:r>
          </w:p>
          <w:p>
            <w:pPr>
              <w:pStyle w:val="null3"/>
            </w:pPr>
            <w:r>
              <w:rPr>
                <w:rFonts w:ascii="仿宋_GB2312" w:hAnsi="仿宋_GB2312" w:cs="仿宋_GB2312" w:eastAsia="仿宋_GB2312"/>
                <w:sz w:val="20"/>
                <w:color w:val="000000"/>
              </w:rPr>
              <w:t>8.系统更新服务</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Bug修复：及时对系统bug、漏洞进行修复，保证系统用户稳定使用系统。修复内容包括但不限于功能缺失、功能异常、响应缓慢、内存泄漏、卡顿和死机、布局错乱、文字显示问题、图标显示错误、数据丢失、数据不一致、数据错误、浏览器兼容性、操作系统兼容性、设备兼容性、权限漏洞、数据泄露、注入攻击等。</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功能优化：对系统进行持续优化，提高系统的性能和稳定性；对数据库进行优化，提高数据库的查询速度和响应时间；根据系统的实际运行情况，调整系统的配置参数，以达到最佳的性能表现；根据用户使用过程中的需求对现有功能模块进行优化调整，优化功能流程，提升用户满意度。</w:t>
            </w:r>
          </w:p>
          <w:p>
            <w:pPr>
              <w:pStyle w:val="null3"/>
            </w:pPr>
            <w:r>
              <w:rPr>
                <w:rFonts w:ascii="仿宋_GB2312" w:hAnsi="仿宋_GB2312" w:cs="仿宋_GB2312" w:eastAsia="仿宋_GB2312"/>
                <w:sz w:val="20"/>
                <w:color w:val="000000"/>
              </w:rPr>
              <w:t>9.系统培训服务</w:t>
            </w:r>
          </w:p>
          <w:p>
            <w:pPr>
              <w:pStyle w:val="null3"/>
            </w:pPr>
            <w:r>
              <w:rPr>
                <w:rFonts w:ascii="仿宋_GB2312" w:hAnsi="仿宋_GB2312" w:cs="仿宋_GB2312" w:eastAsia="仿宋_GB2312"/>
                <w:sz w:val="20"/>
                <w:color w:val="000000"/>
              </w:rPr>
              <w:t>根据要求，每年为全省用户至少提供</w:t>
            </w:r>
            <w:r>
              <w:rPr>
                <w:rFonts w:ascii="仿宋_GB2312" w:hAnsi="仿宋_GB2312" w:cs="仿宋_GB2312" w:eastAsia="仿宋_GB2312"/>
                <w:sz w:val="20"/>
                <w:color w:val="000000"/>
              </w:rPr>
              <w:t>1次线下集中或线上视频系统操作培训，使用户能够正确熟练地使用系统。提供系统常见问题解答、操作视频录制及操作指南编写等服务，并根据系统升级、优化情况，实时更新操作指南及操作视频等内容。</w:t>
            </w:r>
          </w:p>
          <w:p>
            <w:pPr>
              <w:pStyle w:val="null3"/>
            </w:pPr>
            <w:r>
              <w:rPr>
                <w:rFonts w:ascii="仿宋_GB2312" w:hAnsi="仿宋_GB2312" w:cs="仿宋_GB2312" w:eastAsia="仿宋_GB2312"/>
                <w:sz w:val="20"/>
                <w:color w:val="000000"/>
              </w:rPr>
              <w:t>10.其他运维工作事项</w:t>
            </w:r>
          </w:p>
          <w:p>
            <w:pPr>
              <w:pStyle w:val="null3"/>
            </w:pPr>
            <w:r>
              <w:rPr>
                <w:rFonts w:ascii="仿宋_GB2312" w:hAnsi="仿宋_GB2312" w:cs="仿宋_GB2312" w:eastAsia="仿宋_GB2312"/>
                <w:sz w:val="20"/>
                <w:color w:val="000000"/>
              </w:rPr>
              <w:t>完成采购人要求的其他运维保障工作事项。</w:t>
            </w:r>
          </w:p>
          <w:p>
            <w:pPr>
              <w:pStyle w:val="null3"/>
            </w:pPr>
            <w:r>
              <w:rPr>
                <w:rFonts w:ascii="仿宋_GB2312" w:hAnsi="仿宋_GB2312" w:cs="仿宋_GB2312" w:eastAsia="仿宋_GB2312"/>
                <w:sz w:val="20"/>
                <w:color w:val="000000"/>
              </w:rPr>
              <w:t>（四）服务要求</w:t>
            </w:r>
          </w:p>
          <w:p>
            <w:pPr>
              <w:pStyle w:val="null3"/>
            </w:pPr>
            <w:r>
              <w:rPr>
                <w:rFonts w:ascii="仿宋_GB2312" w:hAnsi="仿宋_GB2312" w:cs="仿宋_GB2312" w:eastAsia="仿宋_GB2312"/>
                <w:sz w:val="20"/>
                <w:color w:val="000000"/>
              </w:rPr>
              <w:t>1.服务形式</w:t>
            </w:r>
          </w:p>
          <w:p>
            <w:pPr>
              <w:pStyle w:val="null3"/>
            </w:pPr>
            <w:r>
              <w:rPr>
                <w:rFonts w:ascii="仿宋_GB2312" w:hAnsi="仿宋_GB2312" w:cs="仿宋_GB2312" w:eastAsia="仿宋_GB2312"/>
                <w:sz w:val="20"/>
                <w:color w:val="000000"/>
              </w:rPr>
              <w:t>通过派驻运维服务人员在陕西省财政厅指定地点提供运维服务，并负责为运维服务人员提供满足国产化要求的电脑等设备。</w:t>
            </w:r>
          </w:p>
          <w:p>
            <w:pPr>
              <w:pStyle w:val="null3"/>
            </w:pPr>
            <w:r>
              <w:rPr>
                <w:rFonts w:ascii="仿宋_GB2312" w:hAnsi="仿宋_GB2312" w:cs="仿宋_GB2312" w:eastAsia="仿宋_GB2312"/>
                <w:sz w:val="20"/>
                <w:color w:val="000000"/>
              </w:rPr>
              <w:t>2.期限要求:1年</w:t>
            </w:r>
          </w:p>
          <w:p>
            <w:pPr>
              <w:pStyle w:val="null3"/>
            </w:pPr>
            <w:r>
              <w:rPr>
                <w:rFonts w:ascii="仿宋_GB2312" w:hAnsi="仿宋_GB2312" w:cs="仿宋_GB2312" w:eastAsia="仿宋_GB2312"/>
                <w:sz w:val="20"/>
                <w:color w:val="000000"/>
              </w:rPr>
              <w:t>3.运维服务时间</w:t>
            </w:r>
          </w:p>
          <w:p>
            <w:pPr>
              <w:pStyle w:val="null3"/>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5*8小时工作日驻场运维服务，5*8小时工作日96702热线电话技术支持服务，7*24小时电话及工作群远程技术服务。</w:t>
            </w:r>
          </w:p>
          <w:p>
            <w:pPr>
              <w:pStyle w:val="null3"/>
            </w:pPr>
            <w:r>
              <w:rPr>
                <w:rFonts w:ascii="仿宋_GB2312" w:hAnsi="仿宋_GB2312" w:cs="仿宋_GB2312" w:eastAsia="仿宋_GB2312"/>
                <w:sz w:val="20"/>
                <w:color w:val="000000"/>
              </w:rPr>
              <w:t>4.运维服务响应时限</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1）运维服务人员接到96702热线服务用户服务请求后，工作日30分钟内做出实质性响应，非工作日2小时内做出实质性响应。</w:t>
            </w:r>
          </w:p>
          <w:p>
            <w:pPr>
              <w:pStyle w:val="null3"/>
            </w:pPr>
            <w:r>
              <w:rPr>
                <w:rFonts w:ascii="仿宋_GB2312" w:hAnsi="仿宋_GB2312" w:cs="仿宋_GB2312" w:eastAsia="仿宋_GB2312"/>
                <w:sz w:val="20"/>
                <w:color w:val="000000"/>
              </w:rPr>
              <w:t>（</w:t>
            </w:r>
            <w:r>
              <w:rPr>
                <w:rFonts w:ascii="仿宋_GB2312" w:hAnsi="仿宋_GB2312" w:cs="仿宋_GB2312" w:eastAsia="仿宋_GB2312"/>
                <w:sz w:val="20"/>
                <w:color w:val="000000"/>
              </w:rPr>
              <w:t>2）运维服务人员接到采购人运维工单服务，12小时之内做出实质性响应，原则上按照工单派发顺序1至5个工作日完成任务。</w:t>
            </w:r>
          </w:p>
          <w:p>
            <w:pPr>
              <w:pStyle w:val="null3"/>
            </w:pPr>
            <w:r>
              <w:rPr>
                <w:rFonts w:ascii="仿宋_GB2312" w:hAnsi="仿宋_GB2312" w:cs="仿宋_GB2312" w:eastAsia="仿宋_GB2312"/>
                <w:sz w:val="20"/>
                <w:color w:val="000000"/>
              </w:rPr>
              <w:t>5.故障响应时限</w:t>
            </w:r>
          </w:p>
          <w:p>
            <w:pPr>
              <w:pStyle w:val="null3"/>
            </w:pPr>
            <w:r>
              <w:rPr>
                <w:rFonts w:ascii="仿宋_GB2312" w:hAnsi="仿宋_GB2312" w:cs="仿宋_GB2312" w:eastAsia="仿宋_GB2312"/>
                <w:sz w:val="20"/>
                <w:color w:val="000000"/>
              </w:rPr>
              <w:t>出现影响系统正常运行的故障时，运维服务人员</w:t>
            </w:r>
            <w:r>
              <w:rPr>
                <w:rFonts w:ascii="仿宋_GB2312" w:hAnsi="仿宋_GB2312" w:cs="仿宋_GB2312" w:eastAsia="仿宋_GB2312"/>
                <w:sz w:val="20"/>
                <w:color w:val="000000"/>
              </w:rPr>
              <w:t>60分钟内做出电话响应，如电话或远程技术服务无法解决时，应委派具有故障解决能力的运维服务人员24小时内到达现场处理，原则上8小时内解决问题。</w:t>
            </w:r>
          </w:p>
          <w:p>
            <w:pPr>
              <w:pStyle w:val="null3"/>
            </w:pPr>
            <w:r>
              <w:rPr>
                <w:rFonts w:ascii="仿宋_GB2312" w:hAnsi="仿宋_GB2312" w:cs="仿宋_GB2312" w:eastAsia="仿宋_GB2312"/>
                <w:sz w:val="20"/>
                <w:color w:val="000000"/>
              </w:rPr>
              <w:t>6.运维服务人员要求</w:t>
            </w:r>
          </w:p>
          <w:p>
            <w:pPr>
              <w:pStyle w:val="null3"/>
            </w:pPr>
            <w:r>
              <w:rPr>
                <w:rFonts w:ascii="仿宋_GB2312" w:hAnsi="仿宋_GB2312" w:cs="仿宋_GB2312" w:eastAsia="仿宋_GB2312"/>
                <w:sz w:val="20"/>
                <w:b/>
                <w:color w:val="000000"/>
              </w:rPr>
              <w:t>需要选派具有同类运维项目经验的项目经理</w:t>
            </w:r>
            <w:r>
              <w:rPr>
                <w:rFonts w:ascii="仿宋_GB2312" w:hAnsi="仿宋_GB2312" w:cs="仿宋_GB2312" w:eastAsia="仿宋_GB2312"/>
                <w:sz w:val="20"/>
                <w:b/>
                <w:color w:val="000000"/>
              </w:rPr>
              <w:t>1名、驻场运维工程师9名及远程运维工程师不少于3名组成运维服务团队，并在业务高峰期增派驻场运维工程师1名（驻场运维时间不少于6个月）</w:t>
            </w:r>
            <w:r>
              <w:rPr>
                <w:rFonts w:ascii="仿宋_GB2312" w:hAnsi="仿宋_GB2312" w:cs="仿宋_GB2312" w:eastAsia="仿宋_GB2312"/>
                <w:sz w:val="20"/>
                <w:color w:val="000000"/>
              </w:rPr>
              <w:t>保障运维工作安全、稳定进行。且需相关开发人员提供技术支持，满足项目优化、升级的需求。运维服务商应确保运维服务团队人员稳定，不得随意变更运维服务人员。</w:t>
            </w:r>
          </w:p>
          <w:p>
            <w:pPr>
              <w:pStyle w:val="null3"/>
            </w:pPr>
            <w:r>
              <w:rPr>
                <w:rFonts w:ascii="仿宋_GB2312" w:hAnsi="仿宋_GB2312" w:cs="仿宋_GB2312" w:eastAsia="仿宋_GB2312"/>
                <w:sz w:val="20"/>
                <w:color w:val="000000"/>
              </w:rPr>
              <w:t>运维服务商应组织新进人员开展岗前培训，使其具备采购人所要求的运维技术能力，培训内容包括但不限于安全、保密相关制度，业务及技术技能，运维相关制度等。</w:t>
            </w:r>
          </w:p>
          <w:p>
            <w:pPr>
              <w:pStyle w:val="null3"/>
            </w:pPr>
            <w:r>
              <w:rPr>
                <w:rFonts w:ascii="仿宋_GB2312" w:hAnsi="仿宋_GB2312" w:cs="仿宋_GB2312" w:eastAsia="仿宋_GB2312"/>
                <w:sz w:val="20"/>
                <w:color w:val="000000"/>
              </w:rPr>
              <w:t>运维服务商应强化安全及保密管理，每个季度组织运维团队所有人员开展安全保密教育及业务技能培训。</w:t>
            </w:r>
          </w:p>
          <w:p>
            <w:pPr>
              <w:pStyle w:val="null3"/>
            </w:pPr>
            <w:r>
              <w:rPr>
                <w:rFonts w:ascii="仿宋_GB2312" w:hAnsi="仿宋_GB2312" w:cs="仿宋_GB2312" w:eastAsia="仿宋_GB2312"/>
                <w:sz w:val="20"/>
                <w:color w:val="000000"/>
              </w:rPr>
              <w:t>7.网络安全及人员保密要求</w:t>
            </w:r>
          </w:p>
          <w:p>
            <w:pPr>
              <w:pStyle w:val="null3"/>
            </w:pPr>
            <w:r>
              <w:rPr>
                <w:rFonts w:ascii="仿宋_GB2312" w:hAnsi="仿宋_GB2312" w:cs="仿宋_GB2312" w:eastAsia="仿宋_GB2312"/>
                <w:sz w:val="20"/>
                <w:color w:val="000000"/>
              </w:rPr>
              <w:t>运维服务人员应保障该系统稳定安全运行，确保该系统数据的安全性和可靠性，杜绝系统的数据泄露、篡改或丢失，数据不得用于运维工作之外的其他用途，并作好网络安全防范工作。运维期间，运维服务人员应对系统相关信息及数据进行保密，不得公开，或向第三方提供。</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b/>
              </w:rPr>
              <w:t>人员数量：</w:t>
            </w:r>
            <w:r>
              <w:rPr>
                <w:rFonts w:ascii="仿宋_GB2312" w:hAnsi="仿宋_GB2312" w:cs="仿宋_GB2312" w:eastAsia="仿宋_GB2312"/>
                <w:sz w:val="20"/>
                <w:b/>
              </w:rPr>
              <w:t>项目经理</w:t>
            </w:r>
            <w:r>
              <w:rPr>
                <w:rFonts w:ascii="仿宋_GB2312" w:hAnsi="仿宋_GB2312" w:cs="仿宋_GB2312" w:eastAsia="仿宋_GB2312"/>
                <w:sz w:val="20"/>
                <w:b/>
              </w:rPr>
              <w:t>1</w:t>
            </w:r>
            <w:r>
              <w:rPr>
                <w:rFonts w:ascii="仿宋_GB2312" w:hAnsi="仿宋_GB2312" w:cs="仿宋_GB2312" w:eastAsia="仿宋_GB2312"/>
                <w:sz w:val="20"/>
                <w:b/>
              </w:rPr>
              <w:t>名、驻场运维工程师</w:t>
            </w:r>
            <w:r>
              <w:rPr>
                <w:rFonts w:ascii="仿宋_GB2312" w:hAnsi="仿宋_GB2312" w:cs="仿宋_GB2312" w:eastAsia="仿宋_GB2312"/>
                <w:sz w:val="20"/>
                <w:b/>
              </w:rPr>
              <w:t>9</w:t>
            </w:r>
            <w:r>
              <w:rPr>
                <w:rFonts w:ascii="仿宋_GB2312" w:hAnsi="仿宋_GB2312" w:cs="仿宋_GB2312" w:eastAsia="仿宋_GB2312"/>
                <w:sz w:val="20"/>
                <w:b/>
              </w:rPr>
              <w:t>名及远程运维工程师不少于</w:t>
            </w:r>
            <w:r>
              <w:rPr>
                <w:rFonts w:ascii="仿宋_GB2312" w:hAnsi="仿宋_GB2312" w:cs="仿宋_GB2312" w:eastAsia="仿宋_GB2312"/>
                <w:sz w:val="20"/>
                <w:b/>
              </w:rPr>
              <w:t>3</w:t>
            </w:r>
            <w:r>
              <w:rPr>
                <w:rFonts w:ascii="仿宋_GB2312" w:hAnsi="仿宋_GB2312" w:cs="仿宋_GB2312" w:eastAsia="仿宋_GB2312"/>
                <w:sz w:val="20"/>
                <w:b/>
              </w:rPr>
              <w:t>名组成运维服务团队，高峰期增派驻场运维工程师</w:t>
            </w:r>
            <w:r>
              <w:rPr>
                <w:rFonts w:ascii="仿宋_GB2312" w:hAnsi="仿宋_GB2312" w:cs="仿宋_GB2312" w:eastAsia="仿宋_GB2312"/>
                <w:sz w:val="20"/>
                <w:b/>
              </w:rPr>
              <w:t>1</w:t>
            </w:r>
            <w:r>
              <w:rPr>
                <w:rFonts w:ascii="仿宋_GB2312" w:hAnsi="仿宋_GB2312" w:cs="仿宋_GB2312" w:eastAsia="仿宋_GB2312"/>
                <w:sz w:val="20"/>
                <w:b/>
              </w:rPr>
              <w:t>名</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陕西省财政厅指定地点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首期款以甲方财政资金实际到位且相关运维（服务）准备工作完成后，监理单位签发开工令，乙方书面提出支付申请函及与拟支付金额等额的符合甲方财务管理要求的相应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本项目运维服务6 个月后， 甲方对项目进行阶段评价，乙方书面提出支付申请函及与拟支付金额等额的符合甲方财务管理要求的相应发票，甲方确认后启动支付流程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期满，且经甲方评价后30个工作日内，依据甲方服务评价结果或结算审计结果（如有）确认的金额，乙方书面提出支付申请函及与拟支付金额等额的符合甲方财务管理要求的相应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软件和信息技术服务业。软件和信息技术服务业的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2、本项目非专门面向中小企业采购。 3、需要落实的政府采购政策：（1）《国务院办公厅关于建立政府强制采购节能产品制度的通知》（国办发〔2007〕51号）；（2）《财政部司法部关于政府采购支持监狱企业发展有关问题的通知》（财库〔2014〕68号）；（3）《财政部、民政部、中国残疾人联合会关于促进残疾人就业政府采购政策的通知》（财库〔2017〕141号）；（4）《财政部发展改革委生态环境部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供应商2024年经审计的财务报告（事业法人可提供部门决算报告）或基本开户银行出具的资信证明或专业担保机构出具的投标担保函，供应商需在项目电子化交易系统中按要求上传相应证明文件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响应函 1.供应商应提交的相关资格证明材料.docx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1.供应商应提交的相关资格证明材料.docx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财务状况报告：供应商2024年经审计的财务报告（事业法人可提供部门决算报告）或基本开户银行出具的资信证明或专业担保机构出具的投标担保函，供应商需在项目电子化交易系统中按要求上传相应证明文件；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履行合同所必需的设备和专业技术能力书面声明函：具有履行合同所必需的设备和专业技术能力书面声明函，供应商需在项目电子化交易系统中按要求上传相应证明文件并进行电子签章；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站(www.creditchina.gov.cn)、中国政府采购网(www.ccgp.gov.cn)查询相关主体信用记录网页截图保存；</w:t>
            </w:r>
          </w:p>
        </w:tc>
        <w:tc>
          <w:tcPr>
            <w:tcW w:type="dxa" w:w="1661"/>
          </w:tcPr>
          <w:p>
            <w:pPr>
              <w:pStyle w:val="null3"/>
            </w:pPr>
            <w:r>
              <w:rPr>
                <w:rFonts w:ascii="仿宋_GB2312" w:hAnsi="仿宋_GB2312" w:cs="仿宋_GB2312" w:eastAsia="仿宋_GB2312"/>
              </w:rPr>
              <w:t>1.供应商应提交的相关资格证明材料.docx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2.磋商一览表.docx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法人身份证明或授权委托书</w:t>
            </w:r>
          </w:p>
        </w:tc>
        <w:tc>
          <w:tcPr>
            <w:tcW w:type="dxa" w:w="3322"/>
          </w:tcPr>
          <w:p>
            <w:pPr>
              <w:pStyle w:val="null3"/>
            </w:pPr>
            <w:r>
              <w:rPr>
                <w:rFonts w:ascii="仿宋_GB2312" w:hAnsi="仿宋_GB2312" w:cs="仿宋_GB2312" w:eastAsia="仿宋_GB2312"/>
              </w:rPr>
              <w:t>提供授权委托书，符合磋商文件要求</w:t>
            </w:r>
          </w:p>
        </w:tc>
        <w:tc>
          <w:tcPr>
            <w:tcW w:type="dxa" w:w="1661"/>
          </w:tcPr>
          <w:p>
            <w:pPr>
              <w:pStyle w:val="null3"/>
            </w:pPr>
            <w:r>
              <w:rPr>
                <w:rFonts w:ascii="仿宋_GB2312" w:hAnsi="仿宋_GB2312" w:cs="仿宋_GB2312" w:eastAsia="仿宋_GB2312"/>
              </w:rPr>
              <w:t>4.法定代表人身份证明书及法定代表人授权书.docx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4.法定代表人身份证明书及法定代表人授权书.docx 6.其他资料.docx 7.中小企业声明函(服务).docx 3.商务条款偏离表.docx 中小企业声明函 残疾人福利性单位声明函 2.磋商一览表.docx 标的清单 报价表 响应函 1.供应商应提交的相关资格证明材料.docx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2.磋商一览表.docx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2.磋商一览表.docx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2.磋商一览表.docx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满足竞争性磋商文件实质性要求</w:t>
            </w:r>
          </w:p>
        </w:tc>
        <w:tc>
          <w:tcPr>
            <w:tcW w:type="dxa" w:w="3322"/>
          </w:tcPr>
          <w:p>
            <w:pPr>
              <w:pStyle w:val="null3"/>
            </w:pPr>
            <w:r>
              <w:rPr>
                <w:rFonts w:ascii="仿宋_GB2312" w:hAnsi="仿宋_GB2312" w:cs="仿宋_GB2312" w:eastAsia="仿宋_GB2312"/>
              </w:rPr>
              <w:t>★人员数量：项目经理1名、驻场运维工程师9名及远程运维工程师不少于3名组成运维服务团队，高峰期增派驻场运维工程师1名</w:t>
            </w:r>
          </w:p>
        </w:tc>
        <w:tc>
          <w:tcPr>
            <w:tcW w:type="dxa" w:w="1661"/>
          </w:tcPr>
          <w:p>
            <w:pPr>
              <w:pStyle w:val="null3"/>
            </w:pPr>
            <w:r>
              <w:rPr>
                <w:rFonts w:ascii="仿宋_GB2312" w:hAnsi="仿宋_GB2312" w:cs="仿宋_GB2312" w:eastAsia="仿宋_GB2312"/>
              </w:rPr>
              <w:t>5.技术方案.docx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日常技术支持服务方案</w:t>
            </w:r>
          </w:p>
        </w:tc>
        <w:tc>
          <w:tcPr>
            <w:tcW w:type="dxa" w:w="2492"/>
          </w:tcPr>
          <w:p>
            <w:pPr>
              <w:pStyle w:val="null3"/>
            </w:pPr>
            <w:r>
              <w:rPr>
                <w:rFonts w:ascii="仿宋_GB2312" w:hAnsi="仿宋_GB2312" w:cs="仿宋_GB2312" w:eastAsia="仿宋_GB2312"/>
              </w:rPr>
              <w:t>供应商针对本项目服务内容提供日常技术支持服务方案： 1.方案逻辑层次清晰、针对性强、与采购内容吻合度高，实施性强、完全满足采购需求，得7分； 2.方案逻辑层次较清晰、针对性较强、与采购内容的吻合程度较高，实施性较强，满足采购需求，得5分； 3.方案逻辑层次基本清晰、针对性一般、与采购内容的吻合程度一般，实施性一般，基本满足采购需求，得3分；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软件系统运行维护服务方案</w:t>
            </w:r>
          </w:p>
        </w:tc>
        <w:tc>
          <w:tcPr>
            <w:tcW w:type="dxa" w:w="2492"/>
          </w:tcPr>
          <w:p>
            <w:pPr>
              <w:pStyle w:val="null3"/>
            </w:pPr>
            <w:r>
              <w:rPr>
                <w:rFonts w:ascii="仿宋_GB2312" w:hAnsi="仿宋_GB2312" w:cs="仿宋_GB2312" w:eastAsia="仿宋_GB2312"/>
              </w:rPr>
              <w:t>供应商针对本项目服务内容提供软件系统运行维护服务方案： 1.方案逻辑层次清晰、针对性强、与采购内容吻合度高，实施性强、完全满足采购需求，得7分； 2.方案逻辑层次较清晰、针对性较强、与采购内容的吻合程度较高，实施性较强，满足采购需求，得5分； 3.方案逻辑层次基本清晰、针对性一般、与采购内容的吻合程度一般，实施性一般，基本满足采购需求，得3分；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数据维护运维服务方案</w:t>
            </w:r>
          </w:p>
        </w:tc>
        <w:tc>
          <w:tcPr>
            <w:tcW w:type="dxa" w:w="2492"/>
          </w:tcPr>
          <w:p>
            <w:pPr>
              <w:pStyle w:val="null3"/>
            </w:pPr>
            <w:r>
              <w:rPr>
                <w:rFonts w:ascii="仿宋_GB2312" w:hAnsi="仿宋_GB2312" w:cs="仿宋_GB2312" w:eastAsia="仿宋_GB2312"/>
              </w:rPr>
              <w:t>供应商针对本项目服务内容提供数据维护运维服务方案： 1.方案逻辑层次清晰、针对性强、与采购内容吻合度高，实施性强、完全满足采购需求，得7分； 2.方案逻辑层次较清晰、针对性较强、与采购内容的吻合程度较高，实施性较强，满足采购需求，得5分； 3.方案逻辑层次基本清晰、针对性一般、与采购内容的吻合程度一般，实施性一般，基本满足采购需求，得3分；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接口单位对接 方案</w:t>
            </w:r>
          </w:p>
        </w:tc>
        <w:tc>
          <w:tcPr>
            <w:tcW w:type="dxa" w:w="2492"/>
          </w:tcPr>
          <w:p>
            <w:pPr>
              <w:pStyle w:val="null3"/>
            </w:pPr>
            <w:r>
              <w:rPr>
                <w:rFonts w:ascii="仿宋_GB2312" w:hAnsi="仿宋_GB2312" w:cs="仿宋_GB2312" w:eastAsia="仿宋_GB2312"/>
              </w:rPr>
              <w:t>供应商针对本项目提供详细具体可行的接口单位对接方案： 1.方案逻辑层次清晰、针对性强、与采购内容吻合度高，实施性强、完全满足采购需求，得7分； 2.方案逻辑层次较清晰、针对性较强、与采购内容的吻合程度较高，实施性较强，满足采购需求，得5分； 3.方案逻辑层次基本清晰、针对性一般、与采购内容的吻合程度一般，实施性一般，基本满足采购需求，得3分；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定期巡检方案</w:t>
            </w:r>
          </w:p>
        </w:tc>
        <w:tc>
          <w:tcPr>
            <w:tcW w:type="dxa" w:w="2492"/>
          </w:tcPr>
          <w:p>
            <w:pPr>
              <w:pStyle w:val="null3"/>
            </w:pPr>
            <w:r>
              <w:rPr>
                <w:rFonts w:ascii="仿宋_GB2312" w:hAnsi="仿宋_GB2312" w:cs="仿宋_GB2312" w:eastAsia="仿宋_GB2312"/>
              </w:rPr>
              <w:t>针对本项目定期巡检有具体方案，； 1.方案逻辑层次清晰、针对性强、与采购内容吻合度高，实施性强、完全满足采购需求，得7分； 2.方案逻辑层次较清晰、针对性较强、与采购内容的吻合程度较高，实施性较强，满足采购需求，得5分； 3.方案逻辑层次基本清晰、针对性一般、与采购内容的吻合程度一般，实施性一般，基本满足采购需求，得3分；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故障处理方案</w:t>
            </w:r>
          </w:p>
        </w:tc>
        <w:tc>
          <w:tcPr>
            <w:tcW w:type="dxa" w:w="2492"/>
          </w:tcPr>
          <w:p>
            <w:pPr>
              <w:pStyle w:val="null3"/>
            </w:pPr>
            <w:r>
              <w:rPr>
                <w:rFonts w:ascii="仿宋_GB2312" w:hAnsi="仿宋_GB2312" w:cs="仿宋_GB2312" w:eastAsia="仿宋_GB2312"/>
              </w:rPr>
              <w:t>供应商针对本项目提供合理的故障处理方案： 1.方案逻辑层次清晰、针对性强、与采购内容吻合度高，实施性强、完全满足采购需求，得7分； 2.方案逻辑层次较清晰、针对性较强、与采购内容的吻合程度较高，实施性较强，满足采购需求，得5分； 3.方案逻辑层次基本清晰、针对性一般、与采购内容的吻合程度一般，实施性一般，基本满足采购需求，得3分；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供应商针对本项目提供合理的安全保障方案： 1.方案逻辑层次清晰、针对性强、与采购内容吻合度高，实施性强、完全满足采购需求，得7分； 2.方案逻辑层次较清晰、针对性较强、与采购内容的吻合程度较高，实施性较强，满足采购需求，得5分； 3.方案逻辑层次基本清晰、针对性一般、与采购内容的吻合程度一般，实施性一般，基本满足采购需求，得3分；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系统更新服务 方案</w:t>
            </w:r>
          </w:p>
        </w:tc>
        <w:tc>
          <w:tcPr>
            <w:tcW w:type="dxa" w:w="2492"/>
          </w:tcPr>
          <w:p>
            <w:pPr>
              <w:pStyle w:val="null3"/>
            </w:pPr>
            <w:r>
              <w:rPr>
                <w:rFonts w:ascii="仿宋_GB2312" w:hAnsi="仿宋_GB2312" w:cs="仿宋_GB2312" w:eastAsia="仿宋_GB2312"/>
              </w:rPr>
              <w:t>供应商根据采购要求，提供完善的系统更新服务方案： 1.方案逻辑层次清晰、针对性强、与采购内容吻合度高，实施性强、完全满足采购需求，得7分； 2.方案逻辑层次较清晰、针对性较强、与采购内容的吻合程度较高，实施性较强，满足采购需求，得5分； 3.方案逻辑层次基本清晰、针对性一般、与采购内容的吻合程度一般，实施性一般，基本满足采购需求，得3分；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系统培训 服务方案</w:t>
            </w:r>
          </w:p>
        </w:tc>
        <w:tc>
          <w:tcPr>
            <w:tcW w:type="dxa" w:w="2492"/>
          </w:tcPr>
          <w:p>
            <w:pPr>
              <w:pStyle w:val="null3"/>
            </w:pPr>
            <w:r>
              <w:rPr>
                <w:rFonts w:ascii="仿宋_GB2312" w:hAnsi="仿宋_GB2312" w:cs="仿宋_GB2312" w:eastAsia="仿宋_GB2312"/>
              </w:rPr>
              <w:t>供应商针对本项目提供详细的系统培训方案： 1.培训方案完整详细、描述清晰、内容科学合理、可实施性强的，得7分。 2.培训方案较完整详细、描述较清晰、内容较科学合理、可实施性较强的，得5分。 3.培训方案基本完整详细、描述基本清晰、内容基本合理、具有可实施性，得3分。 4.培训方案不太完整、简单、内容合理性及可实施性一般的，得1分。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1、针对本项目提供明确的项目服务团队能力介绍： 服务团队人员满足采购需求的基础要求（项目经理1名、驻场运维工程师9名及远程运维工程师不少于3名组成运维服务团队，高峰期增派驻场运维工程师1名），且需相关开发人员提供技术支持，满足项目优化、升级的需求，根据项目服务团队的专业技术能力评审； （1）项目服务团队人员均具备相应的专业技术能力，能够完全保障运维服务得3分； （2）项目服务团队部分人员具备一定的专业技术能力，能够保障运维服务得2分； （3）项目服务团队人员具备基本的专业技术能力，能够基本保障运维服务得1分； 2、项目服务团队人员具有类似项目经验，每有一个人员具有类似项目经验得0.5分，最高得4分 （需提供合同或项目验收单或业主证明资料等，否则不得分）。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供应商依据对本项目需求进行整体分析，提供对本项目合理化建议： 1.建议逻辑层次清晰、针对性强、与采购内容的吻合程度高的，得5分； 2.建议逻辑层次较清晰、针对性较强、与采购内容的吻合程度一般，内容较简单的，得3分； 3.建议逻辑层次不清晰、不全面的，得1分；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供应商近三年（2022年1月1日至今）承接过类似项目业绩：每提供一个业绩合同或中标/成交通知书得1分，满分5分。 注：未提供不得分，响应文件中附项目合同关键页或中标/成交通知书复印件，并加盖供应商公章。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价格分统一采用低价优先法计算，即满足竞争性磋商文件要求且最终报价最低的为评标基准价，其价格分为满分。其他供应商的价格分统一按照下列公式计算： 磋商报价得分=（磋商基准价/最后磋商报价）×20 计算分数时四舍五入取小数点后两位。 注：其他通过资格审查、符合性审查供应商的报价，有可能影响服务质量或者不能诚信履约的，应当要求其在投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详见附件：1.供应商应提交的相关资格证明材料.docx</w:t>
      </w:r>
    </w:p>
    <w:p>
      <w:pPr>
        <w:pStyle w:val="null3"/>
        <w:ind w:firstLine="960"/>
      </w:pPr>
      <w:r>
        <w:rPr>
          <w:rFonts w:ascii="仿宋_GB2312" w:hAnsi="仿宋_GB2312" w:cs="仿宋_GB2312" w:eastAsia="仿宋_GB2312"/>
        </w:rPr>
        <w:t>详见附件：2.磋商一览表.docx</w:t>
      </w:r>
    </w:p>
    <w:p>
      <w:pPr>
        <w:pStyle w:val="null3"/>
        <w:ind w:firstLine="960"/>
      </w:pPr>
      <w:r>
        <w:rPr>
          <w:rFonts w:ascii="仿宋_GB2312" w:hAnsi="仿宋_GB2312" w:cs="仿宋_GB2312" w:eastAsia="仿宋_GB2312"/>
        </w:rPr>
        <w:t>详见附件：3.商务条款偏离表.docx</w:t>
      </w:r>
    </w:p>
    <w:p>
      <w:pPr>
        <w:pStyle w:val="null3"/>
        <w:ind w:firstLine="960"/>
      </w:pPr>
      <w:r>
        <w:rPr>
          <w:rFonts w:ascii="仿宋_GB2312" w:hAnsi="仿宋_GB2312" w:cs="仿宋_GB2312" w:eastAsia="仿宋_GB2312"/>
        </w:rPr>
        <w:t>详见附件：4.法定代表人身份证明书及法定代表人授权书.docx</w:t>
      </w:r>
    </w:p>
    <w:p>
      <w:pPr>
        <w:pStyle w:val="null3"/>
        <w:ind w:firstLine="960"/>
      </w:pPr>
      <w:r>
        <w:rPr>
          <w:rFonts w:ascii="仿宋_GB2312" w:hAnsi="仿宋_GB2312" w:cs="仿宋_GB2312" w:eastAsia="仿宋_GB2312"/>
        </w:rPr>
        <w:t>详见附件：5.技术方案.docx</w:t>
      </w:r>
    </w:p>
    <w:p>
      <w:pPr>
        <w:pStyle w:val="null3"/>
        <w:ind w:firstLine="960"/>
      </w:pPr>
      <w:r>
        <w:rPr>
          <w:rFonts w:ascii="仿宋_GB2312" w:hAnsi="仿宋_GB2312" w:cs="仿宋_GB2312" w:eastAsia="仿宋_GB2312"/>
        </w:rPr>
        <w:t>详见附件：6.其他资料.docx</w:t>
      </w:r>
    </w:p>
    <w:p>
      <w:pPr>
        <w:pStyle w:val="null3"/>
        <w:ind w:firstLine="960"/>
      </w:pPr>
      <w:r>
        <w:rPr>
          <w:rFonts w:ascii="仿宋_GB2312" w:hAnsi="仿宋_GB2312" w:cs="仿宋_GB2312" w:eastAsia="仿宋_GB2312"/>
        </w:rPr>
        <w:t>详见附件：7.中小企业声明函(服务).docx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详见附件：8.合同.docx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