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版本号：SCZA2025-CS-3155-00120251205001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2026年陕西财政惠民补贴资金“一卡通”兑付系统平台维护项目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SCZA2025-CS-3155-001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2026年陕西财政惠民补贴资金“一卡通”兑付系统平台维护项目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SCZA2025-CS-3155-001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2026年陕西财政惠民补贴资金“一卡通”兑付系统平台维护项目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2026年陕西财政惠民补贴资金“一卡通”兑付系统平台维护项目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代理服务费收费标准：代理服务费参照《国家计委关于印发&lt;招标代理服务收费管理暂行办法&gt;的通知》（计价格〔2002〕1980号）规定标准（按标段）下浮30%收取。中标单位的招标代理服务费交纳信息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地址：陕西省西安市高新区锦业路1号绿地都市之门C座9层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2026年陕西财政惠民补贴资金“一卡通”兑付系统平台维护项目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陕西财政惠民补贴资金"一卡通"兑付系统平台运行维护服务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标的名称：陕西财政惠民补贴资金"一卡通"兑付系统平台运行维护服务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一、基本信息</w:t>
            </w:r>
          </w:p>
          <w:p>
            <w:pPr>
              <w:pStyle w:val="null3"/>
            </w:pPr>
            <w:r>
              <w:rPr>
                <w:rFonts w:ascii="仿宋_GB2312" w:hAnsi="仿宋_GB2312" w:cs="仿宋_GB2312" w:eastAsia="仿宋_GB2312"/>
                <w:sz w:val="21"/>
              </w:rPr>
              <w:t>（一）项目名称：</w:t>
            </w:r>
            <w:r>
              <w:rPr>
                <w:rFonts w:ascii="仿宋_GB2312" w:hAnsi="仿宋_GB2312" w:cs="仿宋_GB2312" w:eastAsia="仿宋_GB2312"/>
                <w:sz w:val="21"/>
              </w:rPr>
              <w:t>2026年陕西财政惠民补贴资金“一卡通”兑付系统平台维护项目</w:t>
            </w:r>
          </w:p>
          <w:p>
            <w:pPr>
              <w:pStyle w:val="null3"/>
            </w:pPr>
            <w:r>
              <w:rPr>
                <w:rFonts w:ascii="仿宋_GB2312" w:hAnsi="仿宋_GB2312" w:cs="仿宋_GB2312" w:eastAsia="仿宋_GB2312"/>
                <w:sz w:val="21"/>
              </w:rPr>
              <w:t>（二）项目功能或目标：为全省财政部门、业务主管部门提供惠民惠农财政补贴资金兑付与管理业务日常维护服务；为全省惠民补贴资金发放代理银行提供对接服务及日常维护服务；为外部接口单位提供对接服务及日常运行维护服务；为全省补贴受益群众提供补贴查询支持服务及日常运行维护服务；其他技术支持工作。</w:t>
            </w:r>
          </w:p>
          <w:p>
            <w:pPr>
              <w:pStyle w:val="null3"/>
            </w:pPr>
            <w:r>
              <w:rPr>
                <w:rFonts w:ascii="仿宋_GB2312" w:hAnsi="仿宋_GB2312" w:cs="仿宋_GB2312" w:eastAsia="仿宋_GB2312"/>
                <w:sz w:val="21"/>
              </w:rPr>
              <w:t>（三）服务期限：</w:t>
            </w:r>
            <w:r>
              <w:rPr>
                <w:rFonts w:ascii="仿宋_GB2312" w:hAnsi="仿宋_GB2312" w:cs="仿宋_GB2312" w:eastAsia="仿宋_GB2312"/>
                <w:sz w:val="21"/>
              </w:rPr>
              <w:t>1年</w:t>
            </w:r>
          </w:p>
          <w:p>
            <w:pPr>
              <w:pStyle w:val="null3"/>
            </w:pPr>
            <w:r>
              <w:rPr>
                <w:rFonts w:ascii="仿宋_GB2312" w:hAnsi="仿宋_GB2312" w:cs="仿宋_GB2312" w:eastAsia="仿宋_GB2312"/>
                <w:sz w:val="21"/>
              </w:rPr>
              <w:t>（四）服务地点：陕西省财政厅指定地点</w:t>
            </w:r>
          </w:p>
          <w:p>
            <w:pPr>
              <w:pStyle w:val="null3"/>
            </w:pPr>
            <w:r>
              <w:rPr>
                <w:rFonts w:ascii="仿宋_GB2312" w:hAnsi="仿宋_GB2312" w:cs="仿宋_GB2312" w:eastAsia="仿宋_GB2312"/>
                <w:sz w:val="21"/>
              </w:rPr>
              <w:t>（五）项目资金情况：预算金额为</w:t>
            </w:r>
            <w:r>
              <w:rPr>
                <w:rFonts w:ascii="仿宋_GB2312" w:hAnsi="仿宋_GB2312" w:cs="仿宋_GB2312" w:eastAsia="仿宋_GB2312"/>
                <w:sz w:val="21"/>
              </w:rPr>
              <w:t>84万元</w:t>
            </w:r>
          </w:p>
          <w:p>
            <w:pPr>
              <w:pStyle w:val="null3"/>
            </w:pPr>
            <w:r>
              <w:rPr>
                <w:rFonts w:ascii="仿宋_GB2312" w:hAnsi="仿宋_GB2312" w:cs="仿宋_GB2312" w:eastAsia="仿宋_GB2312"/>
                <w:sz w:val="21"/>
                <w:b/>
              </w:rPr>
              <w:t>二、项目参数</w:t>
            </w:r>
          </w:p>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陕西财政惠民补贴资金</w:t>
            </w:r>
            <w:r>
              <w:rPr>
                <w:rFonts w:ascii="仿宋_GB2312" w:hAnsi="仿宋_GB2312" w:cs="仿宋_GB2312" w:eastAsia="仿宋_GB2312"/>
                <w:sz w:val="21"/>
              </w:rPr>
              <w:t>“一卡通”兑付系统平台</w:t>
            </w:r>
            <w:r>
              <w:rPr>
                <w:rFonts w:ascii="仿宋_GB2312" w:hAnsi="仿宋_GB2312" w:cs="仿宋_GB2312" w:eastAsia="仿宋_GB2312"/>
              </w:rPr>
              <w:t>包括</w:t>
            </w:r>
            <w:r>
              <w:rPr>
                <w:rFonts w:ascii="仿宋_GB2312" w:hAnsi="仿宋_GB2312" w:cs="仿宋_GB2312" w:eastAsia="仿宋_GB2312"/>
              </w:rPr>
              <w:t>“惠民补贴资金兑付系统”与“公众服务平台”两个子系统，其中“惠民补贴资金兑付系统”通过财政部门、业务主管部门、代理银行间联网，实现全省惠民惠农财政补贴资金的发放与管理。其系统包括补贴登记、兑付管理等功能模块，实现补贴资金在线的发放与管理，确保补贴资金及时、足额、安全发放到受益群众手中。“公众服务平台”面向社会公众，通过网站、微信公众号、自助查询终端等方式为公众提供一个全面的涵盖补贴政策清单、补贴公示、个人补贴查询等功能为一体的综合信息服务平台。通过系统日常运维支持，保障其高效、安全、稳定地运行，有力支撑全省惠民惠农财政补贴资金发放和管理工作。</w:t>
            </w:r>
          </w:p>
          <w:p>
            <w:pPr>
              <w:pStyle w:val="null3"/>
            </w:pPr>
            <w:r>
              <w:rPr>
                <w:rFonts w:ascii="仿宋_GB2312" w:hAnsi="仿宋_GB2312" w:cs="仿宋_GB2312" w:eastAsia="仿宋_GB2312"/>
                <w:sz w:val="21"/>
              </w:rPr>
              <w:t>（二）服务对象</w:t>
            </w:r>
          </w:p>
          <w:p>
            <w:pPr>
              <w:pStyle w:val="null3"/>
            </w:pPr>
            <w:r>
              <w:rPr>
                <w:rFonts w:ascii="仿宋_GB2312" w:hAnsi="仿宋_GB2312" w:cs="仿宋_GB2312" w:eastAsia="仿宋_GB2312"/>
                <w:sz w:val="21"/>
              </w:rPr>
              <w:t>全省各级财政部门、业务主管部门、补贴资金发放代理银行及补贴对象。</w:t>
            </w:r>
          </w:p>
          <w:p>
            <w:pPr>
              <w:pStyle w:val="null3"/>
              <w:numPr>
                <w:ilvl w:val="0"/>
                <w:numId w:val="1"/>
              </w:numPr>
            </w:pPr>
            <w:r>
              <w:rPr>
                <w:rFonts w:ascii="仿宋_GB2312" w:hAnsi="仿宋_GB2312" w:cs="仿宋_GB2312" w:eastAsia="仿宋_GB2312"/>
                <w:b/>
              </w:rPr>
              <w:t>服务内容和范围</w:t>
            </w:r>
          </w:p>
          <w:p>
            <w:pPr>
              <w:pStyle w:val="null3"/>
            </w:pPr>
            <w:r>
              <w:rPr>
                <w:rFonts w:ascii="仿宋_GB2312" w:hAnsi="仿宋_GB2312" w:cs="仿宋_GB2312" w:eastAsia="仿宋_GB2312"/>
              </w:rPr>
              <w:t>1.业务办理保障服务：</w:t>
            </w:r>
          </w:p>
          <w:p>
            <w:pPr>
              <w:pStyle w:val="null3"/>
            </w:pPr>
            <w:r>
              <w:rPr>
                <w:rFonts w:ascii="仿宋_GB2312" w:hAnsi="仿宋_GB2312" w:cs="仿宋_GB2312" w:eastAsia="仿宋_GB2312"/>
              </w:rPr>
              <w:t>保障陕西省各级财政部门、业务主管部门的系统使用，以及全省受益群众的个人补贴查询，向补贴资金发放代理银行和接口单位提供运维服务，保障用户通过系统正常办理补贴资金兑付和进度管理业务，以及个人补贴查询等业务活动。</w:t>
            </w:r>
          </w:p>
          <w:p>
            <w:pPr>
              <w:pStyle w:val="null3"/>
            </w:pPr>
            <w:r>
              <w:rPr>
                <w:rFonts w:ascii="仿宋_GB2312" w:hAnsi="仿宋_GB2312" w:cs="仿宋_GB2312" w:eastAsia="仿宋_GB2312"/>
              </w:rPr>
              <w:t>2.日常技术支持服务</w:t>
            </w:r>
          </w:p>
          <w:p>
            <w:pPr>
              <w:pStyle w:val="null3"/>
            </w:pPr>
            <w:r>
              <w:rPr>
                <w:rFonts w:ascii="仿宋_GB2312" w:hAnsi="仿宋_GB2312" w:cs="仿宋_GB2312" w:eastAsia="仿宋_GB2312"/>
              </w:rPr>
              <w:t>（</w:t>
            </w:r>
            <w:r>
              <w:rPr>
                <w:rFonts w:ascii="仿宋_GB2312" w:hAnsi="仿宋_GB2312" w:cs="仿宋_GB2312" w:eastAsia="仿宋_GB2312"/>
              </w:rPr>
              <w:t>1）驻场服务</w:t>
            </w:r>
          </w:p>
          <w:p>
            <w:pPr>
              <w:pStyle w:val="null3"/>
            </w:pPr>
            <w:r>
              <w:rPr>
                <w:rFonts w:ascii="仿宋_GB2312" w:hAnsi="仿宋_GB2312" w:cs="仿宋_GB2312" w:eastAsia="仿宋_GB2312"/>
              </w:rPr>
              <w:t>提供驻场运维服务，负责该系统运行监控以及问题处理工作。服务期间，运维服务人员在国家法定工作日提供技术支持服务，通过</w:t>
            </w:r>
            <w:r>
              <w:rPr>
                <w:rFonts w:ascii="仿宋_GB2312" w:hAnsi="仿宋_GB2312" w:cs="仿宋_GB2312" w:eastAsia="仿宋_GB2312"/>
              </w:rPr>
              <w:t>96702热线电话提供一线坐席和二线运维服务。在接到用户的使用及技术问题后，一线运维服务人员应立即响应并及时解决；遇到疑难问题与用户协商后，提交二线运维服务人员处理，处理完成后反馈用户，保证问题得到有效解决，系统平稳运行。必要时，可根据业务需要延长驻场时间，配合采购人按期完成相关临时工作任务。</w:t>
            </w:r>
          </w:p>
          <w:p>
            <w:pPr>
              <w:pStyle w:val="null3"/>
            </w:pPr>
            <w:r>
              <w:rPr>
                <w:rFonts w:ascii="仿宋_GB2312" w:hAnsi="仿宋_GB2312" w:cs="仿宋_GB2312" w:eastAsia="仿宋_GB2312"/>
              </w:rPr>
              <w:t>（</w:t>
            </w:r>
            <w:r>
              <w:rPr>
                <w:rFonts w:ascii="仿宋_GB2312" w:hAnsi="仿宋_GB2312" w:cs="仿宋_GB2312" w:eastAsia="仿宋_GB2312"/>
              </w:rPr>
              <w:t>2）电话服务及现场服务</w:t>
            </w:r>
          </w:p>
          <w:p>
            <w:pPr>
              <w:pStyle w:val="null3"/>
            </w:pPr>
            <w:r>
              <w:rPr>
                <w:rFonts w:ascii="仿宋_GB2312" w:hAnsi="仿宋_GB2312" w:cs="仿宋_GB2312" w:eastAsia="仿宋_GB2312"/>
              </w:rPr>
              <w:t>向用户提供电话等技术服务，进行业务系统流程及操作咨询和答疑。有必要时，按照业务需要，采购人派运维服务人员上门现场服务，保证用户问题得到有效解决，系统平稳运行。</w:t>
            </w:r>
          </w:p>
          <w:p>
            <w:pPr>
              <w:pStyle w:val="null3"/>
            </w:pPr>
            <w:r>
              <w:rPr>
                <w:rFonts w:ascii="仿宋_GB2312" w:hAnsi="仿宋_GB2312" w:cs="仿宋_GB2312" w:eastAsia="仿宋_GB2312"/>
              </w:rPr>
              <w:t>3.软件系统运行维护服务</w:t>
            </w:r>
          </w:p>
          <w:p>
            <w:pPr>
              <w:pStyle w:val="null3"/>
            </w:pPr>
            <w:r>
              <w:rPr>
                <w:rFonts w:ascii="仿宋_GB2312" w:hAnsi="仿宋_GB2312" w:cs="仿宋_GB2312" w:eastAsia="仿宋_GB2312"/>
              </w:rPr>
              <w:t>（</w:t>
            </w:r>
            <w:r>
              <w:rPr>
                <w:rFonts w:ascii="仿宋_GB2312" w:hAnsi="仿宋_GB2312" w:cs="仿宋_GB2312" w:eastAsia="仿宋_GB2312"/>
              </w:rPr>
              <w:t>1）对</w:t>
            </w:r>
            <w:r>
              <w:rPr>
                <w:rFonts w:ascii="仿宋_GB2312" w:hAnsi="仿宋_GB2312" w:cs="仿宋_GB2312" w:eastAsia="仿宋_GB2312"/>
                <w:sz w:val="21"/>
              </w:rPr>
              <w:t>陕西财政惠民补贴资金</w:t>
            </w:r>
            <w:r>
              <w:rPr>
                <w:rFonts w:ascii="仿宋_GB2312" w:hAnsi="仿宋_GB2312" w:cs="仿宋_GB2312" w:eastAsia="仿宋_GB2312"/>
                <w:sz w:val="21"/>
              </w:rPr>
              <w:t>“一卡通”兑付系统平台</w:t>
            </w:r>
            <w:r>
              <w:rPr>
                <w:rFonts w:ascii="仿宋_GB2312" w:hAnsi="仿宋_GB2312" w:cs="仿宋_GB2312" w:eastAsia="仿宋_GB2312"/>
              </w:rPr>
              <w:t>提供基本的软件运行维护服务，防止系统出现技术性问题，保证业务的连续性，具体包括：每工作日检查系统运行状态，对系统应用服务、数据库服务、中间件服务、代理银行接口服务、业务部门接口服务的运行情况检查，出现异常问题及时上报，提交问题情况说明，并排查、处理。</w:t>
            </w:r>
          </w:p>
          <w:p>
            <w:pPr>
              <w:pStyle w:val="null3"/>
            </w:pPr>
            <w:r>
              <w:rPr>
                <w:rFonts w:ascii="仿宋_GB2312" w:hAnsi="仿宋_GB2312" w:cs="仿宋_GB2312" w:eastAsia="仿宋_GB2312"/>
              </w:rPr>
              <w:t>（</w:t>
            </w:r>
            <w:r>
              <w:rPr>
                <w:rFonts w:ascii="仿宋_GB2312" w:hAnsi="仿宋_GB2312" w:cs="仿宋_GB2312" w:eastAsia="仿宋_GB2312"/>
              </w:rPr>
              <w:t>2）负责该系统因硬件设备调整或故障、网络环境调整或故障、部署方案调整等各种原因引起的重新部署、迁移、测试以及升级工作，以保障该系统正常稳定运行。</w:t>
            </w:r>
          </w:p>
          <w:p>
            <w:pPr>
              <w:pStyle w:val="null3"/>
            </w:pPr>
            <w:r>
              <w:rPr>
                <w:rFonts w:ascii="仿宋_GB2312" w:hAnsi="仿宋_GB2312" w:cs="仿宋_GB2312" w:eastAsia="仿宋_GB2312"/>
              </w:rPr>
              <w:t>（</w:t>
            </w:r>
            <w:r>
              <w:rPr>
                <w:rFonts w:ascii="仿宋_GB2312" w:hAnsi="仿宋_GB2312" w:cs="仿宋_GB2312" w:eastAsia="仿宋_GB2312"/>
              </w:rPr>
              <w:t>3）提供补贴发放数据核对服务，对于监测产生的异常发放数据进行处理，包括发送失败的资金发放报文、异常发放数据等。</w:t>
            </w:r>
          </w:p>
          <w:p>
            <w:pPr>
              <w:pStyle w:val="null3"/>
            </w:pPr>
            <w:r>
              <w:rPr>
                <w:rFonts w:ascii="仿宋_GB2312" w:hAnsi="仿宋_GB2312" w:cs="仿宋_GB2312" w:eastAsia="仿宋_GB2312"/>
              </w:rPr>
              <w:t>（</w:t>
            </w:r>
            <w:r>
              <w:rPr>
                <w:rFonts w:ascii="仿宋_GB2312" w:hAnsi="仿宋_GB2312" w:cs="仿宋_GB2312" w:eastAsia="仿宋_GB2312"/>
              </w:rPr>
              <w:t>4）提供补贴数据年结服务，协助各级财政部门完成本年度数据结转，并按照补贴业务管理要求完成业务数据初始化配置，做好年结切换支持工作。</w:t>
            </w:r>
          </w:p>
          <w:p>
            <w:pPr>
              <w:pStyle w:val="null3"/>
            </w:pPr>
            <w:r>
              <w:rPr>
                <w:rFonts w:ascii="仿宋_GB2312" w:hAnsi="仿宋_GB2312" w:cs="仿宋_GB2312" w:eastAsia="仿宋_GB2312"/>
              </w:rPr>
              <w:t>（</w:t>
            </w:r>
            <w:r>
              <w:rPr>
                <w:rFonts w:ascii="仿宋_GB2312" w:hAnsi="仿宋_GB2312" w:cs="仿宋_GB2312" w:eastAsia="仿宋_GB2312"/>
              </w:rPr>
              <w:t>5）提供公众服务平台运行维护服务，为社会公众提供稳定的政策清单查询、补贴公示服务，为补贴受益群众提供便捷查询渠道。</w:t>
            </w:r>
          </w:p>
          <w:p>
            <w:pPr>
              <w:pStyle w:val="null3"/>
            </w:pPr>
            <w:r>
              <w:rPr>
                <w:rFonts w:ascii="仿宋_GB2312" w:hAnsi="仿宋_GB2312" w:cs="仿宋_GB2312" w:eastAsia="仿宋_GB2312"/>
              </w:rPr>
              <w:t>4.业务数据统计服务</w:t>
            </w:r>
          </w:p>
          <w:p>
            <w:pPr>
              <w:pStyle w:val="null3"/>
            </w:pPr>
            <w:r>
              <w:rPr>
                <w:rFonts w:ascii="仿宋_GB2312" w:hAnsi="仿宋_GB2312" w:cs="仿宋_GB2312" w:eastAsia="仿宋_GB2312"/>
              </w:rPr>
              <w:t>根据用户的需求，提供系统相关数据统计服务，保证统计数据的完整性和准确性。</w:t>
            </w:r>
          </w:p>
          <w:p>
            <w:pPr>
              <w:pStyle w:val="null3"/>
            </w:pPr>
            <w:r>
              <w:rPr>
                <w:rFonts w:ascii="仿宋_GB2312" w:hAnsi="仿宋_GB2312" w:cs="仿宋_GB2312" w:eastAsia="仿宋_GB2312"/>
              </w:rPr>
              <w:t>5.数据维护运维服务</w:t>
            </w:r>
          </w:p>
          <w:p>
            <w:pPr>
              <w:pStyle w:val="null3"/>
            </w:pPr>
            <w:r>
              <w:rPr>
                <w:rFonts w:ascii="仿宋_GB2312" w:hAnsi="仿宋_GB2312" w:cs="仿宋_GB2312" w:eastAsia="仿宋_GB2312"/>
              </w:rPr>
              <w:t>为各级财政部门提供保证业务正常开展的数据维护服务，包括单位基础数据、用户数据、项目批次数据、财政账户数据、补贴对象、区划信息等基础类数据的维护。</w:t>
            </w:r>
          </w:p>
          <w:p>
            <w:pPr>
              <w:pStyle w:val="null3"/>
            </w:pPr>
            <w:r>
              <w:rPr>
                <w:rFonts w:ascii="仿宋_GB2312" w:hAnsi="仿宋_GB2312" w:cs="仿宋_GB2312" w:eastAsia="仿宋_GB2312"/>
              </w:rPr>
              <w:t>6.接口单位对接</w:t>
            </w:r>
          </w:p>
          <w:p>
            <w:pPr>
              <w:pStyle w:val="null3"/>
            </w:pPr>
            <w:r>
              <w:rPr>
                <w:rFonts w:ascii="仿宋_GB2312" w:hAnsi="仿宋_GB2312" w:cs="仿宋_GB2312" w:eastAsia="仿宋_GB2312"/>
              </w:rPr>
              <w:t>配合外部接口单位按照统一接口规范，完成单位对接的联调、测试、上线支持工作，以保障高龄老人补贴、社会救助补贴等资金兑付业务的正常开展。</w:t>
            </w:r>
          </w:p>
          <w:p>
            <w:pPr>
              <w:pStyle w:val="null3"/>
            </w:pPr>
            <w:r>
              <w:rPr>
                <w:rFonts w:ascii="仿宋_GB2312" w:hAnsi="仿宋_GB2312" w:cs="仿宋_GB2312" w:eastAsia="仿宋_GB2312"/>
              </w:rPr>
              <w:t>7.安全运维服务</w:t>
            </w:r>
          </w:p>
          <w:p>
            <w:pPr>
              <w:pStyle w:val="null3"/>
            </w:pPr>
            <w:r>
              <w:rPr>
                <w:rFonts w:ascii="仿宋_GB2312" w:hAnsi="仿宋_GB2312" w:cs="仿宋_GB2312" w:eastAsia="仿宋_GB2312"/>
              </w:rPr>
              <w:t>（</w:t>
            </w:r>
            <w:r>
              <w:rPr>
                <w:rFonts w:ascii="仿宋_GB2312" w:hAnsi="仿宋_GB2312" w:cs="仿宋_GB2312" w:eastAsia="仿宋_GB2312"/>
              </w:rPr>
              <w:t>1）定期巡检服务：通过日常巡检工作，有效保证系统的正常运行，巡检内容包括查询数据库表空间、磁盘空间余量，系统服务进程运行状态等相关性能指标情况。每周对系统运行情况开展巡检服务，每次巡检均需做好记录，每月汇总形成巡检报告；对巡检过程中发现的问题或缺陷应及时分析处理，形成报告。</w:t>
            </w:r>
          </w:p>
          <w:p>
            <w:pPr>
              <w:pStyle w:val="null3"/>
            </w:pPr>
            <w:r>
              <w:rPr>
                <w:rFonts w:ascii="仿宋_GB2312" w:hAnsi="仿宋_GB2312" w:cs="仿宋_GB2312" w:eastAsia="仿宋_GB2312"/>
              </w:rPr>
              <w:t>（</w:t>
            </w:r>
            <w:r>
              <w:rPr>
                <w:rFonts w:ascii="仿宋_GB2312" w:hAnsi="仿宋_GB2312" w:cs="仿宋_GB2312" w:eastAsia="仿宋_GB2312"/>
              </w:rPr>
              <w:t>2）故障处理服务：建立该系统应急处理机制，提供故障应急处理服务，当网络访问异常或系统运行出现故障时，运维服务人员应立即上报，根据要求对问题进行排查和处理，使系统正常运行，同时保障系统在运维年度内的运行安全和数据安全。</w:t>
            </w:r>
          </w:p>
          <w:p>
            <w:pPr>
              <w:pStyle w:val="null3"/>
            </w:pPr>
            <w:r>
              <w:rPr>
                <w:rFonts w:ascii="仿宋_GB2312" w:hAnsi="仿宋_GB2312" w:cs="仿宋_GB2312" w:eastAsia="仿宋_GB2312"/>
              </w:rPr>
              <w:t>（</w:t>
            </w:r>
            <w:r>
              <w:rPr>
                <w:rFonts w:ascii="仿宋_GB2312" w:hAnsi="仿宋_GB2312" w:cs="仿宋_GB2312" w:eastAsia="仿宋_GB2312"/>
              </w:rPr>
              <w:t>3）安全保障服务：提供安全基线检查、安全加固、漏洞处理、应急响应、应急演练等安全保障支持，保证系统在运维年度内运行安全。</w:t>
            </w:r>
          </w:p>
          <w:p>
            <w:pPr>
              <w:pStyle w:val="null3"/>
            </w:pPr>
            <w:r>
              <w:rPr>
                <w:rFonts w:ascii="仿宋_GB2312" w:hAnsi="仿宋_GB2312" w:cs="仿宋_GB2312" w:eastAsia="仿宋_GB2312"/>
              </w:rPr>
              <w:t>8.系统更新服务</w:t>
            </w:r>
          </w:p>
          <w:p>
            <w:pPr>
              <w:pStyle w:val="null3"/>
            </w:pPr>
            <w:r>
              <w:rPr>
                <w:rFonts w:ascii="仿宋_GB2312" w:hAnsi="仿宋_GB2312" w:cs="仿宋_GB2312" w:eastAsia="仿宋_GB2312"/>
              </w:rPr>
              <w:t>（</w:t>
            </w:r>
            <w:r>
              <w:rPr>
                <w:rFonts w:ascii="仿宋_GB2312" w:hAnsi="仿宋_GB2312" w:cs="仿宋_GB2312" w:eastAsia="仿宋_GB2312"/>
              </w:rPr>
              <w:t>1）BUG修复：及时对系统产生的bug、漏洞进行修复，保证陕西财政惠民补贴资金“一卡通”兑付系统平台用户稳定使用系统。修复内容包括但不限于功能缺失、功能异常、响应缓慢、内存泄漏，卡顿和死机、布局错乱、文字显示问题、图标显示错误、数据丢失、数据不一致、数据错误、浏览器兼容性、操作系统兼容性、设备兼容性、权限漏洞、数据泄漏、注入攻击等。</w:t>
            </w:r>
          </w:p>
          <w:p>
            <w:pPr>
              <w:pStyle w:val="null3"/>
            </w:pPr>
            <w:r>
              <w:rPr>
                <w:rFonts w:ascii="仿宋_GB2312" w:hAnsi="仿宋_GB2312" w:cs="仿宋_GB2312" w:eastAsia="仿宋_GB2312"/>
              </w:rPr>
              <w:t>（</w:t>
            </w:r>
            <w:r>
              <w:rPr>
                <w:rFonts w:ascii="仿宋_GB2312" w:hAnsi="仿宋_GB2312" w:cs="仿宋_GB2312" w:eastAsia="仿宋_GB2312"/>
              </w:rPr>
              <w:t>2）功能优化：对系统的代码进行持续优化，提高系统的性能和稳定性；对数据库进行优化，提高数据库的查询速度和响应时间；根据系统的实际运行情况，调整系统的配置参数，以达到最佳的性能表现；根据用户使用过程中的需求对现有功能模块进行优化调整，提升用户满意度，优化功能流程。</w:t>
            </w:r>
          </w:p>
          <w:p>
            <w:pPr>
              <w:pStyle w:val="null3"/>
            </w:pPr>
            <w:r>
              <w:rPr>
                <w:rFonts w:ascii="仿宋_GB2312" w:hAnsi="仿宋_GB2312" w:cs="仿宋_GB2312" w:eastAsia="仿宋_GB2312"/>
              </w:rPr>
              <w:t>9.系统培训服务</w:t>
            </w:r>
          </w:p>
          <w:p>
            <w:pPr>
              <w:pStyle w:val="null3"/>
            </w:pPr>
            <w:r>
              <w:rPr>
                <w:rFonts w:ascii="仿宋_GB2312" w:hAnsi="仿宋_GB2312" w:cs="仿宋_GB2312" w:eastAsia="仿宋_GB2312"/>
              </w:rPr>
              <w:t>根据要求，每年为全省用户至少提供</w:t>
            </w:r>
            <w:r>
              <w:rPr>
                <w:rFonts w:ascii="仿宋_GB2312" w:hAnsi="仿宋_GB2312" w:cs="仿宋_GB2312" w:eastAsia="仿宋_GB2312"/>
              </w:rPr>
              <w:t>1次线下集中或线上视频系统操作培训，使用户能够正确熟练地使用系统。提供系统常见问题解答、操作视频录制及操作指南编写等服务，并根据系统升级、优化情况，实时更新操作指南等相关内容。</w:t>
            </w:r>
          </w:p>
          <w:p>
            <w:pPr>
              <w:pStyle w:val="null3"/>
            </w:pPr>
            <w:r>
              <w:rPr>
                <w:rFonts w:ascii="仿宋_GB2312" w:hAnsi="仿宋_GB2312" w:cs="仿宋_GB2312" w:eastAsia="仿宋_GB2312"/>
              </w:rPr>
              <w:t>10.其他运维事项</w:t>
            </w:r>
          </w:p>
          <w:p>
            <w:pPr>
              <w:pStyle w:val="null3"/>
            </w:pPr>
            <w:r>
              <w:rPr>
                <w:rFonts w:ascii="仿宋_GB2312" w:hAnsi="仿宋_GB2312" w:cs="仿宋_GB2312" w:eastAsia="仿宋_GB2312"/>
              </w:rPr>
              <w:t>完成采购人要求的其他相关运维保障工作事项。</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1.服务形式</w:t>
            </w:r>
          </w:p>
          <w:p>
            <w:pPr>
              <w:pStyle w:val="null3"/>
            </w:pPr>
            <w:r>
              <w:rPr>
                <w:rFonts w:ascii="仿宋_GB2312" w:hAnsi="仿宋_GB2312" w:cs="仿宋_GB2312" w:eastAsia="仿宋_GB2312"/>
              </w:rPr>
              <w:t>通过派驻运维服务人员在陕西省财政厅指定地点提供运维服务，并负责为运维服务人员提供满足国产化要求的电脑等设备。</w:t>
            </w:r>
          </w:p>
          <w:p>
            <w:pPr>
              <w:pStyle w:val="null3"/>
            </w:pPr>
            <w:r>
              <w:rPr>
                <w:rFonts w:ascii="仿宋_GB2312" w:hAnsi="仿宋_GB2312" w:cs="仿宋_GB2312" w:eastAsia="仿宋_GB2312"/>
              </w:rPr>
              <w:t>2.期限要求: 1年</w:t>
            </w:r>
          </w:p>
          <w:p>
            <w:pPr>
              <w:pStyle w:val="null3"/>
            </w:pPr>
            <w:r>
              <w:rPr>
                <w:rFonts w:ascii="仿宋_GB2312" w:hAnsi="仿宋_GB2312" w:cs="仿宋_GB2312" w:eastAsia="仿宋_GB2312"/>
              </w:rPr>
              <w:t>3.运维服务时间</w:t>
            </w:r>
          </w:p>
          <w:p>
            <w:pPr>
              <w:pStyle w:val="null3"/>
            </w:pPr>
            <w:r>
              <w:rPr>
                <w:rFonts w:ascii="仿宋_GB2312" w:hAnsi="仿宋_GB2312" w:cs="仿宋_GB2312" w:eastAsia="仿宋_GB2312"/>
              </w:rPr>
              <w:t>提供</w:t>
            </w:r>
            <w:r>
              <w:rPr>
                <w:rFonts w:ascii="仿宋_GB2312" w:hAnsi="仿宋_GB2312" w:cs="仿宋_GB2312" w:eastAsia="仿宋_GB2312"/>
              </w:rPr>
              <w:t>5*8小时工作日驻场运维服务，5*8小时工作日96702热线电话技术支持服务，7*24小时电话及工作群远程技术服务。</w:t>
            </w:r>
          </w:p>
          <w:p>
            <w:pPr>
              <w:pStyle w:val="null3"/>
            </w:pPr>
            <w:r>
              <w:rPr>
                <w:rFonts w:ascii="仿宋_GB2312" w:hAnsi="仿宋_GB2312" w:cs="仿宋_GB2312" w:eastAsia="仿宋_GB2312"/>
              </w:rPr>
              <w:t>4.运维服务响应时限</w:t>
            </w:r>
          </w:p>
          <w:p>
            <w:pPr>
              <w:pStyle w:val="null3"/>
            </w:pPr>
            <w:r>
              <w:rPr>
                <w:rFonts w:ascii="仿宋_GB2312" w:hAnsi="仿宋_GB2312" w:cs="仿宋_GB2312" w:eastAsia="仿宋_GB2312"/>
              </w:rPr>
              <w:t>（</w:t>
            </w:r>
            <w:r>
              <w:rPr>
                <w:rFonts w:ascii="仿宋_GB2312" w:hAnsi="仿宋_GB2312" w:cs="仿宋_GB2312" w:eastAsia="仿宋_GB2312"/>
              </w:rPr>
              <w:t>1）运维服务人员接到96702热线服务用户服务请求后，工作日30分钟内做出实质性响应，非工作日2小时内做出实质性响应。</w:t>
            </w:r>
          </w:p>
          <w:p>
            <w:pPr>
              <w:pStyle w:val="null3"/>
            </w:pPr>
            <w:r>
              <w:rPr>
                <w:rFonts w:ascii="仿宋_GB2312" w:hAnsi="仿宋_GB2312" w:cs="仿宋_GB2312" w:eastAsia="仿宋_GB2312"/>
              </w:rPr>
              <w:t>（</w:t>
            </w:r>
            <w:r>
              <w:rPr>
                <w:rFonts w:ascii="仿宋_GB2312" w:hAnsi="仿宋_GB2312" w:cs="仿宋_GB2312" w:eastAsia="仿宋_GB2312"/>
              </w:rPr>
              <w:t>2）运维服务人员接到采购人运维工单服务，12小时之内做出实质性响应，原则上按照派发工单顺序1至5个工作日完成任务。</w:t>
            </w:r>
          </w:p>
          <w:p>
            <w:pPr>
              <w:pStyle w:val="null3"/>
            </w:pPr>
            <w:r>
              <w:rPr>
                <w:rFonts w:ascii="仿宋_GB2312" w:hAnsi="仿宋_GB2312" w:cs="仿宋_GB2312" w:eastAsia="仿宋_GB2312"/>
              </w:rPr>
              <w:t>5.故障响应时限</w:t>
            </w:r>
          </w:p>
          <w:p>
            <w:pPr>
              <w:pStyle w:val="null3"/>
            </w:pPr>
            <w:r>
              <w:rPr>
                <w:rFonts w:ascii="仿宋_GB2312" w:hAnsi="仿宋_GB2312" w:cs="仿宋_GB2312" w:eastAsia="仿宋_GB2312"/>
              </w:rPr>
              <w:t>出现影响系统正常运行的故障时，运维服务人员</w:t>
            </w:r>
            <w:r>
              <w:rPr>
                <w:rFonts w:ascii="仿宋_GB2312" w:hAnsi="仿宋_GB2312" w:cs="仿宋_GB2312" w:eastAsia="仿宋_GB2312"/>
              </w:rPr>
              <w:t>60分钟内做出电话响应，如电话或远程技术服务无法解决时，应委派具有故障解决能力的技术人员24小时内到达现场处理，原则上8小时内解决问题。</w:t>
            </w:r>
          </w:p>
          <w:p>
            <w:pPr>
              <w:pStyle w:val="null3"/>
            </w:pPr>
            <w:r>
              <w:rPr>
                <w:rFonts w:ascii="仿宋_GB2312" w:hAnsi="仿宋_GB2312" w:cs="仿宋_GB2312" w:eastAsia="仿宋_GB2312"/>
              </w:rPr>
              <w:t>6.运维服务人员要求</w:t>
            </w:r>
          </w:p>
          <w:p>
            <w:pPr>
              <w:pStyle w:val="null3"/>
            </w:pPr>
            <w:r>
              <w:rPr>
                <w:rFonts w:ascii="仿宋_GB2312" w:hAnsi="仿宋_GB2312" w:cs="仿宋_GB2312" w:eastAsia="仿宋_GB2312"/>
              </w:rPr>
              <w:t>★人员数量：驻场运维工程师5名。</w:t>
            </w:r>
          </w:p>
          <w:p>
            <w:pPr>
              <w:pStyle w:val="null3"/>
            </w:pPr>
            <w:r>
              <w:rPr>
                <w:rFonts w:ascii="仿宋_GB2312" w:hAnsi="仿宋_GB2312" w:cs="仿宋_GB2312" w:eastAsia="仿宋_GB2312"/>
              </w:rPr>
              <w:t>人员要求：选派具有同类运维项目经验的驻场运维工程师，保障运维工作安全、稳定进行。同时需相关开发人员提供技术支持，满足项目优化、升级等业务需求。运维服务商应确保运维服务团队人员稳定，不得随意变更运维服务人员。</w:t>
            </w:r>
          </w:p>
          <w:p>
            <w:pPr>
              <w:pStyle w:val="null3"/>
            </w:pPr>
            <w:r>
              <w:rPr>
                <w:rFonts w:ascii="仿宋_GB2312" w:hAnsi="仿宋_GB2312" w:cs="仿宋_GB2312" w:eastAsia="仿宋_GB2312"/>
              </w:rPr>
              <w:t>运维服务商应组织新进人员开展岗前培训，使其具备采购人所要求的运维技术能力，培训内容包括但不限于安全、保密相关制度，业务及技术技能，运维相关制度等。</w:t>
            </w:r>
          </w:p>
          <w:p>
            <w:pPr>
              <w:pStyle w:val="null3"/>
            </w:pPr>
            <w:r>
              <w:rPr>
                <w:rFonts w:ascii="仿宋_GB2312" w:hAnsi="仿宋_GB2312" w:cs="仿宋_GB2312" w:eastAsia="仿宋_GB2312"/>
              </w:rPr>
              <w:t>运维服务商应强化安全及保密管理，每个季度组织运维团队所有人员开展安全保密教育及业务技能培训。</w:t>
            </w:r>
          </w:p>
          <w:p>
            <w:pPr>
              <w:pStyle w:val="null3"/>
            </w:pPr>
            <w:r>
              <w:rPr>
                <w:rFonts w:ascii="仿宋_GB2312" w:hAnsi="仿宋_GB2312" w:cs="仿宋_GB2312" w:eastAsia="仿宋_GB2312"/>
              </w:rPr>
              <w:t>7.网络安全及人员保密要求</w:t>
            </w:r>
          </w:p>
          <w:p>
            <w:pPr>
              <w:pStyle w:val="null3"/>
            </w:pPr>
            <w:r>
              <w:rPr>
                <w:rFonts w:ascii="仿宋_GB2312" w:hAnsi="仿宋_GB2312" w:cs="仿宋_GB2312" w:eastAsia="仿宋_GB2312"/>
              </w:rPr>
              <w:t>运维服务人员应保障该系统稳定安全运行，确保该系统数据的安全性和可靠性，杜绝系统的数据泄露、篡改或丢失，数据不得用于运维工作之外的其他用途，并作好网络安全防范工作。运维期间，运维服务人员应对系统相关信息及数据进行保密，不得公开，或向第三方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本项目运维服务六个月后，甲方对项目进行阶段评价，乙方书面提出支付申请函及与拟支付金额等额的符合甲方财务管理要求的相应发票，甲方确认后启动支付流程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日常技术支持服务方案</w:t>
            </w:r>
          </w:p>
        </w:tc>
        <w:tc>
          <w:tcPr>
            <w:tcW w:type="dxa" w:w="2492"/>
          </w:tcPr>
          <w:p>
            <w:pPr>
              <w:pStyle w:val="null3"/>
            </w:pPr>
            <w:r>
              <w:rPr>
                <w:rFonts w:ascii="仿宋_GB2312" w:hAnsi="仿宋_GB2312" w:cs="仿宋_GB2312" w:eastAsia="仿宋_GB2312"/>
              </w:rPr>
              <w:t>供应商针对本项目服务内容提供日常技术支持服务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软件系统运行维护服务方案</w:t>
            </w:r>
          </w:p>
        </w:tc>
        <w:tc>
          <w:tcPr>
            <w:tcW w:type="dxa" w:w="2492"/>
          </w:tcPr>
          <w:p>
            <w:pPr>
              <w:pStyle w:val="null3"/>
            </w:pPr>
            <w:r>
              <w:rPr>
                <w:rFonts w:ascii="仿宋_GB2312" w:hAnsi="仿宋_GB2312" w:cs="仿宋_GB2312" w:eastAsia="仿宋_GB2312"/>
              </w:rPr>
              <w:t>供应商针对本项目服务内容提供软件系统运行维护服务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业务数据统计及数据维护运维服务方案</w:t>
            </w:r>
          </w:p>
        </w:tc>
        <w:tc>
          <w:tcPr>
            <w:tcW w:type="dxa" w:w="2492"/>
          </w:tcPr>
          <w:p>
            <w:pPr>
              <w:pStyle w:val="null3"/>
            </w:pPr>
            <w:r>
              <w:rPr>
                <w:rFonts w:ascii="仿宋_GB2312" w:hAnsi="仿宋_GB2312" w:cs="仿宋_GB2312" w:eastAsia="仿宋_GB2312"/>
              </w:rPr>
              <w:t>供应商针对本项目服务内容提供业务数据统计及数据维护运维服务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接口单位对接方案</w:t>
            </w:r>
          </w:p>
        </w:tc>
        <w:tc>
          <w:tcPr>
            <w:tcW w:type="dxa" w:w="2492"/>
          </w:tcPr>
          <w:p>
            <w:pPr>
              <w:pStyle w:val="null3"/>
            </w:pPr>
            <w:r>
              <w:rPr>
                <w:rFonts w:ascii="仿宋_GB2312" w:hAnsi="仿宋_GB2312" w:cs="仿宋_GB2312" w:eastAsia="仿宋_GB2312"/>
              </w:rPr>
              <w:t>供应商针对本项目服务内容提供接口单位对接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定期巡检服务方案</w:t>
            </w:r>
          </w:p>
        </w:tc>
        <w:tc>
          <w:tcPr>
            <w:tcW w:type="dxa" w:w="2492"/>
          </w:tcPr>
          <w:p>
            <w:pPr>
              <w:pStyle w:val="null3"/>
            </w:pPr>
            <w:r>
              <w:rPr>
                <w:rFonts w:ascii="仿宋_GB2312" w:hAnsi="仿宋_GB2312" w:cs="仿宋_GB2312" w:eastAsia="仿宋_GB2312"/>
              </w:rPr>
              <w:t>针对本项目定期巡检服务有具体方案：包括定期检查系统所有服务器及软件的运行情况等；（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故障处理服务方案</w:t>
            </w:r>
          </w:p>
        </w:tc>
        <w:tc>
          <w:tcPr>
            <w:tcW w:type="dxa" w:w="2492"/>
          </w:tcPr>
          <w:p>
            <w:pPr>
              <w:pStyle w:val="null3"/>
            </w:pPr>
            <w:r>
              <w:rPr>
                <w:rFonts w:ascii="仿宋_GB2312" w:hAnsi="仿宋_GB2312" w:cs="仿宋_GB2312" w:eastAsia="仿宋_GB2312"/>
              </w:rPr>
              <w:t>供应商针对本项目提供合理的故障处理服务方案：（1）方案完整详细、描述清晰、内容科学合理、可实施性强的得7分；（2）方案较完整但简单、内容合理性及可实施性一般的得5分；（3）方案内容有缺失，影响到项目实施的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安全保障服务方案</w:t>
            </w:r>
          </w:p>
        </w:tc>
        <w:tc>
          <w:tcPr>
            <w:tcW w:type="dxa" w:w="2492"/>
          </w:tcPr>
          <w:p>
            <w:pPr>
              <w:pStyle w:val="null3"/>
            </w:pPr>
            <w:r>
              <w:rPr>
                <w:rFonts w:ascii="仿宋_GB2312" w:hAnsi="仿宋_GB2312" w:cs="仿宋_GB2312" w:eastAsia="仿宋_GB2312"/>
              </w:rPr>
              <w:t>供应商针对本项目提供详细具体可行的安全保障服务方案：（1）方案逻辑层次清晰、针对性强、与采购内容的吻合程度高的得5分；（2）方案逻辑层次较清晰、针对性较强、与采购内容的吻合程度一般，内容较简单的得3分；（3）方案逻辑层次不清晰、不全面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系统更新服务方案</w:t>
            </w:r>
          </w:p>
        </w:tc>
        <w:tc>
          <w:tcPr>
            <w:tcW w:type="dxa" w:w="2492"/>
          </w:tcPr>
          <w:p>
            <w:pPr>
              <w:pStyle w:val="null3"/>
            </w:pPr>
            <w:r>
              <w:rPr>
                <w:rFonts w:ascii="仿宋_GB2312" w:hAnsi="仿宋_GB2312" w:cs="仿宋_GB2312" w:eastAsia="仿宋_GB2312"/>
              </w:rPr>
              <w:t>供应商根据采购要求，提供完善的系统更新服务方案：（1）方案完整详细、描述清晰、内容科学合理、可实施性强的得5分；（2）方案较完整但简单、内容合理性及可实施性一般的得3分；（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系统培训服务方案</w:t>
            </w:r>
          </w:p>
        </w:tc>
        <w:tc>
          <w:tcPr>
            <w:tcW w:type="dxa" w:w="2492"/>
          </w:tcPr>
          <w:p>
            <w:pPr>
              <w:pStyle w:val="null3"/>
            </w:pPr>
            <w:r>
              <w:rPr>
                <w:rFonts w:ascii="仿宋_GB2312" w:hAnsi="仿宋_GB2312" w:cs="仿宋_GB2312" w:eastAsia="仿宋_GB2312"/>
              </w:rPr>
              <w:t>供应商针对本项目提供详细系统培训服务方案：（1）培训方案完整详细、描述清晰、内容科学合理、可实施性强的得5分；（2）培训方案较完整但简单、内容合理性及可实施性一般的得3分；（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供应商针对本项目提供详细具体可行的保密保障方案：（1）方案逻辑层次清晰、针对性强、与采购内容的吻合程度高的得5分；（2）方案逻辑层次较清晰、针对性较强、与采购内容的吻合程度一般，内容较简单的得3分；（3）方案逻辑层次不清晰、不全面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对本项目需求进行整体分析，提供对本项目合理化建议方案：（1）建议方案逻辑层次清晰、针对性强、与采购内容的吻合程度高的得3分；（2）建议方案逻辑层次较清晰、针对性较强、与采购内容的吻合程度一般，内容较简单的得2分；（3）建议方案逻辑层次不清晰、不全面得1分；（4）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明确的项目服务团队能力介绍：（1）服务团队成员满足采购需求的基础要求（5名驻场运维工程师）且需相关开发人员提供技术支持，满足项目优化、升级的需求，根据服务团队的的专业技术能力评审；项目服务团队人员均具备相应的专业技术能力，能够完全保障运维服务得5分；项目服务团队部分人员具备一定的专业技术能力，能够保障运维服务得3分；项目服务团队人员具备基本的专业技术能力，能够基本保障运维服务得1分；未提供的不得分。（2）项目服务团队人员具有类似项目经验，每有一个人员具有类似项目经验得1分，最高得5分（需提供合同或项目验收单或业主证明资料等，否则不得分）。提供相关证明材料，注：以上人员需提供投标截止日前近3个月内任意一个月在本单位社保缴纳凭证（须加盖单位公章），未提供社保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满足竞争性磋商文件要求且最终报价最低的供应商的价格为评审基准价，其价格分为满分。其他供应商的价格分统一按照下列公式计算：投标报价得分=（评审基准价/最终报价）×价格权值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详见附件：陕西省财政厅运维服务类项目合同书（范本）.docx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