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版本号：SCZA2025-CS-3095-00120251205001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2026年厅数据库及中间件维保服务项目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SCZA2025-CS-3095-001</w:t>
      </w:r>
      <w:r>
        <w:br/>
      </w:r>
      <w:r>
        <w:br/>
      </w:r>
      <w:r>
        <w:br/>
      </w:r>
    </w:p>
    <w:p>
      <w:pPr>
        <w:pStyle w:val="null3"/>
        <w:jc w:val="center"/>
        <w:outlineLvl w:val="2"/>
      </w:pPr>
      <w:r>
        <w:rPr>
          <w:rFonts w:ascii="仿宋_GB2312" w:hAnsi="仿宋_GB2312" w:cs="仿宋_GB2312" w:eastAsia="仿宋_GB2312"/>
          <w:sz w:val="28"/>
          <w:b/>
        </w:rPr>
        <w:t>陕西省财政厅机关</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陕西省财政厅机关</w:t>
      </w:r>
      <w:r>
        <w:rPr>
          <w:rFonts w:ascii="仿宋_GB2312" w:hAnsi="仿宋_GB2312" w:cs="仿宋_GB2312" w:eastAsia="仿宋_GB2312"/>
        </w:rPr>
        <w:t>委托，拟对</w:t>
      </w:r>
      <w:r>
        <w:rPr>
          <w:rFonts w:ascii="仿宋_GB2312" w:hAnsi="仿宋_GB2312" w:cs="仿宋_GB2312" w:eastAsia="仿宋_GB2312"/>
        </w:rPr>
        <w:t>2026年厅数据库及中间件维保服务项目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SCZA2025-CS-3095-001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2026年厅数据库及中间件维保服务项目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2026年厅数据库及中间件维保服务项目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1、信用信息：供应商在递交响应文件截止时间前被“信用中国 ”网站（www.creditchina.gov.cn）和中国政府采购网（www.ccgp.gov.cn）上被列入失信被执行人、重大税收违法失信主体、政府采购严重违法失信行为记录名单的，不得参加磋商。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陕西省财政厅机关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冰窖巷13号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029-68936180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陕西省西安市高新区锦业路1号绿地都市之门C座9层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马亚敏、白国锋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陕西省财政厅政府采购管理处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代理服务费收费标准：代理服务费参照《国家计委关于印发&lt;招标代理服务收费管理暂行办法&gt;的通知》（计价格〔2002〕1980号）规定标准（按标段）下浮30%收取。中标单位的招标代理服务费交纳信息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陕西省财政厅机关</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陕西省财政厅机关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陕西省财政厅机关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地址：陕西省西安市高新区锦业路1号绿地都市之门C座9层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2026年厅数据库及中间件维保服务项目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580,000.00</w:t>
      </w:r>
    </w:p>
    <w:p>
      <w:pPr>
        <w:pStyle w:val="null3"/>
      </w:pPr>
      <w:r>
        <w:rPr>
          <w:rFonts w:ascii="仿宋_GB2312" w:hAnsi="仿宋_GB2312" w:cs="仿宋_GB2312" w:eastAsia="仿宋_GB2312"/>
        </w:rPr>
        <w:t>采购包最高限价（元）: 580,000.00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购买陕西财政非云数据库及中间件维保维护服务。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标的名称：购买陕西财政非云数据库及中间件维保维护服务。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rPr>
              <w:t>一、采购项目实现的目标、资金来源及预算金额</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目标：保障实现我省财政系统的数据库及中间件软件稳定高效运行，按照《陕西省财政厅运维服务管理办法》的要求完成下列各项工作：协助完善陕西财政数据库及中间件管理方案制定；每日例行巡检；数据库及中间件系统性能监控；数据库及中间件故障处理；数据库及中间件安装、配置；数据库及中间件性能优化补丁升级；专家团队远程服务（全年</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24</w:t>
            </w:r>
            <w:r>
              <w:rPr>
                <w:rFonts w:ascii="仿宋_GB2312" w:hAnsi="仿宋_GB2312" w:cs="仿宋_GB2312" w:eastAsia="仿宋_GB2312"/>
                <w:sz w:val="20"/>
              </w:rPr>
              <w:t>小时）；应急现场支持和灾难恢复。</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资金来源：部门预算</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预算金额：</w:t>
            </w:r>
            <w:r>
              <w:rPr>
                <w:rFonts w:ascii="仿宋_GB2312" w:hAnsi="仿宋_GB2312" w:cs="仿宋_GB2312" w:eastAsia="仿宋_GB2312"/>
                <w:sz w:val="20"/>
              </w:rPr>
              <w:t>5</w:t>
            </w:r>
            <w:r>
              <w:rPr>
                <w:rFonts w:ascii="仿宋_GB2312" w:hAnsi="仿宋_GB2312" w:cs="仿宋_GB2312" w:eastAsia="仿宋_GB2312"/>
                <w:sz w:val="20"/>
              </w:rPr>
              <w:t>8</w:t>
            </w:r>
            <w:r>
              <w:rPr>
                <w:rFonts w:ascii="仿宋_GB2312" w:hAnsi="仿宋_GB2312" w:cs="仿宋_GB2312" w:eastAsia="仿宋_GB2312"/>
                <w:sz w:val="20"/>
              </w:rPr>
              <w:t>万元。</w:t>
            </w:r>
          </w:p>
          <w:p>
            <w:pPr>
              <w:pStyle w:val="null3"/>
              <w:jc w:val="left"/>
            </w:pPr>
            <w:r>
              <w:rPr>
                <w:rFonts w:ascii="仿宋_GB2312" w:hAnsi="仿宋_GB2312" w:cs="仿宋_GB2312" w:eastAsia="仿宋_GB2312"/>
                <w:sz w:val="20"/>
              </w:rPr>
              <w:t>二、采购项目执行的标准</w:t>
            </w:r>
          </w:p>
          <w:p>
            <w:pPr>
              <w:pStyle w:val="null3"/>
              <w:jc w:val="left"/>
            </w:pPr>
            <w:r>
              <w:rPr>
                <w:rFonts w:ascii="仿宋_GB2312" w:hAnsi="仿宋_GB2312" w:cs="仿宋_GB2312" w:eastAsia="仿宋_GB2312"/>
                <w:sz w:val="20"/>
              </w:rPr>
              <w:t>项目实现标准：项目需依据行业标准和软件产品手册与最佳实践，并充分考虑系统性能、可维护性、扩展性等因素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三、采购项目满足的质量、安全</w:t>
            </w:r>
          </w:p>
          <w:p>
            <w:pPr>
              <w:pStyle w:val="null3"/>
              <w:jc w:val="left"/>
            </w:pPr>
            <w:r>
              <w:rPr>
                <w:rFonts w:ascii="仿宋_GB2312" w:hAnsi="仿宋_GB2312" w:cs="仿宋_GB2312" w:eastAsia="仿宋_GB2312"/>
                <w:sz w:val="20"/>
              </w:rPr>
              <w:t>供应商需有专门人员对财政非云数据库及中间件运行状态，运行风险进行检查，并持续进行运维服务改进。通过对服务质量进行监督和检查，确保服务符合采购方要求。同时供应商应遵守采购方的各项规章制度，签署相应的安全保密协议。</w:t>
            </w:r>
          </w:p>
          <w:p>
            <w:pPr>
              <w:pStyle w:val="null3"/>
              <w:jc w:val="left"/>
            </w:pPr>
            <w:r>
              <w:rPr>
                <w:rFonts w:ascii="仿宋_GB2312" w:hAnsi="仿宋_GB2312" w:cs="仿宋_GB2312" w:eastAsia="仿宋_GB2312"/>
                <w:sz w:val="20"/>
              </w:rPr>
              <w:t>四、采购项目数量，实施时间及地点</w:t>
            </w:r>
          </w:p>
          <w:p>
            <w:pPr>
              <w:pStyle w:val="null3"/>
              <w:jc w:val="left"/>
            </w:pPr>
            <w:r>
              <w:rPr>
                <w:rFonts w:ascii="仿宋_GB2312" w:hAnsi="仿宋_GB2312" w:cs="仿宋_GB2312" w:eastAsia="仿宋_GB2312"/>
                <w:sz w:val="20"/>
              </w:rPr>
              <w:t>采购项目详见下表，</w:t>
            </w:r>
            <w:r>
              <w:rPr>
                <w:rFonts w:ascii="仿宋_GB2312" w:hAnsi="仿宋_GB2312" w:cs="仿宋_GB2312" w:eastAsia="仿宋_GB2312"/>
                <w:sz w:val="20"/>
              </w:rPr>
              <w:t>项目实施期限为</w:t>
            </w:r>
            <w:r>
              <w:rPr>
                <w:rFonts w:ascii="仿宋_GB2312" w:hAnsi="仿宋_GB2312" w:cs="仿宋_GB2312" w:eastAsia="仿宋_GB2312"/>
                <w:sz w:val="20"/>
              </w:rPr>
              <w:t>2026</w:t>
            </w:r>
            <w:r>
              <w:rPr>
                <w:rFonts w:ascii="仿宋_GB2312" w:hAnsi="仿宋_GB2312" w:cs="仿宋_GB2312" w:eastAsia="仿宋_GB2312"/>
                <w:sz w:val="20"/>
              </w:rPr>
              <w:t>年</w:t>
            </w:r>
            <w:r>
              <w:rPr>
                <w:rFonts w:ascii="仿宋_GB2312" w:hAnsi="仿宋_GB2312" w:cs="仿宋_GB2312" w:eastAsia="仿宋_GB2312"/>
                <w:sz w:val="20"/>
              </w:rPr>
              <w:t>5</w:t>
            </w:r>
            <w:r>
              <w:rPr>
                <w:rFonts w:ascii="仿宋_GB2312" w:hAnsi="仿宋_GB2312" w:cs="仿宋_GB2312" w:eastAsia="仿宋_GB2312"/>
                <w:sz w:val="20"/>
              </w:rPr>
              <w:t>月</w:t>
            </w:r>
            <w:r>
              <w:rPr>
                <w:rFonts w:ascii="仿宋_GB2312" w:hAnsi="仿宋_GB2312" w:cs="仿宋_GB2312" w:eastAsia="仿宋_GB2312"/>
                <w:sz w:val="20"/>
              </w:rPr>
              <w:t>2</w:t>
            </w:r>
            <w:r>
              <w:rPr>
                <w:rFonts w:ascii="仿宋_GB2312" w:hAnsi="仿宋_GB2312" w:cs="仿宋_GB2312" w:eastAsia="仿宋_GB2312"/>
                <w:sz w:val="20"/>
              </w:rPr>
              <w:t>6</w:t>
            </w:r>
            <w:r>
              <w:rPr>
                <w:rFonts w:ascii="仿宋_GB2312" w:hAnsi="仿宋_GB2312" w:cs="仿宋_GB2312" w:eastAsia="仿宋_GB2312"/>
                <w:sz w:val="20"/>
              </w:rPr>
              <w:t>日至</w:t>
            </w:r>
            <w:r>
              <w:rPr>
                <w:rFonts w:ascii="仿宋_GB2312" w:hAnsi="仿宋_GB2312" w:cs="仿宋_GB2312" w:eastAsia="仿宋_GB2312"/>
                <w:sz w:val="20"/>
              </w:rPr>
              <w:t>2027</w:t>
            </w:r>
            <w:r>
              <w:rPr>
                <w:rFonts w:ascii="仿宋_GB2312" w:hAnsi="仿宋_GB2312" w:cs="仿宋_GB2312" w:eastAsia="仿宋_GB2312"/>
                <w:sz w:val="20"/>
              </w:rPr>
              <w:t>年</w:t>
            </w:r>
            <w:r>
              <w:rPr>
                <w:rFonts w:ascii="仿宋_GB2312" w:hAnsi="仿宋_GB2312" w:cs="仿宋_GB2312" w:eastAsia="仿宋_GB2312"/>
                <w:sz w:val="20"/>
              </w:rPr>
              <w:t>5</w:t>
            </w:r>
            <w:r>
              <w:rPr>
                <w:rFonts w:ascii="仿宋_GB2312" w:hAnsi="仿宋_GB2312" w:cs="仿宋_GB2312" w:eastAsia="仿宋_GB2312"/>
                <w:sz w:val="20"/>
              </w:rPr>
              <w:t>月</w:t>
            </w:r>
            <w:r>
              <w:rPr>
                <w:rFonts w:ascii="仿宋_GB2312" w:hAnsi="仿宋_GB2312" w:cs="仿宋_GB2312" w:eastAsia="仿宋_GB2312"/>
                <w:sz w:val="20"/>
              </w:rPr>
              <w:t>2</w:t>
            </w:r>
            <w:r>
              <w:rPr>
                <w:rFonts w:ascii="仿宋_GB2312" w:hAnsi="仿宋_GB2312" w:cs="仿宋_GB2312" w:eastAsia="仿宋_GB2312"/>
                <w:sz w:val="20"/>
              </w:rPr>
              <w:t>5</w:t>
            </w:r>
            <w:r>
              <w:rPr>
                <w:rFonts w:ascii="仿宋_GB2312" w:hAnsi="仿宋_GB2312" w:cs="仿宋_GB2312" w:eastAsia="仿宋_GB2312"/>
                <w:sz w:val="20"/>
              </w:rPr>
              <w:t>日</w:t>
            </w:r>
            <w:r>
              <w:rPr>
                <w:rFonts w:ascii="仿宋_GB2312" w:hAnsi="仿宋_GB2312" w:cs="仿宋_GB2312" w:eastAsia="仿宋_GB2312"/>
                <w:sz w:val="20"/>
              </w:rPr>
              <w:t>，项目实施地点为陕西省财政厅。</w:t>
            </w:r>
          </w:p>
          <w:p>
            <w:pPr>
              <w:pStyle w:val="null3"/>
              <w:jc w:val="left"/>
            </w:pPr>
            <w:r>
              <w:rPr>
                <w:rFonts w:ascii="仿宋_GB2312" w:hAnsi="仿宋_GB2312" w:cs="仿宋_GB2312" w:eastAsia="仿宋_GB2312"/>
                <w:sz w:val="20"/>
              </w:rPr>
              <w:t>1.2026</w:t>
            </w:r>
            <w:r>
              <w:rPr>
                <w:rFonts w:ascii="仿宋_GB2312" w:hAnsi="仿宋_GB2312" w:cs="仿宋_GB2312" w:eastAsia="仿宋_GB2312"/>
                <w:sz w:val="20"/>
              </w:rPr>
              <w:t>年厅数据库维保服务项目</w:t>
            </w:r>
          </w:p>
          <w:p>
            <w:pPr>
              <w:pStyle w:val="null3"/>
              <w:jc w:val="center"/>
            </w:pPr>
            <w:r>
              <w:rPr>
                <w:rFonts w:ascii="仿宋_GB2312" w:hAnsi="仿宋_GB2312" w:cs="仿宋_GB2312" w:eastAsia="仿宋_GB2312"/>
                <w:sz w:val="20"/>
                <w:b/>
              </w:rPr>
              <w:t>2026</w:t>
            </w:r>
            <w:r>
              <w:rPr>
                <w:rFonts w:ascii="仿宋_GB2312" w:hAnsi="仿宋_GB2312" w:cs="仿宋_GB2312" w:eastAsia="仿宋_GB2312"/>
                <w:sz w:val="20"/>
                <w:b/>
              </w:rPr>
              <w:t>年</w:t>
            </w:r>
            <w:r>
              <w:rPr>
                <w:rFonts w:ascii="仿宋_GB2312" w:hAnsi="仿宋_GB2312" w:cs="仿宋_GB2312" w:eastAsia="仿宋_GB2312"/>
                <w:sz w:val="20"/>
                <w:b/>
              </w:rPr>
              <w:t>厅</w:t>
            </w:r>
            <w:r>
              <w:rPr>
                <w:rFonts w:ascii="仿宋_GB2312" w:hAnsi="仿宋_GB2312" w:cs="仿宋_GB2312" w:eastAsia="仿宋_GB2312"/>
                <w:sz w:val="20"/>
                <w:b/>
              </w:rPr>
              <w:t>数据库</w:t>
            </w:r>
            <w:r>
              <w:rPr>
                <w:rFonts w:ascii="仿宋_GB2312" w:hAnsi="仿宋_GB2312" w:cs="仿宋_GB2312" w:eastAsia="仿宋_GB2312"/>
                <w:sz w:val="20"/>
                <w:b/>
              </w:rPr>
              <w:t>维保</w:t>
            </w:r>
            <w:r>
              <w:rPr>
                <w:rFonts w:ascii="仿宋_GB2312" w:hAnsi="仿宋_GB2312" w:cs="仿宋_GB2312" w:eastAsia="仿宋_GB2312"/>
                <w:sz w:val="20"/>
                <w:b/>
              </w:rPr>
              <w:t>服务项目内容明细表</w:t>
            </w:r>
          </w:p>
          <w:tbl>
            <w:tblPr>
              <w:tblBorders>
                <w:top w:val="none" w:color="000000" w:sz="4"/>
                <w:left w:val="none" w:color="000000" w:sz="4"/>
                <w:bottom w:val="none" w:color="000000" w:sz="4"/>
                <w:right w:val="none" w:color="000000" w:sz="4"/>
                <w:insideH w:val="none"/>
                <w:insideV w:val="none"/>
              </w:tblBorders>
            </w:tblPr>
            <w:tblGrid>
              <w:gridCol w:w="348"/>
              <w:gridCol w:w="362"/>
              <w:gridCol w:w="328"/>
              <w:gridCol w:w="464"/>
              <w:gridCol w:w="1039"/>
            </w:tblGrid>
            <w:tr>
              <w:tc>
                <w:tcPr>
                  <w:tcW w:type="dxa" w:w="34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right="-15"/>
                    <w:jc w:val="center"/>
                  </w:pPr>
                  <w:r>
                    <w:rPr>
                      <w:rFonts w:ascii="仿宋_GB2312" w:hAnsi="仿宋_GB2312" w:cs="仿宋_GB2312" w:eastAsia="仿宋_GB2312"/>
                      <w:sz w:val="20"/>
                      <w:b/>
                    </w:rPr>
                    <w:t>序号</w:t>
                  </w:r>
                </w:p>
              </w:tc>
              <w:tc>
                <w:tcPr>
                  <w:tcW w:type="dxa" w:w="36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right="-15"/>
                    <w:jc w:val="center"/>
                  </w:pPr>
                  <w:r>
                    <w:rPr>
                      <w:rFonts w:ascii="仿宋_GB2312" w:hAnsi="仿宋_GB2312" w:cs="仿宋_GB2312" w:eastAsia="仿宋_GB2312"/>
                      <w:sz w:val="20"/>
                      <w:b/>
                    </w:rPr>
                    <w:t>数据库</w:t>
                  </w:r>
                  <w:r>
                    <w:rPr>
                      <w:rFonts w:ascii="仿宋_GB2312" w:hAnsi="仿宋_GB2312" w:cs="仿宋_GB2312" w:eastAsia="仿宋_GB2312"/>
                      <w:sz w:val="20"/>
                      <w:b/>
                    </w:rPr>
                    <w:t xml:space="preserve">  </w:t>
                  </w:r>
                </w:p>
              </w:tc>
              <w:tc>
                <w:tcPr>
                  <w:tcW w:type="dxa" w:w="32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right="-15"/>
                    <w:jc w:val="center"/>
                  </w:pPr>
                  <w:r>
                    <w:rPr>
                      <w:rFonts w:ascii="仿宋_GB2312" w:hAnsi="仿宋_GB2312" w:cs="仿宋_GB2312" w:eastAsia="仿宋_GB2312"/>
                      <w:sz w:val="20"/>
                      <w:b/>
                    </w:rPr>
                    <w:t>集群</w:t>
                  </w:r>
                </w:p>
              </w:tc>
              <w:tc>
                <w:tcPr>
                  <w:tcW w:type="dxa" w:w="46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right="-15"/>
                    <w:jc w:val="center"/>
                  </w:pPr>
                  <w:r>
                    <w:rPr>
                      <w:rFonts w:ascii="仿宋_GB2312" w:hAnsi="仿宋_GB2312" w:cs="仿宋_GB2312" w:eastAsia="仿宋_GB2312"/>
                      <w:sz w:val="20"/>
                      <w:b/>
                    </w:rPr>
                    <w:t>数据库版本</w:t>
                  </w:r>
                </w:p>
              </w:tc>
              <w:tc>
                <w:tcPr>
                  <w:tcW w:type="dxa" w:w="103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right="-15"/>
                    <w:jc w:val="center"/>
                  </w:pPr>
                  <w:r>
                    <w:rPr>
                      <w:rFonts w:ascii="仿宋_GB2312" w:hAnsi="仿宋_GB2312" w:cs="仿宋_GB2312" w:eastAsia="仿宋_GB2312"/>
                      <w:sz w:val="20"/>
                      <w:b/>
                    </w:rPr>
                    <w:t>主要业务库</w:t>
                  </w:r>
                </w:p>
              </w:tc>
            </w:tr>
            <w:tr>
              <w:tc>
                <w:tcPr>
                  <w:tcW w:type="dxa" w:w="3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1</w:t>
                  </w:r>
                </w:p>
              </w:tc>
              <w:tc>
                <w:tcPr>
                  <w:tcW w:type="dxa" w:w="3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gkpz</w:t>
                  </w:r>
                  <w:r>
                    <w:rPr>
                      <w:rFonts w:ascii="仿宋_GB2312" w:hAnsi="仿宋_GB2312" w:cs="仿宋_GB2312" w:eastAsia="仿宋_GB2312"/>
                      <w:sz w:val="20"/>
                    </w:rPr>
                    <w:t>1</w:t>
                  </w:r>
                </w:p>
              </w:tc>
              <w:tc>
                <w:tcPr>
                  <w:tcW w:type="dxa" w:w="328"/>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RAC</w:t>
                  </w:r>
                </w:p>
              </w:tc>
              <w:tc>
                <w:tcPr>
                  <w:tcW w:type="dxa" w:w="464"/>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ORACLE</w:t>
                  </w:r>
                  <w:r>
                    <w:rPr>
                      <w:rFonts w:ascii="仿宋_GB2312" w:hAnsi="仿宋_GB2312" w:cs="仿宋_GB2312" w:eastAsia="仿宋_GB2312"/>
                      <w:sz w:val="20"/>
                    </w:rPr>
                    <w:t xml:space="preserve"> </w:t>
                  </w:r>
                  <w:r>
                    <w:rPr>
                      <w:rFonts w:ascii="仿宋_GB2312" w:hAnsi="仿宋_GB2312" w:cs="仿宋_GB2312" w:eastAsia="仿宋_GB2312"/>
                      <w:sz w:val="20"/>
                    </w:rPr>
                    <w:t>11g</w:t>
                  </w:r>
                </w:p>
              </w:tc>
              <w:tc>
                <w:tcPr>
                  <w:tcW w:type="dxa" w:w="1039"/>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国库电子凭证库</w:t>
                  </w:r>
                </w:p>
              </w:tc>
            </w:tr>
            <w:tr>
              <w:tc>
                <w:tcPr>
                  <w:tcW w:type="dxa" w:w="3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2</w:t>
                  </w:r>
                </w:p>
              </w:tc>
              <w:tc>
                <w:tcPr>
                  <w:tcW w:type="dxa" w:w="3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gkpz</w:t>
                  </w:r>
                  <w:r>
                    <w:rPr>
                      <w:rFonts w:ascii="仿宋_GB2312" w:hAnsi="仿宋_GB2312" w:cs="仿宋_GB2312" w:eastAsia="仿宋_GB2312"/>
                      <w:sz w:val="20"/>
                    </w:rPr>
                    <w:t>2</w:t>
                  </w:r>
                </w:p>
              </w:tc>
              <w:tc>
                <w:tcPr>
                  <w:tcW w:type="dxa" w:w="328"/>
                  <w:vMerge/>
                  <w:tcBorders>
                    <w:top w:val="none" w:color="000000" w:sz="4"/>
                    <w:left w:val="none" w:color="000000" w:sz="4"/>
                    <w:bottom w:val="none" w:color="000000" w:sz="4"/>
                    <w:right w:val="single" w:color="000000" w:sz="4"/>
                  </w:tcBorders>
                </w:tcPr>
                <w:p/>
              </w:tc>
              <w:tc>
                <w:tcPr>
                  <w:tcW w:type="dxa" w:w="464"/>
                  <w:vMerge/>
                  <w:tcBorders>
                    <w:top w:val="none" w:color="000000" w:sz="4"/>
                    <w:left w:val="none" w:color="000000" w:sz="4"/>
                    <w:bottom w:val="none" w:color="000000" w:sz="4"/>
                    <w:right w:val="single" w:color="000000" w:sz="4"/>
                  </w:tcBorders>
                </w:tcPr>
                <w:p/>
              </w:tc>
              <w:tc>
                <w:tcPr>
                  <w:tcW w:type="dxa" w:w="1039"/>
                  <w:vMerge/>
                  <w:tcBorders>
                    <w:top w:val="none" w:color="000000" w:sz="4"/>
                    <w:left w:val="none" w:color="000000" w:sz="4"/>
                    <w:bottom w:val="none" w:color="000000" w:sz="4"/>
                    <w:right w:val="single" w:color="000000" w:sz="4"/>
                  </w:tcBorders>
                </w:tcPr>
                <w:p/>
              </w:tc>
            </w:tr>
            <w:tr>
              <w:tc>
                <w:tcPr>
                  <w:tcW w:type="dxa" w:w="3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3</w:t>
                  </w:r>
                </w:p>
              </w:tc>
              <w:tc>
                <w:tcPr>
                  <w:tcW w:type="dxa" w:w="3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ZCGL1</w:t>
                  </w:r>
                </w:p>
              </w:tc>
              <w:tc>
                <w:tcPr>
                  <w:tcW w:type="dxa" w:w="328"/>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DMDZC</w:t>
                  </w:r>
                </w:p>
              </w:tc>
              <w:tc>
                <w:tcPr>
                  <w:tcW w:type="dxa" w:w="464"/>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DM8</w:t>
                  </w:r>
                </w:p>
              </w:tc>
              <w:tc>
                <w:tcPr>
                  <w:tcW w:type="dxa" w:w="1039"/>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资产管理生产库集群</w:t>
                  </w:r>
                  <w:r>
                    <w:rPr>
                      <w:rFonts w:ascii="仿宋_GB2312" w:hAnsi="仿宋_GB2312" w:cs="仿宋_GB2312" w:eastAsia="仿宋_GB2312"/>
                      <w:sz w:val="20"/>
                    </w:rPr>
                    <w:t>1</w:t>
                  </w:r>
                </w:p>
              </w:tc>
            </w:tr>
            <w:tr>
              <w:tc>
                <w:tcPr>
                  <w:tcW w:type="dxa" w:w="3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4</w:t>
                  </w:r>
                </w:p>
              </w:tc>
              <w:tc>
                <w:tcPr>
                  <w:tcW w:type="dxa" w:w="3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ZCGL2</w:t>
                  </w:r>
                </w:p>
              </w:tc>
              <w:tc>
                <w:tcPr>
                  <w:tcW w:type="dxa" w:w="328"/>
                  <w:vMerge/>
                  <w:tcBorders>
                    <w:top w:val="none" w:color="000000" w:sz="4"/>
                    <w:left w:val="none" w:color="000000" w:sz="4"/>
                    <w:bottom w:val="none" w:color="000000" w:sz="4"/>
                    <w:right w:val="single" w:color="000000" w:sz="4"/>
                  </w:tcBorders>
                </w:tcPr>
                <w:p/>
              </w:tc>
              <w:tc>
                <w:tcPr>
                  <w:tcW w:type="dxa" w:w="464"/>
                  <w:vMerge/>
                  <w:tcBorders>
                    <w:top w:val="none" w:color="000000" w:sz="4"/>
                    <w:left w:val="none" w:color="000000" w:sz="4"/>
                    <w:bottom w:val="none" w:color="000000" w:sz="4"/>
                    <w:right w:val="single" w:color="000000" w:sz="4"/>
                  </w:tcBorders>
                </w:tcPr>
                <w:p/>
              </w:tc>
              <w:tc>
                <w:tcPr>
                  <w:tcW w:type="dxa" w:w="1039"/>
                  <w:vMerge/>
                  <w:tcBorders>
                    <w:top w:val="none" w:color="000000" w:sz="4"/>
                    <w:left w:val="none" w:color="000000" w:sz="4"/>
                    <w:bottom w:val="none" w:color="000000" w:sz="4"/>
                    <w:right w:val="single" w:color="000000" w:sz="4"/>
                  </w:tcBorders>
                </w:tcPr>
                <w:p/>
              </w:tc>
            </w:tr>
            <w:tr>
              <w:tc>
                <w:tcPr>
                  <w:tcW w:type="dxa" w:w="3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5</w:t>
                  </w:r>
                </w:p>
              </w:tc>
              <w:tc>
                <w:tcPr>
                  <w:tcW w:type="dxa" w:w="3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ZCGL3</w:t>
                  </w:r>
                </w:p>
              </w:tc>
              <w:tc>
                <w:tcPr>
                  <w:tcW w:type="dxa" w:w="328"/>
                  <w:vMerge/>
                  <w:tcBorders>
                    <w:top w:val="none" w:color="000000" w:sz="4"/>
                    <w:left w:val="none" w:color="000000" w:sz="4"/>
                    <w:bottom w:val="none" w:color="000000" w:sz="4"/>
                    <w:right w:val="single" w:color="000000" w:sz="4"/>
                  </w:tcBorders>
                </w:tcPr>
                <w:p/>
              </w:tc>
              <w:tc>
                <w:tcPr>
                  <w:tcW w:type="dxa" w:w="464"/>
                  <w:vMerge/>
                  <w:tcBorders>
                    <w:top w:val="none" w:color="000000" w:sz="4"/>
                    <w:left w:val="none" w:color="000000" w:sz="4"/>
                    <w:bottom w:val="none" w:color="000000" w:sz="4"/>
                    <w:right w:val="single" w:color="000000" w:sz="4"/>
                  </w:tcBorders>
                </w:tcPr>
                <w:p/>
              </w:tc>
              <w:tc>
                <w:tcPr>
                  <w:tcW w:type="dxa" w:w="1039"/>
                  <w:vMerge/>
                  <w:tcBorders>
                    <w:top w:val="none" w:color="000000" w:sz="4"/>
                    <w:left w:val="none" w:color="000000" w:sz="4"/>
                    <w:bottom w:val="none" w:color="000000" w:sz="4"/>
                    <w:right w:val="single" w:color="000000" w:sz="4"/>
                  </w:tcBorders>
                </w:tcPr>
                <w:p/>
              </w:tc>
            </w:tr>
            <w:tr>
              <w:tc>
                <w:tcPr>
                  <w:tcW w:type="dxa" w:w="3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6</w:t>
                  </w:r>
                </w:p>
              </w:tc>
              <w:tc>
                <w:tcPr>
                  <w:tcW w:type="dxa" w:w="3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ZCGL4</w:t>
                  </w:r>
                </w:p>
              </w:tc>
              <w:tc>
                <w:tcPr>
                  <w:tcW w:type="dxa" w:w="328"/>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DMDZC</w:t>
                  </w:r>
                </w:p>
              </w:tc>
              <w:tc>
                <w:tcPr>
                  <w:tcW w:type="dxa" w:w="464"/>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DM8</w:t>
                  </w:r>
                </w:p>
              </w:tc>
              <w:tc>
                <w:tcPr>
                  <w:tcW w:type="dxa" w:w="1039"/>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资产管理生产库集群</w:t>
                  </w:r>
                  <w:r>
                    <w:rPr>
                      <w:rFonts w:ascii="仿宋_GB2312" w:hAnsi="仿宋_GB2312" w:cs="仿宋_GB2312" w:eastAsia="仿宋_GB2312"/>
                      <w:sz w:val="20"/>
                    </w:rPr>
                    <w:t>2</w:t>
                  </w:r>
                </w:p>
              </w:tc>
            </w:tr>
            <w:tr>
              <w:tc>
                <w:tcPr>
                  <w:tcW w:type="dxa" w:w="3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7</w:t>
                  </w:r>
                </w:p>
              </w:tc>
              <w:tc>
                <w:tcPr>
                  <w:tcW w:type="dxa" w:w="3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ZCGL5</w:t>
                  </w:r>
                </w:p>
              </w:tc>
              <w:tc>
                <w:tcPr>
                  <w:tcW w:type="dxa" w:w="328"/>
                  <w:vMerge/>
                  <w:tcBorders>
                    <w:top w:val="none" w:color="000000" w:sz="4"/>
                    <w:left w:val="none" w:color="000000" w:sz="4"/>
                    <w:bottom w:val="none" w:color="000000" w:sz="4"/>
                    <w:right w:val="single" w:color="000000" w:sz="4"/>
                  </w:tcBorders>
                </w:tcPr>
                <w:p/>
              </w:tc>
              <w:tc>
                <w:tcPr>
                  <w:tcW w:type="dxa" w:w="464"/>
                  <w:vMerge/>
                  <w:tcBorders>
                    <w:top w:val="none" w:color="000000" w:sz="4"/>
                    <w:left w:val="none" w:color="000000" w:sz="4"/>
                    <w:bottom w:val="none" w:color="000000" w:sz="4"/>
                    <w:right w:val="single" w:color="000000" w:sz="4"/>
                  </w:tcBorders>
                </w:tcPr>
                <w:p/>
              </w:tc>
              <w:tc>
                <w:tcPr>
                  <w:tcW w:type="dxa" w:w="1039"/>
                  <w:vMerge/>
                  <w:tcBorders>
                    <w:top w:val="none" w:color="000000" w:sz="4"/>
                    <w:left w:val="none" w:color="000000" w:sz="4"/>
                    <w:bottom w:val="none" w:color="000000" w:sz="4"/>
                    <w:right w:val="single" w:color="000000" w:sz="4"/>
                  </w:tcBorders>
                </w:tcPr>
                <w:p/>
              </w:tc>
            </w:tr>
            <w:tr>
              <w:tc>
                <w:tcPr>
                  <w:tcW w:type="dxa" w:w="3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8</w:t>
                  </w:r>
                </w:p>
              </w:tc>
              <w:tc>
                <w:tcPr>
                  <w:tcW w:type="dxa" w:w="3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FPDB1</w:t>
                  </w:r>
                </w:p>
              </w:tc>
              <w:tc>
                <w:tcPr>
                  <w:tcW w:type="dxa" w:w="328"/>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RAC</w:t>
                  </w:r>
                </w:p>
              </w:tc>
              <w:tc>
                <w:tcPr>
                  <w:tcW w:type="dxa" w:w="464"/>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ORACLE</w:t>
                  </w:r>
                  <w:r>
                    <w:rPr>
                      <w:rFonts w:ascii="仿宋_GB2312" w:hAnsi="仿宋_GB2312" w:cs="仿宋_GB2312" w:eastAsia="仿宋_GB2312"/>
                      <w:sz w:val="20"/>
                    </w:rPr>
                    <w:t xml:space="preserve"> </w:t>
                  </w:r>
                  <w:r>
                    <w:rPr>
                      <w:rFonts w:ascii="仿宋_GB2312" w:hAnsi="仿宋_GB2312" w:cs="仿宋_GB2312" w:eastAsia="仿宋_GB2312"/>
                      <w:sz w:val="20"/>
                    </w:rPr>
                    <w:t>1</w:t>
                  </w:r>
                  <w:r>
                    <w:rPr>
                      <w:rFonts w:ascii="仿宋_GB2312" w:hAnsi="仿宋_GB2312" w:cs="仿宋_GB2312" w:eastAsia="仿宋_GB2312"/>
                      <w:sz w:val="20"/>
                    </w:rPr>
                    <w:t>1</w:t>
                  </w:r>
                  <w:r>
                    <w:rPr>
                      <w:rFonts w:ascii="仿宋_GB2312" w:hAnsi="仿宋_GB2312" w:cs="仿宋_GB2312" w:eastAsia="仿宋_GB2312"/>
                      <w:sz w:val="20"/>
                    </w:rPr>
                    <w:t>g</w:t>
                  </w:r>
                </w:p>
              </w:tc>
              <w:tc>
                <w:tcPr>
                  <w:tcW w:type="dxa" w:w="1039"/>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扶贫系统</w:t>
                  </w:r>
                </w:p>
              </w:tc>
            </w:tr>
            <w:tr>
              <w:tc>
                <w:tcPr>
                  <w:tcW w:type="dxa" w:w="3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9</w:t>
                  </w:r>
                </w:p>
              </w:tc>
              <w:tc>
                <w:tcPr>
                  <w:tcW w:type="dxa" w:w="3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FPDB2</w:t>
                  </w:r>
                </w:p>
              </w:tc>
              <w:tc>
                <w:tcPr>
                  <w:tcW w:type="dxa" w:w="328"/>
                  <w:vMerge/>
                  <w:tcBorders>
                    <w:top w:val="none" w:color="000000" w:sz="4"/>
                    <w:left w:val="none" w:color="000000" w:sz="4"/>
                    <w:bottom w:val="none" w:color="000000" w:sz="4"/>
                    <w:right w:val="single" w:color="000000" w:sz="4"/>
                  </w:tcBorders>
                </w:tcPr>
                <w:p/>
              </w:tc>
              <w:tc>
                <w:tcPr>
                  <w:tcW w:type="dxa" w:w="464"/>
                  <w:vMerge/>
                  <w:tcBorders>
                    <w:top w:val="none" w:color="000000" w:sz="4"/>
                    <w:left w:val="none" w:color="000000" w:sz="4"/>
                    <w:bottom w:val="none" w:color="000000" w:sz="4"/>
                    <w:right w:val="single" w:color="000000" w:sz="4"/>
                  </w:tcBorders>
                </w:tcPr>
                <w:p/>
              </w:tc>
              <w:tc>
                <w:tcPr>
                  <w:tcW w:type="dxa" w:w="1039"/>
                  <w:vMerge/>
                  <w:tcBorders>
                    <w:top w:val="none" w:color="000000" w:sz="4"/>
                    <w:left w:val="none" w:color="000000" w:sz="4"/>
                    <w:bottom w:val="none" w:color="000000" w:sz="4"/>
                    <w:right w:val="single" w:color="000000" w:sz="4"/>
                  </w:tcBorders>
                </w:tcPr>
                <w:p/>
              </w:tc>
            </w:tr>
            <w:tr>
              <w:tc>
                <w:tcPr>
                  <w:tcW w:type="dxa" w:w="3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10</w:t>
                  </w:r>
                </w:p>
              </w:tc>
              <w:tc>
                <w:tcPr>
                  <w:tcW w:type="dxa" w:w="3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FPJH</w:t>
                  </w:r>
                </w:p>
              </w:tc>
              <w:tc>
                <w:tcPr>
                  <w:tcW w:type="dxa" w:w="3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单机</w:t>
                  </w:r>
                </w:p>
              </w:tc>
              <w:tc>
                <w:tcPr>
                  <w:tcW w:type="dxa" w:w="4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ORACLE</w:t>
                  </w:r>
                  <w:r>
                    <w:rPr>
                      <w:rFonts w:ascii="仿宋_GB2312" w:hAnsi="仿宋_GB2312" w:cs="仿宋_GB2312" w:eastAsia="仿宋_GB2312"/>
                      <w:sz w:val="20"/>
                    </w:rPr>
                    <w:t xml:space="preserve"> </w:t>
                  </w:r>
                  <w:r>
                    <w:rPr>
                      <w:rFonts w:ascii="仿宋_GB2312" w:hAnsi="仿宋_GB2312" w:cs="仿宋_GB2312" w:eastAsia="仿宋_GB2312"/>
                      <w:sz w:val="20"/>
                    </w:rPr>
                    <w:t>1</w:t>
                  </w:r>
                  <w:r>
                    <w:rPr>
                      <w:rFonts w:ascii="仿宋_GB2312" w:hAnsi="仿宋_GB2312" w:cs="仿宋_GB2312" w:eastAsia="仿宋_GB2312"/>
                      <w:sz w:val="20"/>
                    </w:rPr>
                    <w:t>1</w:t>
                  </w:r>
                  <w:r>
                    <w:rPr>
                      <w:rFonts w:ascii="仿宋_GB2312" w:hAnsi="仿宋_GB2312" w:cs="仿宋_GB2312" w:eastAsia="仿宋_GB2312"/>
                      <w:sz w:val="20"/>
                    </w:rPr>
                    <w:t>g</w:t>
                  </w:r>
                </w:p>
              </w:tc>
              <w:tc>
                <w:tcPr>
                  <w:tcW w:type="dxa" w:w="10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扶贫数据交换</w:t>
                  </w:r>
                </w:p>
              </w:tc>
            </w:tr>
            <w:tr>
              <w:tc>
                <w:tcPr>
                  <w:tcW w:type="dxa" w:w="3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11</w:t>
                  </w:r>
                </w:p>
              </w:tc>
              <w:tc>
                <w:tcPr>
                  <w:tcW w:type="dxa" w:w="3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Sbdb1</w:t>
                  </w:r>
                </w:p>
              </w:tc>
              <w:tc>
                <w:tcPr>
                  <w:tcW w:type="dxa" w:w="328"/>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RAC</w:t>
                  </w:r>
                </w:p>
              </w:tc>
              <w:tc>
                <w:tcPr>
                  <w:tcW w:type="dxa" w:w="4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ORACLE</w:t>
                  </w:r>
                  <w:r>
                    <w:rPr>
                      <w:rFonts w:ascii="仿宋_GB2312" w:hAnsi="仿宋_GB2312" w:cs="仿宋_GB2312" w:eastAsia="仿宋_GB2312"/>
                      <w:sz w:val="20"/>
                    </w:rPr>
                    <w:t xml:space="preserve"> </w:t>
                  </w:r>
                  <w:r>
                    <w:rPr>
                      <w:rFonts w:ascii="仿宋_GB2312" w:hAnsi="仿宋_GB2312" w:cs="仿宋_GB2312" w:eastAsia="仿宋_GB2312"/>
                      <w:sz w:val="20"/>
                    </w:rPr>
                    <w:t>1</w:t>
                  </w:r>
                  <w:r>
                    <w:rPr>
                      <w:rFonts w:ascii="仿宋_GB2312" w:hAnsi="仿宋_GB2312" w:cs="仿宋_GB2312" w:eastAsia="仿宋_GB2312"/>
                      <w:sz w:val="20"/>
                    </w:rPr>
                    <w:t>1</w:t>
                  </w:r>
                  <w:r>
                    <w:rPr>
                      <w:rFonts w:ascii="仿宋_GB2312" w:hAnsi="仿宋_GB2312" w:cs="仿宋_GB2312" w:eastAsia="仿宋_GB2312"/>
                      <w:sz w:val="20"/>
                    </w:rPr>
                    <w:t>g</w:t>
                  </w:r>
                </w:p>
              </w:tc>
              <w:tc>
                <w:tcPr>
                  <w:tcW w:type="dxa" w:w="1039"/>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社保系统</w:t>
                  </w:r>
                </w:p>
              </w:tc>
            </w:tr>
            <w:tr>
              <w:tc>
                <w:tcPr>
                  <w:tcW w:type="dxa" w:w="3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12</w:t>
                  </w:r>
                </w:p>
              </w:tc>
              <w:tc>
                <w:tcPr>
                  <w:tcW w:type="dxa" w:w="3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Sbdb2</w:t>
                  </w:r>
                </w:p>
              </w:tc>
              <w:tc>
                <w:tcPr>
                  <w:tcW w:type="dxa" w:w="328"/>
                  <w:vMerge/>
                  <w:tcBorders>
                    <w:top w:val="none" w:color="000000" w:sz="4"/>
                    <w:left w:val="none" w:color="000000" w:sz="4"/>
                    <w:bottom w:val="none" w:color="000000" w:sz="4"/>
                    <w:right w:val="single" w:color="000000" w:sz="4"/>
                  </w:tcBorders>
                </w:tcPr>
                <w:p/>
              </w:tc>
              <w:tc>
                <w:tcPr>
                  <w:tcW w:type="dxa" w:w="4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0"/>
                    </w:rPr>
                    <w:t>ORACLE</w:t>
                  </w:r>
                  <w:r>
                    <w:rPr>
                      <w:rFonts w:ascii="仿宋_GB2312" w:hAnsi="仿宋_GB2312" w:cs="仿宋_GB2312" w:eastAsia="仿宋_GB2312"/>
                      <w:sz w:val="20"/>
                    </w:rPr>
                    <w:t xml:space="preserve"> </w:t>
                  </w:r>
                  <w:r>
                    <w:rPr>
                      <w:rFonts w:ascii="仿宋_GB2312" w:hAnsi="仿宋_GB2312" w:cs="仿宋_GB2312" w:eastAsia="仿宋_GB2312"/>
                      <w:sz w:val="20"/>
                    </w:rPr>
                    <w:t>1</w:t>
                  </w:r>
                  <w:r>
                    <w:rPr>
                      <w:rFonts w:ascii="仿宋_GB2312" w:hAnsi="仿宋_GB2312" w:cs="仿宋_GB2312" w:eastAsia="仿宋_GB2312"/>
                      <w:sz w:val="20"/>
                    </w:rPr>
                    <w:t>1</w:t>
                  </w:r>
                  <w:r>
                    <w:rPr>
                      <w:rFonts w:ascii="仿宋_GB2312" w:hAnsi="仿宋_GB2312" w:cs="仿宋_GB2312" w:eastAsia="仿宋_GB2312"/>
                      <w:sz w:val="20"/>
                    </w:rPr>
                    <w:t>g</w:t>
                  </w:r>
                </w:p>
              </w:tc>
              <w:tc>
                <w:tcPr>
                  <w:tcW w:type="dxa" w:w="1039"/>
                  <w:vMerge/>
                  <w:tcBorders>
                    <w:top w:val="none" w:color="000000" w:sz="4"/>
                    <w:left w:val="none" w:color="000000" w:sz="4"/>
                    <w:bottom w:val="none" w:color="000000" w:sz="4"/>
                    <w:right w:val="single" w:color="000000" w:sz="4"/>
                  </w:tcBorders>
                </w:tcPr>
                <w:p/>
              </w:tc>
            </w:tr>
            <w:tr>
              <w:tc>
                <w:tcPr>
                  <w:tcW w:type="dxa" w:w="3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13</w:t>
                  </w:r>
                </w:p>
              </w:tc>
              <w:tc>
                <w:tcPr>
                  <w:tcW w:type="dxa" w:w="3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SBJH</w:t>
                  </w:r>
                </w:p>
              </w:tc>
              <w:tc>
                <w:tcPr>
                  <w:tcW w:type="dxa" w:w="3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单机</w:t>
                  </w:r>
                </w:p>
              </w:tc>
              <w:tc>
                <w:tcPr>
                  <w:tcW w:type="dxa" w:w="4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ORACLE</w:t>
                  </w:r>
                  <w:r>
                    <w:rPr>
                      <w:rFonts w:ascii="仿宋_GB2312" w:hAnsi="仿宋_GB2312" w:cs="仿宋_GB2312" w:eastAsia="仿宋_GB2312"/>
                      <w:sz w:val="20"/>
                    </w:rPr>
                    <w:t xml:space="preserve"> </w:t>
                  </w:r>
                  <w:r>
                    <w:rPr>
                      <w:rFonts w:ascii="仿宋_GB2312" w:hAnsi="仿宋_GB2312" w:cs="仿宋_GB2312" w:eastAsia="仿宋_GB2312"/>
                      <w:sz w:val="20"/>
                    </w:rPr>
                    <w:t>1</w:t>
                  </w:r>
                  <w:r>
                    <w:rPr>
                      <w:rFonts w:ascii="仿宋_GB2312" w:hAnsi="仿宋_GB2312" w:cs="仿宋_GB2312" w:eastAsia="仿宋_GB2312"/>
                      <w:sz w:val="20"/>
                    </w:rPr>
                    <w:t>1</w:t>
                  </w:r>
                  <w:r>
                    <w:rPr>
                      <w:rFonts w:ascii="仿宋_GB2312" w:hAnsi="仿宋_GB2312" w:cs="仿宋_GB2312" w:eastAsia="仿宋_GB2312"/>
                      <w:sz w:val="20"/>
                    </w:rPr>
                    <w:t>g</w:t>
                  </w:r>
                </w:p>
              </w:tc>
              <w:tc>
                <w:tcPr>
                  <w:tcW w:type="dxa" w:w="10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社保数据交换</w:t>
                  </w:r>
                </w:p>
              </w:tc>
            </w:tr>
            <w:tr>
              <w:tc>
                <w:tcPr>
                  <w:tcW w:type="dxa" w:w="3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14</w:t>
                  </w:r>
                </w:p>
              </w:tc>
              <w:tc>
                <w:tcPr>
                  <w:tcW w:type="dxa" w:w="3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right="-15"/>
                    <w:jc w:val="center"/>
                  </w:pPr>
                  <w:r>
                    <w:rPr>
                      <w:rFonts w:ascii="仿宋_GB2312" w:hAnsi="仿宋_GB2312" w:cs="仿宋_GB2312" w:eastAsia="仿宋_GB2312"/>
                      <w:sz w:val="20"/>
                    </w:rPr>
                    <w:t>GFXM1</w:t>
                  </w:r>
                </w:p>
              </w:tc>
              <w:tc>
                <w:tcPr>
                  <w:tcW w:type="dxa" w:w="328"/>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RAC</w:t>
                  </w:r>
                </w:p>
              </w:tc>
              <w:tc>
                <w:tcPr>
                  <w:tcW w:type="dxa" w:w="464"/>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ORACLE</w:t>
                  </w:r>
                  <w:r>
                    <w:rPr>
                      <w:rFonts w:ascii="仿宋_GB2312" w:hAnsi="仿宋_GB2312" w:cs="仿宋_GB2312" w:eastAsia="仿宋_GB2312"/>
                      <w:sz w:val="20"/>
                    </w:rPr>
                    <w:t xml:space="preserve"> </w:t>
                  </w:r>
                  <w:r>
                    <w:rPr>
                      <w:rFonts w:ascii="仿宋_GB2312" w:hAnsi="仿宋_GB2312" w:cs="仿宋_GB2312" w:eastAsia="仿宋_GB2312"/>
                      <w:sz w:val="20"/>
                    </w:rPr>
                    <w:t>1</w:t>
                  </w:r>
                  <w:r>
                    <w:rPr>
                      <w:rFonts w:ascii="仿宋_GB2312" w:hAnsi="仿宋_GB2312" w:cs="仿宋_GB2312" w:eastAsia="仿宋_GB2312"/>
                      <w:sz w:val="20"/>
                    </w:rPr>
                    <w:t>1</w:t>
                  </w:r>
                  <w:r>
                    <w:rPr>
                      <w:rFonts w:ascii="仿宋_GB2312" w:hAnsi="仿宋_GB2312" w:cs="仿宋_GB2312" w:eastAsia="仿宋_GB2312"/>
                      <w:sz w:val="20"/>
                    </w:rPr>
                    <w:t>g</w:t>
                  </w:r>
                </w:p>
              </w:tc>
              <w:tc>
                <w:tcPr>
                  <w:tcW w:type="dxa" w:w="1039"/>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项目库</w:t>
                  </w:r>
                  <w:r>
                    <w:rPr>
                      <w:rFonts w:ascii="仿宋_GB2312" w:hAnsi="仿宋_GB2312" w:cs="仿宋_GB2312" w:eastAsia="仿宋_GB2312"/>
                      <w:sz w:val="20"/>
                    </w:rPr>
                    <w:t>、财政厅门户</w:t>
                  </w:r>
                </w:p>
              </w:tc>
            </w:tr>
            <w:tr>
              <w:tc>
                <w:tcPr>
                  <w:tcW w:type="dxa" w:w="3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15</w:t>
                  </w:r>
                </w:p>
              </w:tc>
              <w:tc>
                <w:tcPr>
                  <w:tcW w:type="dxa" w:w="3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right="-15"/>
                    <w:jc w:val="center"/>
                  </w:pPr>
                  <w:r>
                    <w:rPr>
                      <w:rFonts w:ascii="仿宋_GB2312" w:hAnsi="仿宋_GB2312" w:cs="仿宋_GB2312" w:eastAsia="仿宋_GB2312"/>
                      <w:sz w:val="20"/>
                    </w:rPr>
                    <w:t>GFXM2</w:t>
                  </w:r>
                </w:p>
              </w:tc>
              <w:tc>
                <w:tcPr>
                  <w:tcW w:type="dxa" w:w="328"/>
                  <w:vMerge/>
                  <w:tcBorders>
                    <w:top w:val="none" w:color="000000" w:sz="4"/>
                    <w:left w:val="none" w:color="000000" w:sz="4"/>
                    <w:bottom w:val="none" w:color="000000" w:sz="4"/>
                    <w:right w:val="single" w:color="000000" w:sz="4"/>
                  </w:tcBorders>
                </w:tcPr>
                <w:p/>
              </w:tc>
              <w:tc>
                <w:tcPr>
                  <w:tcW w:type="dxa" w:w="464"/>
                  <w:vMerge/>
                  <w:tcBorders>
                    <w:top w:val="none" w:color="000000" w:sz="4"/>
                    <w:left w:val="none" w:color="000000" w:sz="4"/>
                    <w:bottom w:val="none" w:color="000000" w:sz="4"/>
                    <w:right w:val="single" w:color="000000" w:sz="4"/>
                  </w:tcBorders>
                </w:tcPr>
                <w:p/>
              </w:tc>
              <w:tc>
                <w:tcPr>
                  <w:tcW w:type="dxa" w:w="1039"/>
                  <w:vMerge/>
                  <w:tcBorders>
                    <w:top w:val="none" w:color="000000" w:sz="4"/>
                    <w:left w:val="none" w:color="000000" w:sz="4"/>
                    <w:bottom w:val="none" w:color="000000" w:sz="4"/>
                    <w:right w:val="single" w:color="000000" w:sz="4"/>
                  </w:tcBorders>
                </w:tcPr>
                <w:p/>
              </w:tc>
            </w:tr>
            <w:tr>
              <w:tc>
                <w:tcPr>
                  <w:tcW w:type="dxa" w:w="3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16</w:t>
                  </w:r>
                </w:p>
              </w:tc>
              <w:tc>
                <w:tcPr>
                  <w:tcW w:type="dxa" w:w="3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DZPZ1</w:t>
                  </w:r>
                </w:p>
              </w:tc>
              <w:tc>
                <w:tcPr>
                  <w:tcW w:type="dxa" w:w="328"/>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RAC</w:t>
                  </w:r>
                </w:p>
              </w:tc>
              <w:tc>
                <w:tcPr>
                  <w:tcW w:type="dxa" w:w="464"/>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ORACLE</w:t>
                  </w:r>
                  <w:r>
                    <w:rPr>
                      <w:rFonts w:ascii="仿宋_GB2312" w:hAnsi="仿宋_GB2312" w:cs="仿宋_GB2312" w:eastAsia="仿宋_GB2312"/>
                      <w:sz w:val="20"/>
                    </w:rPr>
                    <w:t xml:space="preserve"> </w:t>
                  </w:r>
                  <w:r>
                    <w:rPr>
                      <w:rFonts w:ascii="仿宋_GB2312" w:hAnsi="仿宋_GB2312" w:cs="仿宋_GB2312" w:eastAsia="仿宋_GB2312"/>
                      <w:sz w:val="20"/>
                    </w:rPr>
                    <w:t>1</w:t>
                  </w:r>
                  <w:r>
                    <w:rPr>
                      <w:rFonts w:ascii="仿宋_GB2312" w:hAnsi="仿宋_GB2312" w:cs="仿宋_GB2312" w:eastAsia="仿宋_GB2312"/>
                      <w:sz w:val="20"/>
                    </w:rPr>
                    <w:t>1</w:t>
                  </w:r>
                  <w:r>
                    <w:rPr>
                      <w:rFonts w:ascii="仿宋_GB2312" w:hAnsi="仿宋_GB2312" w:cs="仿宋_GB2312" w:eastAsia="仿宋_GB2312"/>
                      <w:sz w:val="20"/>
                    </w:rPr>
                    <w:t>g</w:t>
                  </w:r>
                </w:p>
              </w:tc>
              <w:tc>
                <w:tcPr>
                  <w:tcW w:type="dxa" w:w="1039"/>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人行电子凭证数据库</w:t>
                  </w:r>
                </w:p>
              </w:tc>
            </w:tr>
            <w:tr>
              <w:tc>
                <w:tcPr>
                  <w:tcW w:type="dxa" w:w="3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17</w:t>
                  </w:r>
                </w:p>
              </w:tc>
              <w:tc>
                <w:tcPr>
                  <w:tcW w:type="dxa" w:w="3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DZPZ2</w:t>
                  </w:r>
                </w:p>
              </w:tc>
              <w:tc>
                <w:tcPr>
                  <w:tcW w:type="dxa" w:w="328"/>
                  <w:vMerge/>
                  <w:tcBorders>
                    <w:top w:val="none" w:color="000000" w:sz="4"/>
                    <w:left w:val="none" w:color="000000" w:sz="4"/>
                    <w:bottom w:val="none" w:color="000000" w:sz="4"/>
                    <w:right w:val="single" w:color="000000" w:sz="4"/>
                  </w:tcBorders>
                </w:tcPr>
                <w:p/>
              </w:tc>
              <w:tc>
                <w:tcPr>
                  <w:tcW w:type="dxa" w:w="464"/>
                  <w:vMerge/>
                  <w:tcBorders>
                    <w:top w:val="none" w:color="000000" w:sz="4"/>
                    <w:left w:val="none" w:color="000000" w:sz="4"/>
                    <w:bottom w:val="none" w:color="000000" w:sz="4"/>
                    <w:right w:val="single" w:color="000000" w:sz="4"/>
                  </w:tcBorders>
                </w:tcPr>
                <w:p/>
              </w:tc>
              <w:tc>
                <w:tcPr>
                  <w:tcW w:type="dxa" w:w="1039"/>
                  <w:vMerge/>
                  <w:tcBorders>
                    <w:top w:val="none" w:color="000000" w:sz="4"/>
                    <w:left w:val="none" w:color="000000" w:sz="4"/>
                    <w:bottom w:val="none" w:color="000000" w:sz="4"/>
                    <w:right w:val="single" w:color="000000" w:sz="4"/>
                  </w:tcBorders>
                </w:tcPr>
                <w:p/>
              </w:tc>
            </w:tr>
            <w:tr>
              <w:tc>
                <w:tcPr>
                  <w:tcW w:type="dxa" w:w="3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18</w:t>
                  </w:r>
                </w:p>
              </w:tc>
              <w:tc>
                <w:tcPr>
                  <w:tcW w:type="dxa" w:w="3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NSNDB1</w:t>
                  </w:r>
                </w:p>
              </w:tc>
              <w:tc>
                <w:tcPr>
                  <w:tcW w:type="dxa" w:w="328"/>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RAC</w:t>
                  </w:r>
                </w:p>
              </w:tc>
              <w:tc>
                <w:tcPr>
                  <w:tcW w:type="dxa" w:w="464"/>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ORACLE</w:t>
                  </w:r>
                  <w:r>
                    <w:rPr>
                      <w:rFonts w:ascii="仿宋_GB2312" w:hAnsi="仿宋_GB2312" w:cs="仿宋_GB2312" w:eastAsia="仿宋_GB2312"/>
                      <w:sz w:val="20"/>
                    </w:rPr>
                    <w:t xml:space="preserve"> </w:t>
                  </w:r>
                  <w:r>
                    <w:rPr>
                      <w:rFonts w:ascii="仿宋_GB2312" w:hAnsi="仿宋_GB2312" w:cs="仿宋_GB2312" w:eastAsia="仿宋_GB2312"/>
                      <w:sz w:val="20"/>
                    </w:rPr>
                    <w:t>1</w:t>
                  </w:r>
                  <w:r>
                    <w:rPr>
                      <w:rFonts w:ascii="仿宋_GB2312" w:hAnsi="仿宋_GB2312" w:cs="仿宋_GB2312" w:eastAsia="仿宋_GB2312"/>
                      <w:sz w:val="20"/>
                    </w:rPr>
                    <w:t>0</w:t>
                  </w:r>
                  <w:r>
                    <w:rPr>
                      <w:rFonts w:ascii="仿宋_GB2312" w:hAnsi="仿宋_GB2312" w:cs="仿宋_GB2312" w:eastAsia="仿宋_GB2312"/>
                      <w:sz w:val="20"/>
                    </w:rPr>
                    <w:t>g</w:t>
                  </w:r>
                </w:p>
              </w:tc>
              <w:tc>
                <w:tcPr>
                  <w:tcW w:type="dxa" w:w="1039"/>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国库集中支付、工资发放台账</w:t>
                  </w:r>
                </w:p>
              </w:tc>
            </w:tr>
            <w:tr>
              <w:tc>
                <w:tcPr>
                  <w:tcW w:type="dxa" w:w="3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19</w:t>
                  </w:r>
                </w:p>
              </w:tc>
              <w:tc>
                <w:tcPr>
                  <w:tcW w:type="dxa" w:w="3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NSNDB2</w:t>
                  </w:r>
                </w:p>
              </w:tc>
              <w:tc>
                <w:tcPr>
                  <w:tcW w:type="dxa" w:w="328"/>
                  <w:vMerge/>
                  <w:tcBorders>
                    <w:top w:val="none" w:color="000000" w:sz="4"/>
                    <w:left w:val="none" w:color="000000" w:sz="4"/>
                    <w:bottom w:val="none" w:color="000000" w:sz="4"/>
                    <w:right w:val="single" w:color="000000" w:sz="4"/>
                  </w:tcBorders>
                </w:tcPr>
                <w:p/>
              </w:tc>
              <w:tc>
                <w:tcPr>
                  <w:tcW w:type="dxa" w:w="464"/>
                  <w:vMerge/>
                  <w:tcBorders>
                    <w:top w:val="none" w:color="000000" w:sz="4"/>
                    <w:left w:val="none" w:color="000000" w:sz="4"/>
                    <w:bottom w:val="none" w:color="000000" w:sz="4"/>
                    <w:right w:val="single" w:color="000000" w:sz="4"/>
                  </w:tcBorders>
                </w:tcPr>
                <w:p/>
              </w:tc>
              <w:tc>
                <w:tcPr>
                  <w:tcW w:type="dxa" w:w="1039"/>
                  <w:vMerge/>
                  <w:tcBorders>
                    <w:top w:val="none" w:color="000000" w:sz="4"/>
                    <w:left w:val="none" w:color="000000" w:sz="4"/>
                    <w:bottom w:val="none" w:color="000000" w:sz="4"/>
                    <w:right w:val="single" w:color="000000" w:sz="4"/>
                  </w:tcBorders>
                </w:tcPr>
                <w:p/>
              </w:tc>
            </w:tr>
            <w:tr>
              <w:tc>
                <w:tcPr>
                  <w:tcW w:type="dxa" w:w="3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20</w:t>
                  </w:r>
                </w:p>
              </w:tc>
              <w:tc>
                <w:tcPr>
                  <w:tcW w:type="dxa" w:w="3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both"/>
                  </w:pPr>
                  <w:r>
                    <w:rPr>
                      <w:rFonts w:ascii="仿宋_GB2312" w:hAnsi="仿宋_GB2312" w:cs="仿宋_GB2312" w:eastAsia="仿宋_GB2312"/>
                      <w:sz w:val="20"/>
                    </w:rPr>
                    <w:t xml:space="preserve">  </w:t>
                  </w:r>
                  <w:r>
                    <w:rPr>
                      <w:rFonts w:ascii="仿宋_GB2312" w:hAnsi="仿宋_GB2312" w:cs="仿宋_GB2312" w:eastAsia="仿宋_GB2312"/>
                      <w:sz w:val="20"/>
                    </w:rPr>
                    <w:t>MYSQL</w:t>
                  </w:r>
                </w:p>
              </w:tc>
              <w:tc>
                <w:tcPr>
                  <w:tcW w:type="dxa" w:w="328"/>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集群</w:t>
                  </w:r>
                </w:p>
                <w:p>
                  <w:pPr>
                    <w:pStyle w:val="null3"/>
                    <w:ind w:left="105" w:right="-15"/>
                    <w:jc w:val="center"/>
                  </w:pPr>
                </w:p>
              </w:tc>
              <w:tc>
                <w:tcPr>
                  <w:tcW w:type="dxa" w:w="464"/>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Mysql5.7</w:t>
                  </w:r>
                </w:p>
              </w:tc>
              <w:tc>
                <w:tcPr>
                  <w:tcW w:type="dxa" w:w="1039"/>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政府采购</w:t>
                  </w:r>
                </w:p>
              </w:tc>
            </w:tr>
            <w:tr>
              <w:tc>
                <w:tcPr>
                  <w:tcW w:type="dxa" w:w="3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21</w:t>
                  </w:r>
                </w:p>
              </w:tc>
              <w:tc>
                <w:tcPr>
                  <w:tcW w:type="dxa" w:w="3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both"/>
                  </w:pPr>
                  <w:r>
                    <w:rPr>
                      <w:rFonts w:ascii="仿宋_GB2312" w:hAnsi="仿宋_GB2312" w:cs="仿宋_GB2312" w:eastAsia="仿宋_GB2312"/>
                      <w:sz w:val="20"/>
                    </w:rPr>
                    <w:t xml:space="preserve">  </w:t>
                  </w:r>
                  <w:r>
                    <w:rPr>
                      <w:rFonts w:ascii="仿宋_GB2312" w:hAnsi="仿宋_GB2312" w:cs="仿宋_GB2312" w:eastAsia="仿宋_GB2312"/>
                      <w:sz w:val="20"/>
                    </w:rPr>
                    <w:t>MYSQL</w:t>
                  </w:r>
                </w:p>
              </w:tc>
              <w:tc>
                <w:tcPr>
                  <w:tcW w:type="dxa" w:w="328"/>
                  <w:vMerge/>
                  <w:tcBorders>
                    <w:top w:val="none" w:color="000000" w:sz="4"/>
                    <w:left w:val="none" w:color="000000" w:sz="4"/>
                    <w:bottom w:val="none" w:color="000000" w:sz="4"/>
                    <w:right w:val="single" w:color="000000" w:sz="4"/>
                  </w:tcBorders>
                </w:tcPr>
                <w:p/>
              </w:tc>
              <w:tc>
                <w:tcPr>
                  <w:tcW w:type="dxa" w:w="464"/>
                  <w:vMerge/>
                  <w:tcBorders>
                    <w:top w:val="none" w:color="000000" w:sz="4"/>
                    <w:left w:val="none" w:color="000000" w:sz="4"/>
                    <w:bottom w:val="none" w:color="000000" w:sz="4"/>
                    <w:right w:val="single" w:color="000000" w:sz="4"/>
                  </w:tcBorders>
                </w:tcPr>
                <w:p/>
              </w:tc>
              <w:tc>
                <w:tcPr>
                  <w:tcW w:type="dxa" w:w="1039"/>
                  <w:vMerge/>
                  <w:tcBorders>
                    <w:top w:val="none" w:color="000000" w:sz="4"/>
                    <w:left w:val="none" w:color="000000" w:sz="4"/>
                    <w:bottom w:val="none" w:color="000000" w:sz="4"/>
                    <w:right w:val="single" w:color="000000" w:sz="4"/>
                  </w:tcBorders>
                </w:tcPr>
                <w:p/>
              </w:tc>
            </w:tr>
            <w:tr>
              <w:tc>
                <w:tcPr>
                  <w:tcW w:type="dxa" w:w="3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22</w:t>
                  </w:r>
                </w:p>
              </w:tc>
              <w:tc>
                <w:tcPr>
                  <w:tcW w:type="dxa" w:w="3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both"/>
                  </w:pPr>
                  <w:r>
                    <w:rPr>
                      <w:rFonts w:ascii="仿宋_GB2312" w:hAnsi="仿宋_GB2312" w:cs="仿宋_GB2312" w:eastAsia="仿宋_GB2312"/>
                      <w:sz w:val="20"/>
                    </w:rPr>
                    <w:t xml:space="preserve">  </w:t>
                  </w:r>
                  <w:r>
                    <w:rPr>
                      <w:rFonts w:ascii="仿宋_GB2312" w:hAnsi="仿宋_GB2312" w:cs="仿宋_GB2312" w:eastAsia="仿宋_GB2312"/>
                      <w:sz w:val="20"/>
                    </w:rPr>
                    <w:t>MYSQL</w:t>
                  </w:r>
                </w:p>
              </w:tc>
              <w:tc>
                <w:tcPr>
                  <w:tcW w:type="dxa" w:w="328"/>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集群</w:t>
                  </w:r>
                </w:p>
                <w:p>
                  <w:pPr>
                    <w:pStyle w:val="null3"/>
                    <w:ind w:left="105" w:right="-15"/>
                    <w:jc w:val="center"/>
                  </w:pPr>
                </w:p>
              </w:tc>
              <w:tc>
                <w:tcPr>
                  <w:tcW w:type="dxa" w:w="464"/>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Mysql5.7</w:t>
                  </w:r>
                </w:p>
              </w:tc>
              <w:tc>
                <w:tcPr>
                  <w:tcW w:type="dxa" w:w="1039"/>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政府采购</w:t>
                  </w:r>
                </w:p>
              </w:tc>
            </w:tr>
            <w:tr>
              <w:tc>
                <w:tcPr>
                  <w:tcW w:type="dxa" w:w="3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23</w:t>
                  </w:r>
                </w:p>
              </w:tc>
              <w:tc>
                <w:tcPr>
                  <w:tcW w:type="dxa" w:w="3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both"/>
                  </w:pPr>
                  <w:r>
                    <w:rPr>
                      <w:rFonts w:ascii="仿宋_GB2312" w:hAnsi="仿宋_GB2312" w:cs="仿宋_GB2312" w:eastAsia="仿宋_GB2312"/>
                      <w:sz w:val="20"/>
                    </w:rPr>
                    <w:t xml:space="preserve">  </w:t>
                  </w:r>
                  <w:r>
                    <w:rPr>
                      <w:rFonts w:ascii="仿宋_GB2312" w:hAnsi="仿宋_GB2312" w:cs="仿宋_GB2312" w:eastAsia="仿宋_GB2312"/>
                      <w:sz w:val="20"/>
                    </w:rPr>
                    <w:t>MYSQL</w:t>
                  </w:r>
                </w:p>
              </w:tc>
              <w:tc>
                <w:tcPr>
                  <w:tcW w:type="dxa" w:w="328"/>
                  <w:vMerge/>
                  <w:tcBorders>
                    <w:top w:val="none" w:color="000000" w:sz="4"/>
                    <w:left w:val="none" w:color="000000" w:sz="4"/>
                    <w:bottom w:val="none" w:color="000000" w:sz="4"/>
                    <w:right w:val="single" w:color="000000" w:sz="4"/>
                  </w:tcBorders>
                </w:tcPr>
                <w:p/>
              </w:tc>
              <w:tc>
                <w:tcPr>
                  <w:tcW w:type="dxa" w:w="464"/>
                  <w:vMerge/>
                  <w:tcBorders>
                    <w:top w:val="none" w:color="000000" w:sz="4"/>
                    <w:left w:val="none" w:color="000000" w:sz="4"/>
                    <w:bottom w:val="none" w:color="000000" w:sz="4"/>
                    <w:right w:val="single" w:color="000000" w:sz="4"/>
                  </w:tcBorders>
                </w:tcPr>
                <w:p/>
              </w:tc>
              <w:tc>
                <w:tcPr>
                  <w:tcW w:type="dxa" w:w="1039"/>
                  <w:vMerge/>
                  <w:tcBorders>
                    <w:top w:val="none" w:color="000000" w:sz="4"/>
                    <w:left w:val="none" w:color="000000" w:sz="4"/>
                    <w:bottom w:val="none" w:color="000000" w:sz="4"/>
                    <w:right w:val="single" w:color="000000" w:sz="4"/>
                  </w:tcBorders>
                </w:tcPr>
                <w:p/>
              </w:tc>
            </w:tr>
            <w:tr>
              <w:tc>
                <w:tcPr>
                  <w:tcW w:type="dxa" w:w="3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24</w:t>
                  </w:r>
                </w:p>
              </w:tc>
              <w:tc>
                <w:tcPr>
                  <w:tcW w:type="dxa" w:w="3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both"/>
                  </w:pPr>
                  <w:r>
                    <w:rPr>
                      <w:rFonts w:ascii="仿宋_GB2312" w:hAnsi="仿宋_GB2312" w:cs="仿宋_GB2312" w:eastAsia="仿宋_GB2312"/>
                      <w:sz w:val="20"/>
                    </w:rPr>
                    <w:t xml:space="preserve">  </w:t>
                  </w:r>
                  <w:r>
                    <w:rPr>
                      <w:rFonts w:ascii="仿宋_GB2312" w:hAnsi="仿宋_GB2312" w:cs="仿宋_GB2312" w:eastAsia="仿宋_GB2312"/>
                      <w:sz w:val="20"/>
                    </w:rPr>
                    <w:t>MYSQL</w:t>
                  </w:r>
                </w:p>
              </w:tc>
              <w:tc>
                <w:tcPr>
                  <w:tcW w:type="dxa" w:w="328"/>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集群</w:t>
                  </w:r>
                </w:p>
                <w:p>
                  <w:pPr>
                    <w:pStyle w:val="null3"/>
                    <w:ind w:left="105" w:right="-15"/>
                    <w:jc w:val="center"/>
                  </w:pPr>
                </w:p>
              </w:tc>
              <w:tc>
                <w:tcPr>
                  <w:tcW w:type="dxa" w:w="464"/>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Mysql5.7</w:t>
                  </w:r>
                </w:p>
              </w:tc>
              <w:tc>
                <w:tcPr>
                  <w:tcW w:type="dxa" w:w="1039"/>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政府采购</w:t>
                  </w:r>
                </w:p>
              </w:tc>
            </w:tr>
            <w:tr>
              <w:tc>
                <w:tcPr>
                  <w:tcW w:type="dxa" w:w="3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25</w:t>
                  </w:r>
                </w:p>
              </w:tc>
              <w:tc>
                <w:tcPr>
                  <w:tcW w:type="dxa" w:w="3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both"/>
                  </w:pPr>
                  <w:r>
                    <w:rPr>
                      <w:rFonts w:ascii="仿宋_GB2312" w:hAnsi="仿宋_GB2312" w:cs="仿宋_GB2312" w:eastAsia="仿宋_GB2312"/>
                      <w:sz w:val="20"/>
                    </w:rPr>
                    <w:t xml:space="preserve">  </w:t>
                  </w:r>
                  <w:r>
                    <w:rPr>
                      <w:rFonts w:ascii="仿宋_GB2312" w:hAnsi="仿宋_GB2312" w:cs="仿宋_GB2312" w:eastAsia="仿宋_GB2312"/>
                      <w:sz w:val="20"/>
                    </w:rPr>
                    <w:t>MYSQL</w:t>
                  </w:r>
                </w:p>
              </w:tc>
              <w:tc>
                <w:tcPr>
                  <w:tcW w:type="dxa" w:w="328"/>
                  <w:vMerge/>
                  <w:tcBorders>
                    <w:top w:val="none" w:color="000000" w:sz="4"/>
                    <w:left w:val="none" w:color="000000" w:sz="4"/>
                    <w:bottom w:val="none" w:color="000000" w:sz="4"/>
                    <w:right w:val="single" w:color="000000" w:sz="4"/>
                  </w:tcBorders>
                </w:tcPr>
                <w:p/>
              </w:tc>
              <w:tc>
                <w:tcPr>
                  <w:tcW w:type="dxa" w:w="464"/>
                  <w:vMerge/>
                  <w:tcBorders>
                    <w:top w:val="none" w:color="000000" w:sz="4"/>
                    <w:left w:val="none" w:color="000000" w:sz="4"/>
                    <w:bottom w:val="none" w:color="000000" w:sz="4"/>
                    <w:right w:val="single" w:color="000000" w:sz="4"/>
                  </w:tcBorders>
                </w:tcPr>
                <w:p/>
              </w:tc>
              <w:tc>
                <w:tcPr>
                  <w:tcW w:type="dxa" w:w="1039"/>
                  <w:vMerge/>
                  <w:tcBorders>
                    <w:top w:val="none" w:color="000000" w:sz="4"/>
                    <w:left w:val="none" w:color="000000" w:sz="4"/>
                    <w:bottom w:val="none" w:color="000000" w:sz="4"/>
                    <w:right w:val="single" w:color="000000" w:sz="4"/>
                  </w:tcBorders>
                </w:tcPr>
                <w:p/>
              </w:tc>
            </w:tr>
            <w:tr>
              <w:tc>
                <w:tcPr>
                  <w:tcW w:type="dxa" w:w="3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26</w:t>
                  </w:r>
                </w:p>
              </w:tc>
              <w:tc>
                <w:tcPr>
                  <w:tcW w:type="dxa" w:w="3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both"/>
                  </w:pPr>
                  <w:r>
                    <w:rPr>
                      <w:rFonts w:ascii="仿宋_GB2312" w:hAnsi="仿宋_GB2312" w:cs="仿宋_GB2312" w:eastAsia="仿宋_GB2312"/>
                      <w:sz w:val="20"/>
                    </w:rPr>
                    <w:t xml:space="preserve">  </w:t>
                  </w:r>
                  <w:r>
                    <w:rPr>
                      <w:rFonts w:ascii="仿宋_GB2312" w:hAnsi="仿宋_GB2312" w:cs="仿宋_GB2312" w:eastAsia="仿宋_GB2312"/>
                      <w:sz w:val="20"/>
                    </w:rPr>
                    <w:t>MYSQL</w:t>
                  </w:r>
                </w:p>
              </w:tc>
              <w:tc>
                <w:tcPr>
                  <w:tcW w:type="dxa" w:w="328"/>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集群</w:t>
                  </w:r>
                </w:p>
                <w:p>
                  <w:pPr>
                    <w:pStyle w:val="null3"/>
                    <w:ind w:left="105" w:right="-15"/>
                    <w:jc w:val="center"/>
                  </w:pPr>
                </w:p>
              </w:tc>
              <w:tc>
                <w:tcPr>
                  <w:tcW w:type="dxa" w:w="464"/>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Mysql5.7</w:t>
                  </w:r>
                </w:p>
              </w:tc>
              <w:tc>
                <w:tcPr>
                  <w:tcW w:type="dxa" w:w="1039"/>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政府采购</w:t>
                  </w:r>
                </w:p>
              </w:tc>
            </w:tr>
            <w:tr>
              <w:tc>
                <w:tcPr>
                  <w:tcW w:type="dxa" w:w="3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27</w:t>
                  </w:r>
                </w:p>
              </w:tc>
              <w:tc>
                <w:tcPr>
                  <w:tcW w:type="dxa" w:w="3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both"/>
                  </w:pPr>
                  <w:r>
                    <w:rPr>
                      <w:rFonts w:ascii="仿宋_GB2312" w:hAnsi="仿宋_GB2312" w:cs="仿宋_GB2312" w:eastAsia="仿宋_GB2312"/>
                      <w:sz w:val="20"/>
                    </w:rPr>
                    <w:t xml:space="preserve">  </w:t>
                  </w:r>
                  <w:r>
                    <w:rPr>
                      <w:rFonts w:ascii="仿宋_GB2312" w:hAnsi="仿宋_GB2312" w:cs="仿宋_GB2312" w:eastAsia="仿宋_GB2312"/>
                      <w:sz w:val="20"/>
                    </w:rPr>
                    <w:t>MYSQL</w:t>
                  </w:r>
                </w:p>
              </w:tc>
              <w:tc>
                <w:tcPr>
                  <w:tcW w:type="dxa" w:w="328"/>
                  <w:vMerge/>
                  <w:tcBorders>
                    <w:top w:val="none" w:color="000000" w:sz="4"/>
                    <w:left w:val="none" w:color="000000" w:sz="4"/>
                    <w:bottom w:val="none" w:color="000000" w:sz="4"/>
                    <w:right w:val="single" w:color="000000" w:sz="4"/>
                  </w:tcBorders>
                </w:tcPr>
                <w:p/>
              </w:tc>
              <w:tc>
                <w:tcPr>
                  <w:tcW w:type="dxa" w:w="464"/>
                  <w:vMerge/>
                  <w:tcBorders>
                    <w:top w:val="none" w:color="000000" w:sz="4"/>
                    <w:left w:val="none" w:color="000000" w:sz="4"/>
                    <w:bottom w:val="none" w:color="000000" w:sz="4"/>
                    <w:right w:val="single" w:color="000000" w:sz="4"/>
                  </w:tcBorders>
                </w:tcPr>
                <w:p/>
              </w:tc>
              <w:tc>
                <w:tcPr>
                  <w:tcW w:type="dxa" w:w="1039"/>
                  <w:vMerge/>
                  <w:tcBorders>
                    <w:top w:val="none" w:color="000000" w:sz="4"/>
                    <w:left w:val="none" w:color="000000" w:sz="4"/>
                    <w:bottom w:val="none" w:color="000000" w:sz="4"/>
                    <w:right w:val="single" w:color="000000" w:sz="4"/>
                  </w:tcBorders>
                </w:tcPr>
                <w:p/>
              </w:tc>
            </w:tr>
            <w:tr>
              <w:tc>
                <w:tcPr>
                  <w:tcW w:type="dxa" w:w="3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28</w:t>
                  </w:r>
                </w:p>
              </w:tc>
              <w:tc>
                <w:tcPr>
                  <w:tcW w:type="dxa" w:w="3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both"/>
                  </w:pPr>
                  <w:r>
                    <w:rPr>
                      <w:rFonts w:ascii="仿宋_GB2312" w:hAnsi="仿宋_GB2312" w:cs="仿宋_GB2312" w:eastAsia="仿宋_GB2312"/>
                      <w:sz w:val="20"/>
                    </w:rPr>
                    <w:t xml:space="preserve">  </w:t>
                  </w:r>
                  <w:r>
                    <w:rPr>
                      <w:rFonts w:ascii="仿宋_GB2312" w:hAnsi="仿宋_GB2312" w:cs="仿宋_GB2312" w:eastAsia="仿宋_GB2312"/>
                      <w:sz w:val="20"/>
                    </w:rPr>
                    <w:t>MYSQL</w:t>
                  </w:r>
                </w:p>
              </w:tc>
              <w:tc>
                <w:tcPr>
                  <w:tcW w:type="dxa" w:w="328"/>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集群</w:t>
                  </w:r>
                </w:p>
                <w:p>
                  <w:pPr>
                    <w:pStyle w:val="null3"/>
                    <w:ind w:left="105" w:right="-15"/>
                    <w:jc w:val="center"/>
                  </w:pPr>
                </w:p>
              </w:tc>
              <w:tc>
                <w:tcPr>
                  <w:tcW w:type="dxa" w:w="464"/>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Mysql5.7</w:t>
                  </w:r>
                </w:p>
              </w:tc>
              <w:tc>
                <w:tcPr>
                  <w:tcW w:type="dxa" w:w="1039"/>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政府采购</w:t>
                  </w:r>
                </w:p>
              </w:tc>
            </w:tr>
            <w:tr>
              <w:tc>
                <w:tcPr>
                  <w:tcW w:type="dxa" w:w="3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29</w:t>
                  </w:r>
                </w:p>
              </w:tc>
              <w:tc>
                <w:tcPr>
                  <w:tcW w:type="dxa" w:w="3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both"/>
                  </w:pPr>
                  <w:r>
                    <w:rPr>
                      <w:rFonts w:ascii="仿宋_GB2312" w:hAnsi="仿宋_GB2312" w:cs="仿宋_GB2312" w:eastAsia="仿宋_GB2312"/>
                      <w:sz w:val="20"/>
                    </w:rPr>
                    <w:t xml:space="preserve">  </w:t>
                  </w:r>
                  <w:r>
                    <w:rPr>
                      <w:rFonts w:ascii="仿宋_GB2312" w:hAnsi="仿宋_GB2312" w:cs="仿宋_GB2312" w:eastAsia="仿宋_GB2312"/>
                      <w:sz w:val="20"/>
                    </w:rPr>
                    <w:t>MYSQL</w:t>
                  </w:r>
                </w:p>
              </w:tc>
              <w:tc>
                <w:tcPr>
                  <w:tcW w:type="dxa" w:w="328"/>
                  <w:vMerge/>
                  <w:tcBorders>
                    <w:top w:val="none" w:color="000000" w:sz="4"/>
                    <w:left w:val="none" w:color="000000" w:sz="4"/>
                    <w:bottom w:val="none" w:color="000000" w:sz="4"/>
                    <w:right w:val="single" w:color="000000" w:sz="4"/>
                  </w:tcBorders>
                </w:tcPr>
                <w:p/>
              </w:tc>
              <w:tc>
                <w:tcPr>
                  <w:tcW w:type="dxa" w:w="464"/>
                  <w:vMerge/>
                  <w:tcBorders>
                    <w:top w:val="none" w:color="000000" w:sz="4"/>
                    <w:left w:val="none" w:color="000000" w:sz="4"/>
                    <w:bottom w:val="none" w:color="000000" w:sz="4"/>
                    <w:right w:val="single" w:color="000000" w:sz="4"/>
                  </w:tcBorders>
                </w:tcPr>
                <w:p/>
              </w:tc>
              <w:tc>
                <w:tcPr>
                  <w:tcW w:type="dxa" w:w="1039"/>
                  <w:vMerge/>
                  <w:tcBorders>
                    <w:top w:val="none" w:color="000000" w:sz="4"/>
                    <w:left w:val="none" w:color="000000" w:sz="4"/>
                    <w:bottom w:val="none" w:color="000000" w:sz="4"/>
                    <w:right w:val="single" w:color="000000" w:sz="4"/>
                  </w:tcBorders>
                </w:tcPr>
                <w:p/>
              </w:tc>
            </w:tr>
            <w:tr>
              <w:tc>
                <w:tcPr>
                  <w:tcW w:type="dxa" w:w="3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30</w:t>
                  </w:r>
                </w:p>
              </w:tc>
              <w:tc>
                <w:tcPr>
                  <w:tcW w:type="dxa" w:w="3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MSSQL</w:t>
                  </w:r>
                </w:p>
              </w:tc>
              <w:tc>
                <w:tcPr>
                  <w:tcW w:type="dxa" w:w="3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单机</w:t>
                  </w:r>
                </w:p>
              </w:tc>
              <w:tc>
                <w:tcPr>
                  <w:tcW w:type="dxa" w:w="4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Sqlserver</w:t>
                  </w:r>
                </w:p>
              </w:tc>
              <w:tc>
                <w:tcPr>
                  <w:tcW w:type="dxa" w:w="10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预算执行</w:t>
                  </w:r>
                </w:p>
              </w:tc>
            </w:tr>
            <w:tr>
              <w:tc>
                <w:tcPr>
                  <w:tcW w:type="dxa" w:w="3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31</w:t>
                  </w:r>
                </w:p>
              </w:tc>
              <w:tc>
                <w:tcPr>
                  <w:tcW w:type="dxa" w:w="3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MSSQL</w:t>
                  </w:r>
                </w:p>
              </w:tc>
              <w:tc>
                <w:tcPr>
                  <w:tcW w:type="dxa" w:w="3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单机</w:t>
                  </w:r>
                </w:p>
              </w:tc>
              <w:tc>
                <w:tcPr>
                  <w:tcW w:type="dxa" w:w="4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Sqlserver</w:t>
                  </w:r>
                </w:p>
              </w:tc>
              <w:tc>
                <w:tcPr>
                  <w:tcW w:type="dxa" w:w="10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预算执行</w:t>
                  </w:r>
                </w:p>
              </w:tc>
            </w:tr>
            <w:tr>
              <w:tc>
                <w:tcPr>
                  <w:tcW w:type="dxa" w:w="3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32</w:t>
                  </w:r>
                </w:p>
              </w:tc>
              <w:tc>
                <w:tcPr>
                  <w:tcW w:type="dxa" w:w="3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MSSQL</w:t>
                  </w:r>
                </w:p>
              </w:tc>
              <w:tc>
                <w:tcPr>
                  <w:tcW w:type="dxa" w:w="3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单机</w:t>
                  </w:r>
                </w:p>
              </w:tc>
              <w:tc>
                <w:tcPr>
                  <w:tcW w:type="dxa" w:w="4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Sqlserver</w:t>
                  </w:r>
                </w:p>
              </w:tc>
              <w:tc>
                <w:tcPr>
                  <w:tcW w:type="dxa" w:w="10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预算执行</w:t>
                  </w:r>
                </w:p>
              </w:tc>
            </w:tr>
            <w:tr>
              <w:tc>
                <w:tcPr>
                  <w:tcW w:type="dxa" w:w="3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33</w:t>
                  </w:r>
                </w:p>
              </w:tc>
              <w:tc>
                <w:tcPr>
                  <w:tcW w:type="dxa" w:w="3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MSSQL</w:t>
                  </w:r>
                </w:p>
              </w:tc>
              <w:tc>
                <w:tcPr>
                  <w:tcW w:type="dxa" w:w="3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单机</w:t>
                  </w:r>
                </w:p>
              </w:tc>
              <w:tc>
                <w:tcPr>
                  <w:tcW w:type="dxa" w:w="4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Sqlserver</w:t>
                  </w:r>
                </w:p>
              </w:tc>
              <w:tc>
                <w:tcPr>
                  <w:tcW w:type="dxa" w:w="10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预算执行</w:t>
                  </w:r>
                </w:p>
              </w:tc>
            </w:tr>
            <w:tr>
              <w:tc>
                <w:tcPr>
                  <w:tcW w:type="dxa" w:w="3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34</w:t>
                  </w:r>
                </w:p>
              </w:tc>
              <w:tc>
                <w:tcPr>
                  <w:tcW w:type="dxa" w:w="3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FSPJ</w:t>
                  </w:r>
                </w:p>
              </w:tc>
              <w:tc>
                <w:tcPr>
                  <w:tcW w:type="dxa" w:w="3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单机</w:t>
                  </w:r>
                </w:p>
              </w:tc>
              <w:tc>
                <w:tcPr>
                  <w:tcW w:type="dxa" w:w="4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ORACLE</w:t>
                  </w:r>
                  <w:r>
                    <w:rPr>
                      <w:rFonts w:ascii="仿宋_GB2312" w:hAnsi="仿宋_GB2312" w:cs="仿宋_GB2312" w:eastAsia="仿宋_GB2312"/>
                      <w:sz w:val="20"/>
                    </w:rPr>
                    <w:t xml:space="preserve"> </w:t>
                  </w:r>
                  <w:r>
                    <w:rPr>
                      <w:rFonts w:ascii="仿宋_GB2312" w:hAnsi="仿宋_GB2312" w:cs="仿宋_GB2312" w:eastAsia="仿宋_GB2312"/>
                      <w:sz w:val="20"/>
                    </w:rPr>
                    <w:t>1</w:t>
                  </w:r>
                  <w:r>
                    <w:rPr>
                      <w:rFonts w:ascii="仿宋_GB2312" w:hAnsi="仿宋_GB2312" w:cs="仿宋_GB2312" w:eastAsia="仿宋_GB2312"/>
                      <w:sz w:val="20"/>
                    </w:rPr>
                    <w:t>1</w:t>
                  </w:r>
                </w:p>
              </w:tc>
              <w:tc>
                <w:tcPr>
                  <w:tcW w:type="dxa" w:w="10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right="-15"/>
                    <w:jc w:val="center"/>
                  </w:pPr>
                  <w:r>
                    <w:rPr>
                      <w:rFonts w:ascii="仿宋_GB2312" w:hAnsi="仿宋_GB2312" w:cs="仿宋_GB2312" w:eastAsia="仿宋_GB2312"/>
                      <w:sz w:val="20"/>
                    </w:rPr>
                    <w:t>非税票据</w:t>
                  </w:r>
                </w:p>
              </w:tc>
            </w:tr>
            <w:tr>
              <w:tc>
                <w:tcPr>
                  <w:tcW w:type="dxa" w:w="3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35</w:t>
                  </w:r>
                </w:p>
              </w:tc>
              <w:tc>
                <w:tcPr>
                  <w:tcW w:type="dxa" w:w="3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CBXT</w:t>
                  </w:r>
                </w:p>
              </w:tc>
              <w:tc>
                <w:tcPr>
                  <w:tcW w:type="dxa" w:w="3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单机</w:t>
                  </w:r>
                </w:p>
              </w:tc>
              <w:tc>
                <w:tcPr>
                  <w:tcW w:type="dxa" w:w="4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Oracle11g</w:t>
                  </w:r>
                </w:p>
              </w:tc>
              <w:tc>
                <w:tcPr>
                  <w:tcW w:type="dxa" w:w="10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政府财务报告</w:t>
                  </w:r>
                </w:p>
              </w:tc>
            </w:tr>
            <w:tr>
              <w:tc>
                <w:tcPr>
                  <w:tcW w:type="dxa" w:w="3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36</w:t>
                  </w:r>
                </w:p>
              </w:tc>
              <w:tc>
                <w:tcPr>
                  <w:tcW w:type="dxa" w:w="3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ZCGL</w:t>
                  </w:r>
                </w:p>
              </w:tc>
              <w:tc>
                <w:tcPr>
                  <w:tcW w:type="dxa" w:w="3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单机</w:t>
                  </w:r>
                </w:p>
              </w:tc>
              <w:tc>
                <w:tcPr>
                  <w:tcW w:type="dxa" w:w="4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Dm8</w:t>
                  </w:r>
                </w:p>
              </w:tc>
              <w:tc>
                <w:tcPr>
                  <w:tcW w:type="dxa" w:w="10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资产管理系统集群</w:t>
                  </w:r>
                  <w:r>
                    <w:rPr>
                      <w:rFonts w:ascii="仿宋_GB2312" w:hAnsi="仿宋_GB2312" w:cs="仿宋_GB2312" w:eastAsia="仿宋_GB2312"/>
                      <w:sz w:val="20"/>
                    </w:rPr>
                    <w:t>1备库</w:t>
                  </w:r>
                </w:p>
              </w:tc>
            </w:tr>
            <w:tr>
              <w:tc>
                <w:tcPr>
                  <w:tcW w:type="dxa" w:w="3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37</w:t>
                  </w:r>
                </w:p>
              </w:tc>
              <w:tc>
                <w:tcPr>
                  <w:tcW w:type="dxa" w:w="3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ZCGL</w:t>
                  </w:r>
                </w:p>
              </w:tc>
              <w:tc>
                <w:tcPr>
                  <w:tcW w:type="dxa" w:w="3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单机</w:t>
                  </w:r>
                </w:p>
              </w:tc>
              <w:tc>
                <w:tcPr>
                  <w:tcW w:type="dxa" w:w="4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Dm8</w:t>
                  </w:r>
                </w:p>
              </w:tc>
              <w:tc>
                <w:tcPr>
                  <w:tcW w:type="dxa" w:w="10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5"/>
                    <w:jc w:val="center"/>
                  </w:pPr>
                  <w:r>
                    <w:rPr>
                      <w:rFonts w:ascii="仿宋_GB2312" w:hAnsi="仿宋_GB2312" w:cs="仿宋_GB2312" w:eastAsia="仿宋_GB2312"/>
                      <w:sz w:val="20"/>
                    </w:rPr>
                    <w:t>资产管理系统集群</w:t>
                  </w:r>
                  <w:r>
                    <w:rPr>
                      <w:rFonts w:ascii="仿宋_GB2312" w:hAnsi="仿宋_GB2312" w:cs="仿宋_GB2312" w:eastAsia="仿宋_GB2312"/>
                      <w:sz w:val="20"/>
                    </w:rPr>
                    <w:t>2备库</w:t>
                  </w:r>
                </w:p>
              </w:tc>
            </w:tr>
          </w:tbl>
          <w:p>
            <w:pPr>
              <w:pStyle w:val="null3"/>
            </w:pPr>
            <w:r>
              <w:rPr>
                <w:rFonts w:ascii="仿宋_GB2312" w:hAnsi="仿宋_GB2312" w:cs="仿宋_GB2312" w:eastAsia="仿宋_GB2312"/>
                <w:sz w:val="20"/>
              </w:rPr>
              <w:t>2.2026</w:t>
            </w:r>
            <w:r>
              <w:rPr>
                <w:rFonts w:ascii="仿宋_GB2312" w:hAnsi="仿宋_GB2312" w:cs="仿宋_GB2312" w:eastAsia="仿宋_GB2312"/>
                <w:sz w:val="20"/>
              </w:rPr>
              <w:t>年厅中间件维保服务项目</w:t>
            </w:r>
          </w:p>
          <w:p>
            <w:pPr>
              <w:pStyle w:val="null3"/>
              <w:jc w:val="center"/>
            </w:pPr>
            <w:r>
              <w:rPr>
                <w:rFonts w:ascii="仿宋_GB2312" w:hAnsi="仿宋_GB2312" w:cs="仿宋_GB2312" w:eastAsia="仿宋_GB2312"/>
                <w:sz w:val="20"/>
                <w:b/>
              </w:rPr>
              <w:t>2026</w:t>
            </w:r>
            <w:r>
              <w:rPr>
                <w:rFonts w:ascii="仿宋_GB2312" w:hAnsi="仿宋_GB2312" w:cs="仿宋_GB2312" w:eastAsia="仿宋_GB2312"/>
                <w:sz w:val="20"/>
                <w:b/>
              </w:rPr>
              <w:t>年</w:t>
            </w:r>
            <w:r>
              <w:rPr>
                <w:rFonts w:ascii="仿宋_GB2312" w:hAnsi="仿宋_GB2312" w:cs="仿宋_GB2312" w:eastAsia="仿宋_GB2312"/>
                <w:sz w:val="20"/>
                <w:b/>
              </w:rPr>
              <w:t>厅</w:t>
            </w:r>
            <w:r>
              <w:rPr>
                <w:rFonts w:ascii="仿宋_GB2312" w:hAnsi="仿宋_GB2312" w:cs="仿宋_GB2312" w:eastAsia="仿宋_GB2312"/>
                <w:sz w:val="20"/>
                <w:b/>
              </w:rPr>
              <w:t>中间件维保服务项目明细表</w:t>
            </w:r>
          </w:p>
          <w:tbl>
            <w:tblPr>
              <w:tblInd w:type="dxa" w:w="135"/>
              <w:tblBorders>
                <w:top w:val="none" w:color="000000" w:sz="4"/>
                <w:left w:val="none" w:color="000000" w:sz="4"/>
                <w:bottom w:val="none" w:color="000000" w:sz="4"/>
                <w:right w:val="none" w:color="000000" w:sz="4"/>
                <w:insideH w:val="none"/>
                <w:insideV w:val="none"/>
              </w:tblBorders>
            </w:tblPr>
            <w:tblGrid>
              <w:gridCol w:w="167"/>
              <w:gridCol w:w="446"/>
              <w:gridCol w:w="241"/>
              <w:gridCol w:w="385"/>
              <w:gridCol w:w="376"/>
              <w:gridCol w:w="344"/>
              <w:gridCol w:w="344"/>
              <w:gridCol w:w="237"/>
            </w:tblGrid>
            <w:tr>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4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项目名称</w:t>
                  </w:r>
                </w:p>
              </w:tc>
              <w:tc>
                <w:tcPr>
                  <w:tcW w:type="dxa" w:w="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部署架构</w:t>
                  </w:r>
                </w:p>
              </w:tc>
              <w:tc>
                <w:tcPr>
                  <w:tcW w:type="dxa" w:w="3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操作系统类型</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中间件类型</w:t>
                  </w:r>
                </w:p>
              </w:tc>
              <w:tc>
                <w:tcPr>
                  <w:tcW w:type="dxa" w:w="3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中间件版本</w:t>
                  </w:r>
                </w:p>
              </w:tc>
              <w:tc>
                <w:tcPr>
                  <w:tcW w:type="dxa" w:w="3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shd w:fill="FFFFFF" w:val="clear"/>
                    </w:rPr>
                    <w:t>JDK</w:t>
                  </w:r>
                  <w:r>
                    <w:rPr>
                      <w:rFonts w:ascii="仿宋_GB2312" w:hAnsi="仿宋_GB2312" w:cs="仿宋_GB2312" w:eastAsia="仿宋_GB2312"/>
                      <w:sz w:val="20"/>
                      <w:shd w:fill="FFFFFF" w:val="clear"/>
                    </w:rPr>
                    <w:t>版本</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套数</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财政直达资金动态监控平台</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B/S</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w:t>
                  </w:r>
                  <w:r>
                    <w:rPr>
                      <w:rFonts w:ascii="仿宋_GB2312" w:hAnsi="仿宋_GB2312" w:cs="仿宋_GB2312" w:eastAsia="仿宋_GB2312"/>
                      <w:sz w:val="20"/>
                    </w:rPr>
                    <w:t>entOS 6</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weblogic</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10.3.6</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JDK1.6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电子凭证库</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B/S</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w:t>
                  </w:r>
                  <w:r>
                    <w:rPr>
                      <w:rFonts w:ascii="仿宋_GB2312" w:hAnsi="仿宋_GB2312" w:cs="仿宋_GB2312" w:eastAsia="仿宋_GB2312"/>
                      <w:sz w:val="20"/>
                    </w:rPr>
                    <w:t>entOS 6</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weblogic</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10.3.6</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JDK1.6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电子签章管理系统</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B/S</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w:t>
                  </w:r>
                  <w:r>
                    <w:rPr>
                      <w:rFonts w:ascii="仿宋_GB2312" w:hAnsi="仿宋_GB2312" w:cs="仿宋_GB2312" w:eastAsia="仿宋_GB2312"/>
                      <w:sz w:val="20"/>
                    </w:rPr>
                    <w:t>entOS 6</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weblogic</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10.3.6</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JDK1.6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陕西财政行政信息化管理系统（</w:t>
                  </w:r>
                  <w:r>
                    <w:rPr>
                      <w:rFonts w:ascii="仿宋_GB2312" w:hAnsi="仿宋_GB2312" w:cs="仿宋_GB2312" w:eastAsia="仿宋_GB2312"/>
                      <w:sz w:val="20"/>
                    </w:rPr>
                    <w:t>OA</w:t>
                  </w:r>
                  <w:r>
                    <w:rPr>
                      <w:rFonts w:ascii="仿宋_GB2312" w:hAnsi="仿宋_GB2312" w:cs="仿宋_GB2312" w:eastAsia="仿宋_GB2312"/>
                      <w:sz w:val="20"/>
                    </w:rPr>
                    <w:t>系统）</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B/S</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中标麒麟</w:t>
                  </w:r>
                  <w:r>
                    <w:rPr>
                      <w:rFonts w:ascii="仿宋_GB2312" w:hAnsi="仿宋_GB2312" w:cs="仿宋_GB2312" w:eastAsia="仿宋_GB2312"/>
                      <w:sz w:val="20"/>
                    </w:rPr>
                    <w:t>v4</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tongweb</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7.0.4.1</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1.8.0_181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财政云门户</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B/S</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CentOS 7.2</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tomcat</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8.5.72</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1.7.0_51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陕西省财政厅绩效考核系统</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B/S</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统信</w:t>
                  </w:r>
                  <w:r>
                    <w:rPr>
                      <w:rFonts w:ascii="仿宋_GB2312" w:hAnsi="仿宋_GB2312" w:cs="仿宋_GB2312" w:eastAsia="仿宋_GB2312"/>
                      <w:sz w:val="20"/>
                    </w:rPr>
                    <w:t xml:space="preserve"> V20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tongweb</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7.0.4.6</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1.8.0_212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陕西省会计管理信息系统</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B/S</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CentOS 7.2</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weblogic</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12.2.0.4</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JDK1.8</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r>
            <w:tr>
              <w:tc>
                <w:tcPr>
                  <w:tcW w:type="dxa" w:w="1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陕西财政惠民补贴资金</w:t>
                  </w:r>
                  <w:r>
                    <w:rPr>
                      <w:rFonts w:ascii="仿宋_GB2312" w:hAnsi="仿宋_GB2312" w:cs="仿宋_GB2312" w:eastAsia="仿宋_GB2312"/>
                      <w:sz w:val="20"/>
                    </w:rPr>
                    <w:t>”一卡通“兑付系统</w:t>
                  </w:r>
                </w:p>
              </w:tc>
              <w:tc>
                <w:tcPr>
                  <w:tcW w:type="dxa" w:w="2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B/S</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统信</w:t>
                  </w:r>
                  <w:r>
                    <w:rPr>
                      <w:rFonts w:ascii="仿宋_GB2312" w:hAnsi="仿宋_GB2312" w:cs="仿宋_GB2312" w:eastAsia="仿宋_GB2312"/>
                      <w:sz w:val="20"/>
                    </w:rPr>
                    <w:t>UOS V20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tongweb</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r>
            <w:tr>
              <w:tc>
                <w:tcPr>
                  <w:tcW w:type="dxa" w:w="167"/>
                  <w:vMerge/>
                  <w:tcBorders>
                    <w:top w:val="none" w:color="000000" w:sz="4"/>
                    <w:left w:val="single" w:color="000000" w:sz="4"/>
                    <w:bottom w:val="single" w:color="000000" w:sz="4"/>
                    <w:right w:val="single" w:color="000000" w:sz="4"/>
                  </w:tcBorders>
                </w:tcPr>
                <w:p/>
              </w:tc>
              <w:tc>
                <w:tcPr>
                  <w:tcW w:type="dxa" w:w="446"/>
                  <w:vMerge/>
                  <w:tcBorders>
                    <w:top w:val="none" w:color="000000" w:sz="4"/>
                    <w:left w:val="none" w:color="000000" w:sz="4"/>
                    <w:bottom w:val="single" w:color="000000" w:sz="4"/>
                    <w:right w:val="single" w:color="000000" w:sz="4"/>
                  </w:tcBorders>
                </w:tcPr>
                <w:p/>
              </w:tc>
              <w:tc>
                <w:tcPr>
                  <w:tcW w:type="dxa" w:w="241"/>
                  <w:vMerge/>
                  <w:tcBorders>
                    <w:top w:val="none" w:color="000000" w:sz="4"/>
                    <w:left w:val="none" w:color="000000" w:sz="4"/>
                    <w:bottom w:val="single" w:color="000000" w:sz="4"/>
                    <w:right w:val="single" w:color="000000" w:sz="4"/>
                  </w:tcBorders>
                </w:tcP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CentOS 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ibmmq</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陕西省财政惠民补贴</w:t>
                  </w:r>
                  <w:r>
                    <w:rPr>
                      <w:rFonts w:ascii="仿宋_GB2312" w:hAnsi="仿宋_GB2312" w:cs="仿宋_GB2312" w:eastAsia="仿宋_GB2312"/>
                      <w:sz w:val="20"/>
                    </w:rPr>
                    <w:t>“一卡通”公众服务平台</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w:t>
                  </w:r>
                  <w:r>
                    <w:rPr>
                      <w:rFonts w:ascii="仿宋_GB2312" w:hAnsi="仿宋_GB2312" w:cs="仿宋_GB2312" w:eastAsia="仿宋_GB2312"/>
                      <w:sz w:val="20"/>
                    </w:rPr>
                    <w:t>/S</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w:t>
                  </w:r>
                  <w:r>
                    <w:rPr>
                      <w:rFonts w:ascii="仿宋_GB2312" w:hAnsi="仿宋_GB2312" w:cs="仿宋_GB2312" w:eastAsia="仿宋_GB2312"/>
                      <w:sz w:val="20"/>
                    </w:rPr>
                    <w:t>entOS 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tomcat</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政府债券项目穿透式监测系统</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B/S</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CentOS 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weblogic</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10.3.6</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地方政府性债务管理系统</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B/S</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统信</w:t>
                  </w:r>
                  <w:r>
                    <w:rPr>
                      <w:rFonts w:ascii="仿宋_GB2312" w:hAnsi="仿宋_GB2312" w:cs="仿宋_GB2312" w:eastAsia="仿宋_GB2312"/>
                      <w:sz w:val="20"/>
                    </w:rPr>
                    <w:t>UOS V20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tongweb</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陕西省政府采购系统</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B/S</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CentOS 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tomcat</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9.0.59</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陕西省非税暨票据管理一体化平台（非税和电子票据系统）</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B/S</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CentOS 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weblogic</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10.3.6</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jdk1.8</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陕西省社会保障资金信息管理系统</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B/S</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CentOS 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weblogic</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10.3.6</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jdk1.6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财政信息化内控管理服务系统</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B/S</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中标麒麟</w:t>
                  </w:r>
                  <w:r>
                    <w:rPr>
                      <w:rFonts w:ascii="仿宋_GB2312" w:hAnsi="仿宋_GB2312" w:cs="仿宋_GB2312" w:eastAsia="仿宋_GB2312"/>
                      <w:sz w:val="20"/>
                    </w:rPr>
                    <w:t>v4</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tongweb</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7.0.4.1</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1.8.0_181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档案管理系统</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B/S</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中标麒麟</w:t>
                  </w:r>
                  <w:r>
                    <w:rPr>
                      <w:rFonts w:ascii="仿宋_GB2312" w:hAnsi="仿宋_GB2312" w:cs="仿宋_GB2312" w:eastAsia="仿宋_GB2312"/>
                      <w:sz w:val="20"/>
                    </w:rPr>
                    <w:t>v4</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tongweb</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7.0.4.1</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1.8.0_181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数科轻阅读</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B/S</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中标麒麟</w:t>
                  </w:r>
                  <w:r>
                    <w:rPr>
                      <w:rFonts w:ascii="仿宋_GB2312" w:hAnsi="仿宋_GB2312" w:cs="仿宋_GB2312" w:eastAsia="仿宋_GB2312"/>
                      <w:sz w:val="20"/>
                    </w:rPr>
                    <w:t>v4</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tongweb</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7.0.4.1</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1.8.0_181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数科版式转换</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B/S</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中标麒麟</w:t>
                  </w:r>
                  <w:r>
                    <w:rPr>
                      <w:rFonts w:ascii="仿宋_GB2312" w:hAnsi="仿宋_GB2312" w:cs="仿宋_GB2312" w:eastAsia="仿宋_GB2312"/>
                      <w:sz w:val="20"/>
                    </w:rPr>
                    <w:t>v4</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tongweb</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7.0.4.1</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1.8.0_181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政府财务报告系统</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B/S</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统信</w:t>
                  </w:r>
                  <w:r>
                    <w:rPr>
                      <w:rFonts w:ascii="仿宋_GB2312" w:hAnsi="仿宋_GB2312" w:cs="仿宋_GB2312" w:eastAsia="仿宋_GB2312"/>
                      <w:sz w:val="20"/>
                    </w:rPr>
                    <w:t>UOS V20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tongweb</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社保专户拨款系统</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B/S</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统信</w:t>
                  </w:r>
                  <w:r>
                    <w:rPr>
                      <w:rFonts w:ascii="仿宋_GB2312" w:hAnsi="仿宋_GB2312" w:cs="仿宋_GB2312" w:eastAsia="仿宋_GB2312"/>
                      <w:sz w:val="20"/>
                    </w:rPr>
                    <w:t>UOS V20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tongweb</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财政预算管理一体化系统</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B/S</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统信</w:t>
                  </w:r>
                  <w:r>
                    <w:rPr>
                      <w:rFonts w:ascii="仿宋_GB2312" w:hAnsi="仿宋_GB2312" w:cs="仿宋_GB2312" w:eastAsia="仿宋_GB2312"/>
                      <w:sz w:val="20"/>
                    </w:rPr>
                    <w:t>UOS V20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tongweb</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陕西省财政厅预算单位前置管理系统</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B/S</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统信</w:t>
                  </w:r>
                  <w:r>
                    <w:rPr>
                      <w:rFonts w:ascii="仿宋_GB2312" w:hAnsi="仿宋_GB2312" w:cs="仿宋_GB2312" w:eastAsia="仿宋_GB2312"/>
                      <w:sz w:val="20"/>
                    </w:rPr>
                    <w:t>UOS V20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tongweb</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电子凭证库</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B/S</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w:t>
                  </w:r>
                  <w:r>
                    <w:rPr>
                      <w:rFonts w:ascii="仿宋_GB2312" w:hAnsi="仿宋_GB2312" w:cs="仿宋_GB2312" w:eastAsia="仿宋_GB2312"/>
                      <w:sz w:val="20"/>
                    </w:rPr>
                    <w:t>entOS 6</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tonglink/q</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JDK1.6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bl>
          <w:p>
            <w:pPr>
              <w:pStyle w:val="null3"/>
            </w:pPr>
            <w:r>
              <w:rPr>
                <w:rFonts w:ascii="仿宋_GB2312" w:hAnsi="仿宋_GB2312" w:cs="仿宋_GB2312" w:eastAsia="仿宋_GB2312"/>
                <w:sz w:val="20"/>
              </w:rPr>
              <w:t>五、采购项目的服务标准、期限、效率要求</w:t>
            </w:r>
          </w:p>
          <w:p>
            <w:pPr>
              <w:pStyle w:val="null3"/>
              <w:jc w:val="both"/>
            </w:pPr>
            <w:r>
              <w:rPr>
                <w:rFonts w:ascii="仿宋_GB2312" w:hAnsi="仿宋_GB2312" w:cs="仿宋_GB2312" w:eastAsia="仿宋_GB2312"/>
                <w:sz w:val="20"/>
              </w:rPr>
              <w:t>指派有丰富经验的工程师</w:t>
            </w:r>
            <w:r>
              <w:rPr>
                <w:rFonts w:ascii="仿宋_GB2312" w:hAnsi="仿宋_GB2312" w:cs="仿宋_GB2312" w:eastAsia="仿宋_GB2312"/>
                <w:sz w:val="20"/>
              </w:rPr>
              <w:t>5*8</w:t>
            </w:r>
            <w:r>
              <w:rPr>
                <w:rFonts w:ascii="仿宋_GB2312" w:hAnsi="仿宋_GB2312" w:cs="仿宋_GB2312" w:eastAsia="仿宋_GB2312"/>
                <w:sz w:val="20"/>
              </w:rPr>
              <w:t>小时数据库驻场服务，数据库运维工程师提供每季度一次的性能分析优化服务</w:t>
            </w:r>
            <w:r>
              <w:rPr>
                <w:rFonts w:ascii="仿宋_GB2312" w:hAnsi="仿宋_GB2312" w:cs="仿宋_GB2312" w:eastAsia="仿宋_GB2312"/>
                <w:sz w:val="20"/>
              </w:rPr>
              <w:t>,</w:t>
            </w:r>
            <w:r>
              <w:rPr>
                <w:rFonts w:ascii="仿宋_GB2312" w:hAnsi="仿宋_GB2312" w:cs="仿宋_GB2312" w:eastAsia="仿宋_GB2312"/>
                <w:sz w:val="20"/>
              </w:rPr>
              <w:t>数据库维护主要工作为日常巡检、故障处理、性能检测、技术支持保障工作，重大节假日系统护航服务</w:t>
            </w:r>
            <w:r>
              <w:rPr>
                <w:rFonts w:ascii="仿宋_GB2312" w:hAnsi="仿宋_GB2312" w:cs="仿宋_GB2312" w:eastAsia="仿宋_GB2312"/>
                <w:sz w:val="20"/>
              </w:rPr>
              <w:t>;</w:t>
            </w:r>
            <w:r>
              <w:rPr>
                <w:rFonts w:ascii="仿宋_GB2312" w:hAnsi="仿宋_GB2312" w:cs="仿宋_GB2312" w:eastAsia="仿宋_GB2312"/>
                <w:sz w:val="20"/>
              </w:rPr>
              <w:t>提供中间件运维服务支持，提供每月一次的各业务系统中间件巡检服务，提供巡检报告，同时提供业务系统中间件故障处理、漏洞补丁和安装部署等专项服务。</w:t>
            </w:r>
          </w:p>
          <w:p>
            <w:pPr>
              <w:pStyle w:val="null3"/>
            </w:pPr>
            <w:r>
              <w:rPr>
                <w:rFonts w:ascii="仿宋_GB2312" w:hAnsi="仿宋_GB2312" w:cs="仿宋_GB2312" w:eastAsia="仿宋_GB2312"/>
                <w:sz w:val="20"/>
              </w:rPr>
              <w:t>1.</w:t>
            </w:r>
            <w:r>
              <w:rPr>
                <w:rFonts w:ascii="仿宋_GB2312" w:hAnsi="仿宋_GB2312" w:cs="仿宋_GB2312" w:eastAsia="仿宋_GB2312"/>
                <w:sz w:val="20"/>
              </w:rPr>
              <w:t>保障数据库及中间件系统正常运行。</w:t>
            </w:r>
          </w:p>
          <w:p>
            <w:pPr>
              <w:pStyle w:val="null3"/>
            </w:pPr>
            <w:r>
              <w:rPr>
                <w:rFonts w:ascii="仿宋_GB2312" w:hAnsi="仿宋_GB2312" w:cs="仿宋_GB2312" w:eastAsia="仿宋_GB2312"/>
                <w:sz w:val="20"/>
              </w:rPr>
              <w:t>1.1</w:t>
            </w:r>
            <w:r>
              <w:rPr>
                <w:rFonts w:ascii="仿宋_GB2312" w:hAnsi="仿宋_GB2312" w:cs="仿宋_GB2312" w:eastAsia="仿宋_GB2312"/>
                <w:sz w:val="20"/>
              </w:rPr>
              <w:t>数据库</w:t>
            </w:r>
            <w:r>
              <w:rPr>
                <w:rFonts w:ascii="仿宋_GB2312" w:hAnsi="仿宋_GB2312" w:cs="仿宋_GB2312" w:eastAsia="仿宋_GB2312"/>
                <w:sz w:val="20"/>
              </w:rPr>
              <w:t>例行巡检，每日巡检报告。</w:t>
            </w:r>
          </w:p>
          <w:p>
            <w:pPr>
              <w:pStyle w:val="null3"/>
            </w:pPr>
            <w:r>
              <w:rPr>
                <w:rFonts w:ascii="仿宋_GB2312" w:hAnsi="仿宋_GB2312" w:cs="仿宋_GB2312" w:eastAsia="仿宋_GB2312"/>
                <w:sz w:val="20"/>
              </w:rPr>
              <w:t>1.2</w:t>
            </w:r>
            <w:r>
              <w:rPr>
                <w:rFonts w:ascii="仿宋_GB2312" w:hAnsi="仿宋_GB2312" w:cs="仿宋_GB2312" w:eastAsia="仿宋_GB2312"/>
                <w:sz w:val="20"/>
              </w:rPr>
              <w:t>协助数据库及中间件运维管理标准流程规范的制定。</w:t>
            </w:r>
          </w:p>
          <w:p>
            <w:pPr>
              <w:pStyle w:val="null3"/>
            </w:pPr>
            <w:r>
              <w:rPr>
                <w:rFonts w:ascii="仿宋_GB2312" w:hAnsi="仿宋_GB2312" w:cs="仿宋_GB2312" w:eastAsia="仿宋_GB2312"/>
                <w:sz w:val="20"/>
              </w:rPr>
              <w:t>1.3</w:t>
            </w:r>
            <w:r>
              <w:rPr>
                <w:rFonts w:ascii="仿宋_GB2312" w:hAnsi="仿宋_GB2312" w:cs="仿宋_GB2312" w:eastAsia="仿宋_GB2312"/>
                <w:sz w:val="20"/>
              </w:rPr>
              <w:t>协助陕西财政数据库及中间件管理规章制度的制定。</w:t>
            </w:r>
          </w:p>
          <w:p>
            <w:pPr>
              <w:pStyle w:val="null3"/>
            </w:pPr>
            <w:r>
              <w:rPr>
                <w:rFonts w:ascii="仿宋_GB2312" w:hAnsi="仿宋_GB2312" w:cs="仿宋_GB2312" w:eastAsia="仿宋_GB2312"/>
                <w:sz w:val="20"/>
              </w:rPr>
              <w:t>1.4</w:t>
            </w:r>
            <w:r>
              <w:rPr>
                <w:rFonts w:ascii="仿宋_GB2312" w:hAnsi="仿宋_GB2312" w:cs="仿宋_GB2312" w:eastAsia="仿宋_GB2312"/>
                <w:sz w:val="20"/>
              </w:rPr>
              <w:t>协助全省财政及省财政厅数据库、中间件及应用服务器架构设计、部署方案设计。</w:t>
            </w:r>
          </w:p>
          <w:p>
            <w:pPr>
              <w:pStyle w:val="null3"/>
            </w:pPr>
            <w:r>
              <w:rPr>
                <w:rFonts w:ascii="仿宋_GB2312" w:hAnsi="仿宋_GB2312" w:cs="仿宋_GB2312" w:eastAsia="仿宋_GB2312"/>
                <w:sz w:val="20"/>
              </w:rPr>
              <w:t>1.5</w:t>
            </w:r>
            <w:r>
              <w:rPr>
                <w:rFonts w:ascii="仿宋_GB2312" w:hAnsi="仿宋_GB2312" w:cs="仿宋_GB2312" w:eastAsia="仿宋_GB2312"/>
                <w:sz w:val="20"/>
              </w:rPr>
              <w:t>协助陕西省财政厅应用安全策略制定、远程异地备份恢复策略、基于应用支撑平台的同城容灾系统设计、陕西省全省财政应用系统安全应急预案。</w:t>
            </w:r>
          </w:p>
          <w:p>
            <w:pPr>
              <w:pStyle w:val="null3"/>
            </w:pPr>
            <w:r>
              <w:rPr>
                <w:rFonts w:ascii="仿宋_GB2312" w:hAnsi="仿宋_GB2312" w:cs="仿宋_GB2312" w:eastAsia="仿宋_GB2312"/>
                <w:sz w:val="20"/>
              </w:rPr>
              <w:t>1.6</w:t>
            </w:r>
            <w:r>
              <w:rPr>
                <w:rFonts w:ascii="仿宋_GB2312" w:hAnsi="仿宋_GB2312" w:cs="仿宋_GB2312" w:eastAsia="仿宋_GB2312"/>
                <w:sz w:val="20"/>
              </w:rPr>
              <w:t>配合进行业务系统应用服务迁移。</w:t>
            </w:r>
          </w:p>
          <w:p>
            <w:pPr>
              <w:pStyle w:val="null3"/>
            </w:pPr>
            <w:r>
              <w:rPr>
                <w:rFonts w:ascii="仿宋_GB2312" w:hAnsi="仿宋_GB2312" w:cs="仿宋_GB2312" w:eastAsia="仿宋_GB2312"/>
                <w:sz w:val="20"/>
              </w:rPr>
              <w:t>1.7</w:t>
            </w:r>
            <w:r>
              <w:rPr>
                <w:rFonts w:ascii="仿宋_GB2312" w:hAnsi="仿宋_GB2312" w:cs="仿宋_GB2312" w:eastAsia="仿宋_GB2312"/>
                <w:sz w:val="20"/>
              </w:rPr>
              <w:t>数据库及中间件产品升级及补丁安装工作。</w:t>
            </w:r>
          </w:p>
          <w:p>
            <w:pPr>
              <w:pStyle w:val="null3"/>
            </w:pPr>
            <w:r>
              <w:rPr>
                <w:rFonts w:ascii="仿宋_GB2312" w:hAnsi="仿宋_GB2312" w:cs="仿宋_GB2312" w:eastAsia="仿宋_GB2312"/>
                <w:sz w:val="20"/>
              </w:rPr>
              <w:t>1.8</w:t>
            </w:r>
            <w:r>
              <w:rPr>
                <w:rFonts w:ascii="仿宋_GB2312" w:hAnsi="仿宋_GB2312" w:cs="仿宋_GB2312" w:eastAsia="仿宋_GB2312"/>
                <w:sz w:val="20"/>
              </w:rPr>
              <w:t>甲方要求的其他支持服务。</w:t>
            </w:r>
          </w:p>
          <w:p>
            <w:pPr>
              <w:pStyle w:val="null3"/>
            </w:pPr>
            <w:r>
              <w:rPr>
                <w:rFonts w:ascii="仿宋_GB2312" w:hAnsi="仿宋_GB2312" w:cs="仿宋_GB2312" w:eastAsia="仿宋_GB2312"/>
                <w:sz w:val="20"/>
              </w:rPr>
              <w:t>2.</w:t>
            </w:r>
            <w:r>
              <w:rPr>
                <w:rFonts w:ascii="仿宋_GB2312" w:hAnsi="仿宋_GB2312" w:cs="仿宋_GB2312" w:eastAsia="仿宋_GB2312"/>
                <w:sz w:val="20"/>
              </w:rPr>
              <w:t>针对本项目的专家团队远程服务（全年</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24</w:t>
            </w:r>
            <w:r>
              <w:rPr>
                <w:rFonts w:ascii="仿宋_GB2312" w:hAnsi="仿宋_GB2312" w:cs="仿宋_GB2312" w:eastAsia="仿宋_GB2312"/>
                <w:sz w:val="20"/>
              </w:rPr>
              <w:t>小时）。</w:t>
            </w:r>
          </w:p>
          <w:p>
            <w:pPr>
              <w:pStyle w:val="null3"/>
            </w:pPr>
            <w:r>
              <w:rPr>
                <w:rFonts w:ascii="仿宋_GB2312" w:hAnsi="仿宋_GB2312" w:cs="仿宋_GB2312" w:eastAsia="仿宋_GB2312"/>
                <w:sz w:val="20"/>
              </w:rPr>
              <w:t>2.1</w:t>
            </w:r>
            <w:r>
              <w:rPr>
                <w:rFonts w:ascii="仿宋_GB2312" w:hAnsi="仿宋_GB2312" w:cs="仿宋_GB2312" w:eastAsia="仿宋_GB2312"/>
                <w:sz w:val="20"/>
              </w:rPr>
              <w:t>热线电话支持。</w:t>
            </w:r>
          </w:p>
          <w:p>
            <w:pPr>
              <w:pStyle w:val="null3"/>
            </w:pPr>
            <w:r>
              <w:rPr>
                <w:rFonts w:ascii="仿宋_GB2312" w:hAnsi="仿宋_GB2312" w:cs="仿宋_GB2312" w:eastAsia="仿宋_GB2312"/>
                <w:sz w:val="20"/>
              </w:rPr>
              <w:t>2.2</w:t>
            </w:r>
            <w:r>
              <w:rPr>
                <w:rFonts w:ascii="仿宋_GB2312" w:hAnsi="仿宋_GB2312" w:cs="仿宋_GB2312" w:eastAsia="仿宋_GB2312"/>
                <w:sz w:val="20"/>
              </w:rPr>
              <w:t>电子邮件支持。</w:t>
            </w:r>
          </w:p>
          <w:p>
            <w:pPr>
              <w:pStyle w:val="null3"/>
            </w:pPr>
            <w:r>
              <w:rPr>
                <w:rFonts w:ascii="仿宋_GB2312" w:hAnsi="仿宋_GB2312" w:cs="仿宋_GB2312" w:eastAsia="仿宋_GB2312"/>
                <w:sz w:val="20"/>
              </w:rPr>
              <w:t>2.3</w:t>
            </w:r>
            <w:r>
              <w:rPr>
                <w:rFonts w:ascii="仿宋_GB2312" w:hAnsi="仿宋_GB2312" w:cs="仿宋_GB2312" w:eastAsia="仿宋_GB2312"/>
                <w:sz w:val="20"/>
              </w:rPr>
              <w:t>远程拨号服务（供应商技术顾问通过远程拨号登录财政方服务器，第一时间帮助解决问题）</w:t>
            </w:r>
          </w:p>
          <w:p>
            <w:pPr>
              <w:pStyle w:val="null3"/>
            </w:pPr>
            <w:r>
              <w:rPr>
                <w:rFonts w:ascii="仿宋_GB2312" w:hAnsi="仿宋_GB2312" w:cs="仿宋_GB2312" w:eastAsia="仿宋_GB2312"/>
                <w:sz w:val="20"/>
              </w:rPr>
              <w:t>3.</w:t>
            </w:r>
            <w:r>
              <w:rPr>
                <w:rFonts w:ascii="仿宋_GB2312" w:hAnsi="仿宋_GB2312" w:cs="仿宋_GB2312" w:eastAsia="仿宋_GB2312"/>
                <w:sz w:val="20"/>
              </w:rPr>
              <w:t>现场支持。</w:t>
            </w:r>
          </w:p>
          <w:p>
            <w:pPr>
              <w:pStyle w:val="null3"/>
            </w:pPr>
            <w:r>
              <w:rPr>
                <w:rFonts w:ascii="仿宋_GB2312" w:hAnsi="仿宋_GB2312" w:cs="仿宋_GB2312" w:eastAsia="仿宋_GB2312"/>
                <w:sz w:val="20"/>
              </w:rPr>
              <w:t>除数据库驻场服务之外，包括但不限于正常工作及非工作时间、法定节假日等，如数据库及中间件发生故障需现场处理的，要求数据库或中间件工程师</w:t>
            </w:r>
            <w:r>
              <w:rPr>
                <w:rFonts w:ascii="仿宋_GB2312" w:hAnsi="仿宋_GB2312" w:cs="仿宋_GB2312" w:eastAsia="仿宋_GB2312"/>
                <w:sz w:val="20"/>
              </w:rPr>
              <w:t>30</w:t>
            </w:r>
            <w:r>
              <w:rPr>
                <w:rFonts w:ascii="仿宋_GB2312" w:hAnsi="仿宋_GB2312" w:cs="仿宋_GB2312" w:eastAsia="仿宋_GB2312"/>
                <w:sz w:val="20"/>
              </w:rPr>
              <w:t>分钟内响应，</w:t>
            </w:r>
            <w:r>
              <w:rPr>
                <w:rFonts w:ascii="仿宋_GB2312" w:hAnsi="仿宋_GB2312" w:cs="仿宋_GB2312" w:eastAsia="仿宋_GB2312"/>
                <w:sz w:val="20"/>
              </w:rPr>
              <w:t>2</w:t>
            </w:r>
            <w:r>
              <w:rPr>
                <w:rFonts w:ascii="仿宋_GB2312" w:hAnsi="仿宋_GB2312" w:cs="仿宋_GB2312" w:eastAsia="仿宋_GB2312"/>
                <w:sz w:val="20"/>
              </w:rPr>
              <w:t>小时内到达现场。</w:t>
            </w:r>
          </w:p>
          <w:p>
            <w:pPr>
              <w:pStyle w:val="null3"/>
            </w:pPr>
            <w:r>
              <w:rPr>
                <w:rFonts w:ascii="仿宋_GB2312" w:hAnsi="仿宋_GB2312" w:cs="仿宋_GB2312" w:eastAsia="仿宋_GB2312"/>
                <w:sz w:val="20"/>
              </w:rPr>
              <w:t>3.1</w:t>
            </w:r>
            <w:r>
              <w:rPr>
                <w:rFonts w:ascii="仿宋_GB2312" w:hAnsi="仿宋_GB2312" w:cs="仿宋_GB2312" w:eastAsia="仿宋_GB2312"/>
                <w:sz w:val="20"/>
              </w:rPr>
              <w:t>数据库故障处理</w:t>
            </w:r>
          </w:p>
          <w:p>
            <w:pPr>
              <w:pStyle w:val="null3"/>
            </w:pPr>
            <w:r>
              <w:rPr>
                <w:rFonts w:ascii="仿宋_GB2312" w:hAnsi="仿宋_GB2312" w:cs="仿宋_GB2312" w:eastAsia="仿宋_GB2312"/>
                <w:sz w:val="20"/>
              </w:rPr>
              <w:t>3.2</w:t>
            </w:r>
            <w:r>
              <w:rPr>
                <w:rFonts w:ascii="仿宋_GB2312" w:hAnsi="仿宋_GB2312" w:cs="仿宋_GB2312" w:eastAsia="仿宋_GB2312"/>
                <w:sz w:val="20"/>
              </w:rPr>
              <w:t>中间件灾难恢复。</w:t>
            </w:r>
          </w:p>
          <w:p>
            <w:pPr>
              <w:pStyle w:val="null3"/>
            </w:pPr>
            <w:r>
              <w:rPr>
                <w:rFonts w:ascii="仿宋_GB2312" w:hAnsi="仿宋_GB2312" w:cs="仿宋_GB2312" w:eastAsia="仿宋_GB2312"/>
                <w:sz w:val="20"/>
              </w:rPr>
              <w:t>4.</w:t>
            </w:r>
            <w:r>
              <w:rPr>
                <w:rFonts w:ascii="仿宋_GB2312" w:hAnsi="仿宋_GB2312" w:cs="仿宋_GB2312" w:eastAsia="仿宋_GB2312"/>
                <w:sz w:val="20"/>
              </w:rPr>
              <w:t>高级支持。</w:t>
            </w:r>
          </w:p>
          <w:p>
            <w:pPr>
              <w:pStyle w:val="null3"/>
              <w:jc w:val="both"/>
            </w:pPr>
            <w:r>
              <w:rPr>
                <w:rFonts w:ascii="仿宋_GB2312" w:hAnsi="仿宋_GB2312" w:cs="仿宋_GB2312" w:eastAsia="仿宋_GB2312"/>
                <w:sz w:val="20"/>
              </w:rPr>
              <w:t>4.1</w:t>
            </w:r>
            <w:r>
              <w:rPr>
                <w:rFonts w:ascii="仿宋_GB2312" w:hAnsi="仿宋_GB2312" w:cs="仿宋_GB2312" w:eastAsia="仿宋_GB2312"/>
                <w:sz w:val="20"/>
              </w:rPr>
              <w:t>针对陕西财政业务应用系统建设，对</w:t>
            </w:r>
            <w:r>
              <w:rPr>
                <w:rFonts w:ascii="仿宋_GB2312" w:hAnsi="仿宋_GB2312" w:cs="仿宋_GB2312" w:eastAsia="仿宋_GB2312"/>
                <w:sz w:val="20"/>
              </w:rPr>
              <w:t>weblogic</w:t>
            </w:r>
            <w:r>
              <w:rPr>
                <w:rFonts w:ascii="仿宋_GB2312" w:hAnsi="仿宋_GB2312" w:cs="仿宋_GB2312" w:eastAsia="仿宋_GB2312"/>
                <w:sz w:val="20"/>
              </w:rPr>
              <w:t>、</w:t>
            </w:r>
            <w:r>
              <w:rPr>
                <w:rFonts w:ascii="仿宋_GB2312" w:hAnsi="仿宋_GB2312" w:cs="仿宋_GB2312" w:eastAsia="仿宋_GB2312"/>
                <w:sz w:val="20"/>
              </w:rPr>
              <w:t>tongweb</w:t>
            </w:r>
            <w:r>
              <w:rPr>
                <w:rFonts w:ascii="仿宋_GB2312" w:hAnsi="仿宋_GB2312" w:cs="仿宋_GB2312" w:eastAsia="仿宋_GB2312"/>
                <w:sz w:val="20"/>
              </w:rPr>
              <w:t>、</w:t>
            </w:r>
            <w:r>
              <w:rPr>
                <w:rFonts w:ascii="仿宋_GB2312" w:hAnsi="仿宋_GB2312" w:cs="仿宋_GB2312" w:eastAsia="仿宋_GB2312"/>
                <w:sz w:val="20"/>
              </w:rPr>
              <w:t>tonglink/q</w:t>
            </w:r>
            <w:r>
              <w:rPr>
                <w:rFonts w:ascii="仿宋_GB2312" w:hAnsi="仿宋_GB2312" w:cs="仿宋_GB2312" w:eastAsia="仿宋_GB2312"/>
                <w:sz w:val="20"/>
              </w:rPr>
              <w:t>、</w:t>
            </w:r>
            <w:r>
              <w:rPr>
                <w:rFonts w:ascii="仿宋_GB2312" w:hAnsi="仿宋_GB2312" w:cs="仿宋_GB2312" w:eastAsia="仿宋_GB2312"/>
                <w:sz w:val="20"/>
              </w:rPr>
              <w:t>MQ</w:t>
            </w:r>
            <w:r>
              <w:rPr>
                <w:rFonts w:ascii="仿宋_GB2312" w:hAnsi="仿宋_GB2312" w:cs="仿宋_GB2312" w:eastAsia="仿宋_GB2312"/>
                <w:sz w:val="20"/>
              </w:rPr>
              <w:t>、</w:t>
            </w:r>
            <w:r>
              <w:rPr>
                <w:rFonts w:ascii="仿宋_GB2312" w:hAnsi="仿宋_GB2312" w:cs="仿宋_GB2312" w:eastAsia="仿宋_GB2312"/>
                <w:sz w:val="20"/>
              </w:rPr>
              <w:t>apath</w:t>
            </w:r>
            <w:r>
              <w:rPr>
                <w:rFonts w:ascii="仿宋_GB2312" w:hAnsi="仿宋_GB2312" w:cs="仿宋_GB2312" w:eastAsia="仿宋_GB2312"/>
                <w:sz w:val="20"/>
              </w:rPr>
              <w:t>、</w:t>
            </w:r>
            <w:r>
              <w:rPr>
                <w:rFonts w:ascii="仿宋_GB2312" w:hAnsi="仿宋_GB2312" w:cs="仿宋_GB2312" w:eastAsia="仿宋_GB2312"/>
                <w:sz w:val="20"/>
              </w:rPr>
              <w:t>tomcat</w:t>
            </w:r>
            <w:r>
              <w:rPr>
                <w:rFonts w:ascii="仿宋_GB2312" w:hAnsi="仿宋_GB2312" w:cs="仿宋_GB2312" w:eastAsia="仿宋_GB2312"/>
                <w:sz w:val="20"/>
              </w:rPr>
              <w:t>等各种主流中间件的测试、技术架构咨询、技术方案设计及管理培训。</w:t>
            </w:r>
          </w:p>
          <w:p>
            <w:pPr>
              <w:pStyle w:val="null3"/>
            </w:pPr>
            <w:r>
              <w:rPr>
                <w:rFonts w:ascii="仿宋_GB2312" w:hAnsi="仿宋_GB2312" w:cs="仿宋_GB2312" w:eastAsia="仿宋_GB2312"/>
                <w:sz w:val="20"/>
              </w:rPr>
              <w:t>4.2</w:t>
            </w:r>
            <w:r>
              <w:rPr>
                <w:rFonts w:ascii="仿宋_GB2312" w:hAnsi="仿宋_GB2312" w:cs="仿宋_GB2312" w:eastAsia="仿宋_GB2312"/>
                <w:sz w:val="20"/>
              </w:rPr>
              <w:t>针对全省财政业务应用系统中间件架构设计。</w:t>
            </w:r>
          </w:p>
          <w:p>
            <w:pPr>
              <w:pStyle w:val="null3"/>
            </w:pPr>
            <w:r>
              <w:rPr>
                <w:rFonts w:ascii="仿宋_GB2312" w:hAnsi="仿宋_GB2312" w:cs="仿宋_GB2312" w:eastAsia="仿宋_GB2312"/>
                <w:sz w:val="20"/>
              </w:rPr>
              <w:t>4.3</w:t>
            </w:r>
            <w:r>
              <w:rPr>
                <w:rFonts w:ascii="仿宋_GB2312" w:hAnsi="仿宋_GB2312" w:cs="仿宋_GB2312" w:eastAsia="仿宋_GB2312"/>
                <w:sz w:val="20"/>
              </w:rPr>
              <w:t>其他数据库系统规划、架构设计等重大项目咨询及方案规划。</w:t>
            </w:r>
          </w:p>
          <w:p>
            <w:pPr>
              <w:pStyle w:val="null3"/>
            </w:pPr>
            <w:r>
              <w:rPr>
                <w:rFonts w:ascii="仿宋_GB2312" w:hAnsi="仿宋_GB2312" w:cs="仿宋_GB2312" w:eastAsia="仿宋_GB2312"/>
                <w:sz w:val="20"/>
              </w:rPr>
              <w:t>4.4</w:t>
            </w:r>
            <w:r>
              <w:rPr>
                <w:rFonts w:ascii="仿宋_GB2312" w:hAnsi="仿宋_GB2312" w:cs="仿宋_GB2312" w:eastAsia="仿宋_GB2312"/>
                <w:sz w:val="20"/>
              </w:rPr>
              <w:t>数据库选型等咨询工作。</w:t>
            </w:r>
          </w:p>
          <w:p>
            <w:pPr>
              <w:pStyle w:val="null3"/>
            </w:pPr>
            <w:r>
              <w:rPr>
                <w:rFonts w:ascii="仿宋_GB2312" w:hAnsi="仿宋_GB2312" w:cs="仿宋_GB2312" w:eastAsia="仿宋_GB2312"/>
                <w:sz w:val="20"/>
              </w:rPr>
              <w:t>5.</w:t>
            </w:r>
            <w:r>
              <w:rPr>
                <w:rFonts w:ascii="仿宋_GB2312" w:hAnsi="仿宋_GB2312" w:cs="仿宋_GB2312" w:eastAsia="仿宋_GB2312"/>
                <w:sz w:val="20"/>
              </w:rPr>
              <w:t>技术培训。</w:t>
            </w:r>
          </w:p>
          <w:p>
            <w:pPr>
              <w:pStyle w:val="null3"/>
            </w:pPr>
            <w:r>
              <w:rPr>
                <w:rFonts w:ascii="仿宋_GB2312" w:hAnsi="仿宋_GB2312" w:cs="仿宋_GB2312" w:eastAsia="仿宋_GB2312"/>
                <w:sz w:val="20"/>
              </w:rPr>
              <w:t>陕西财政厅数据库技术培训与服务支持相结合。</w:t>
            </w:r>
          </w:p>
          <w:p>
            <w:pPr>
              <w:pStyle w:val="null3"/>
            </w:pPr>
            <w:r>
              <w:rPr>
                <w:rFonts w:ascii="仿宋_GB2312" w:hAnsi="仿宋_GB2312" w:cs="仿宋_GB2312" w:eastAsia="仿宋_GB2312"/>
                <w:sz w:val="20"/>
              </w:rPr>
              <w:t>六、验收标准</w:t>
            </w:r>
          </w:p>
          <w:p>
            <w:pPr>
              <w:pStyle w:val="null3"/>
            </w:pPr>
            <w:r>
              <w:rPr>
                <w:rFonts w:ascii="仿宋_GB2312" w:hAnsi="仿宋_GB2312" w:cs="仿宋_GB2312" w:eastAsia="仿宋_GB2312"/>
                <w:sz w:val="20"/>
              </w:rPr>
              <w:t>（一）项目验收</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项目验收：乙方先进行自检，自检合格并达到验收要求后，向甲方提交验收申请和验收方案，甲方可根据合同及技术要求对验收方案进行修改和补充，经各方确认后形成验收文件作为验收依据，并在此后</w:t>
            </w:r>
            <w:r>
              <w:rPr>
                <w:rFonts w:ascii="仿宋_GB2312" w:hAnsi="仿宋_GB2312" w:cs="仿宋_GB2312" w:eastAsia="仿宋_GB2312"/>
                <w:sz w:val="20"/>
              </w:rPr>
              <w:t>10</w:t>
            </w:r>
            <w:r>
              <w:rPr>
                <w:rFonts w:ascii="仿宋_GB2312" w:hAnsi="仿宋_GB2312" w:cs="仿宋_GB2312" w:eastAsia="仿宋_GB2312"/>
                <w:sz w:val="20"/>
              </w:rPr>
              <w:t>个工作日内，由甲方组织项目验收。甲方、乙方、监理单位、设计单位及相关单位参加验收。</w:t>
            </w:r>
          </w:p>
          <w:p>
            <w:pPr>
              <w:pStyle w:val="null3"/>
            </w:pPr>
            <w:r>
              <w:rPr>
                <w:rFonts w:ascii="仿宋_GB2312" w:hAnsi="仿宋_GB2312" w:cs="仿宋_GB2312" w:eastAsia="仿宋_GB2312"/>
                <w:sz w:val="20"/>
              </w:rPr>
              <w:t>2.</w:t>
            </w:r>
            <w:r>
              <w:rPr>
                <w:rFonts w:ascii="仿宋_GB2312" w:hAnsi="仿宋_GB2312" w:cs="仿宋_GB2312" w:eastAsia="仿宋_GB2312"/>
                <w:sz w:val="20"/>
              </w:rPr>
              <w:t>项目的文档包括但不限于下列资料：</w:t>
            </w:r>
          </w:p>
          <w:p>
            <w:pPr>
              <w:pStyle w:val="null3"/>
              <w:jc w:val="left"/>
            </w:pPr>
            <w:r>
              <w:rPr>
                <w:rFonts w:ascii="仿宋_GB2312" w:hAnsi="仿宋_GB2312" w:cs="仿宋_GB2312" w:eastAsia="仿宋_GB2312"/>
                <w:sz w:val="20"/>
              </w:rPr>
              <w:t>技术方案、实施方案、管理方案、安全运行保障方案、运行维护安全规划、安全操作规范、配置项的变更及发布文档、故障报告、巡检报告、运行维护日志、周报、月报、专题汇报等。</w:t>
            </w:r>
          </w:p>
          <w:p>
            <w:pPr>
              <w:pStyle w:val="null3"/>
            </w:pPr>
            <w:r>
              <w:rPr>
                <w:rFonts w:ascii="仿宋_GB2312" w:hAnsi="仿宋_GB2312" w:cs="仿宋_GB2312" w:eastAsia="仿宋_GB2312"/>
                <w:sz w:val="20"/>
              </w:rPr>
              <w:t>（二）验收依据</w:t>
            </w:r>
          </w:p>
          <w:p>
            <w:pPr>
              <w:pStyle w:val="null3"/>
            </w:pPr>
            <w:r>
              <w:rPr>
                <w:rFonts w:ascii="仿宋_GB2312" w:hAnsi="仿宋_GB2312" w:cs="仿宋_GB2312" w:eastAsia="仿宋_GB2312"/>
                <w:sz w:val="20"/>
              </w:rPr>
              <w:t>1.</w:t>
            </w:r>
            <w:r>
              <w:rPr>
                <w:rFonts w:ascii="仿宋_GB2312" w:hAnsi="仿宋_GB2312" w:cs="仿宋_GB2312" w:eastAsia="仿宋_GB2312"/>
                <w:sz w:val="20"/>
              </w:rPr>
              <w:t>本项目的《竞争性磋商文件》；</w:t>
            </w:r>
          </w:p>
          <w:p>
            <w:pPr>
              <w:pStyle w:val="null3"/>
            </w:pPr>
            <w:r>
              <w:rPr>
                <w:rFonts w:ascii="仿宋_GB2312" w:hAnsi="仿宋_GB2312" w:cs="仿宋_GB2312" w:eastAsia="仿宋_GB2312"/>
                <w:sz w:val="20"/>
              </w:rPr>
              <w:t>2.</w:t>
            </w:r>
            <w:r>
              <w:rPr>
                <w:rFonts w:ascii="仿宋_GB2312" w:hAnsi="仿宋_GB2312" w:cs="仿宋_GB2312" w:eastAsia="仿宋_GB2312"/>
                <w:sz w:val="20"/>
              </w:rPr>
              <w:t>中标供应商的《响应文件》；</w:t>
            </w:r>
          </w:p>
          <w:p>
            <w:pPr>
              <w:pStyle w:val="null3"/>
            </w:pPr>
            <w:r>
              <w:rPr>
                <w:rFonts w:ascii="仿宋_GB2312" w:hAnsi="仿宋_GB2312" w:cs="仿宋_GB2312" w:eastAsia="仿宋_GB2312"/>
                <w:sz w:val="20"/>
              </w:rPr>
              <w:t>3.</w:t>
            </w:r>
            <w:r>
              <w:rPr>
                <w:rFonts w:ascii="仿宋_GB2312" w:hAnsi="仿宋_GB2312" w:cs="仿宋_GB2312" w:eastAsia="仿宋_GB2312"/>
                <w:sz w:val="20"/>
              </w:rPr>
              <w:t>双方签署的《项目合同书》；</w:t>
            </w:r>
          </w:p>
          <w:p>
            <w:pPr>
              <w:pStyle w:val="null3"/>
            </w:pPr>
            <w:r>
              <w:rPr>
                <w:rFonts w:ascii="仿宋_GB2312" w:hAnsi="仿宋_GB2312" w:cs="仿宋_GB2312" w:eastAsia="仿宋_GB2312"/>
                <w:sz w:val="20"/>
              </w:rPr>
              <w:t>4.</w:t>
            </w:r>
            <w:r>
              <w:rPr>
                <w:rFonts w:ascii="仿宋_GB2312" w:hAnsi="仿宋_GB2312" w:cs="仿宋_GB2312" w:eastAsia="仿宋_GB2312"/>
                <w:sz w:val="20"/>
              </w:rPr>
              <w:t>经过甲方、乙方双方确认的运行维护实施方案；</w:t>
            </w:r>
          </w:p>
          <w:p>
            <w:pPr>
              <w:pStyle w:val="null3"/>
            </w:pPr>
            <w:r>
              <w:rPr>
                <w:rFonts w:ascii="仿宋_GB2312" w:hAnsi="仿宋_GB2312" w:cs="仿宋_GB2312" w:eastAsia="仿宋_GB2312"/>
                <w:sz w:val="20"/>
              </w:rPr>
              <w:t>5.</w:t>
            </w:r>
            <w:r>
              <w:rPr>
                <w:rFonts w:ascii="仿宋_GB2312" w:hAnsi="仿宋_GB2312" w:cs="仿宋_GB2312" w:eastAsia="仿宋_GB2312"/>
                <w:sz w:val="20"/>
              </w:rPr>
              <w:t>其他资料</w:t>
            </w:r>
            <w:r>
              <w:rPr>
                <w:rFonts w:ascii="仿宋_GB2312" w:hAnsi="仿宋_GB2312" w:cs="仿宋_GB2312" w:eastAsia="仿宋_GB2312"/>
                <w:sz w:val="20"/>
              </w:rPr>
              <w:t>;</w:t>
            </w:r>
          </w:p>
          <w:p>
            <w:pPr>
              <w:pStyle w:val="null3"/>
            </w:pPr>
            <w:r>
              <w:rPr>
                <w:rFonts w:ascii="仿宋_GB2312" w:hAnsi="仿宋_GB2312" w:cs="仿宋_GB2312" w:eastAsia="仿宋_GB2312"/>
                <w:sz w:val="20"/>
              </w:rPr>
              <w:t>6.</w:t>
            </w:r>
            <w:r>
              <w:rPr>
                <w:rFonts w:ascii="仿宋_GB2312" w:hAnsi="仿宋_GB2312" w:cs="仿宋_GB2312" w:eastAsia="仿宋_GB2312"/>
                <w:sz w:val="20"/>
              </w:rPr>
              <w:t>严格按照《陕西省财政厅网络安全和信息化项目验收管理暂行办法》规定执行。</w:t>
            </w:r>
          </w:p>
          <w:p>
            <w:pPr>
              <w:pStyle w:val="null3"/>
            </w:pPr>
            <w:r>
              <w:rPr>
                <w:rFonts w:ascii="仿宋_GB2312" w:hAnsi="仿宋_GB2312" w:cs="仿宋_GB2312" w:eastAsia="仿宋_GB2312"/>
                <w:sz w:val="20"/>
              </w:rPr>
              <w:t>七、项目运维人员及期限</w:t>
            </w:r>
          </w:p>
          <w:p>
            <w:pPr>
              <w:pStyle w:val="null3"/>
            </w:pPr>
            <w:r>
              <w:rPr>
                <w:rFonts w:ascii="仿宋_GB2312" w:hAnsi="仿宋_GB2312" w:cs="仿宋_GB2312" w:eastAsia="仿宋_GB2312"/>
                <w:sz w:val="20"/>
              </w:rPr>
              <w:t>运维人员：数据库提供驻场服务工程师</w:t>
            </w:r>
            <w:r>
              <w:rPr>
                <w:rFonts w:ascii="仿宋_GB2312" w:hAnsi="仿宋_GB2312" w:cs="仿宋_GB2312" w:eastAsia="仿宋_GB2312"/>
                <w:sz w:val="20"/>
              </w:rPr>
              <w:t>1</w:t>
            </w:r>
            <w:r>
              <w:rPr>
                <w:rFonts w:ascii="仿宋_GB2312" w:hAnsi="仿宋_GB2312" w:cs="仿宋_GB2312" w:eastAsia="仿宋_GB2312"/>
                <w:sz w:val="20"/>
              </w:rPr>
              <w:t>名</w:t>
            </w:r>
            <w:r>
              <w:rPr>
                <w:rFonts w:ascii="仿宋_GB2312" w:hAnsi="仿宋_GB2312" w:cs="仿宋_GB2312" w:eastAsia="仿宋_GB2312"/>
                <w:sz w:val="20"/>
              </w:rPr>
              <w:t>,中间件维护工程师1名(非驻场）</w:t>
            </w:r>
          </w:p>
          <w:p>
            <w:pPr>
              <w:pStyle w:val="null3"/>
            </w:pPr>
            <w:r>
              <w:rPr>
                <w:rFonts w:ascii="仿宋_GB2312" w:hAnsi="仿宋_GB2312" w:cs="仿宋_GB2312" w:eastAsia="仿宋_GB2312"/>
                <w:sz w:val="20"/>
              </w:rPr>
              <w:t>项目运维时间：一年</w:t>
            </w:r>
          </w:p>
          <w:p>
            <w:pPr>
              <w:pStyle w:val="null3"/>
            </w:pPr>
            <w:r>
              <w:rPr>
                <w:rFonts w:ascii="仿宋_GB2312" w:hAnsi="仿宋_GB2312" w:cs="仿宋_GB2312" w:eastAsia="仿宋_GB2312"/>
                <w:sz w:val="20"/>
              </w:rPr>
              <w:t>项目运维地点：陕西省财政厅</w:t>
            </w:r>
          </w:p>
          <w:p>
            <w:pPr>
              <w:pStyle w:val="null3"/>
            </w:pPr>
            <w:r>
              <w:rPr>
                <w:rFonts w:ascii="仿宋_GB2312" w:hAnsi="仿宋_GB2312" w:cs="仿宋_GB2312" w:eastAsia="仿宋_GB2312"/>
                <w:sz w:val="20"/>
              </w:rPr>
              <w:t>八、保密要求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运维服务商</w:t>
            </w:r>
            <w:r>
              <w:rPr>
                <w:rFonts w:ascii="仿宋_GB2312" w:hAnsi="仿宋_GB2312" w:cs="仿宋_GB2312" w:eastAsia="仿宋_GB2312"/>
                <w:sz w:val="20"/>
              </w:rPr>
              <w:t>签订保密协议，对其因身份、职务、职业或技术关系而知悉的采购人商业秘密和党政机关保密信息应严格保守，保证不被披露或使用，包括意外或过失。</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运维服务商</w:t>
            </w:r>
            <w:r>
              <w:rPr>
                <w:rFonts w:ascii="仿宋_GB2312" w:hAnsi="仿宋_GB2312" w:cs="仿宋_GB2312" w:eastAsia="仿宋_GB2312"/>
                <w:sz w:val="20"/>
              </w:rPr>
              <w:t>不得以竞争为目的、或出于私利、或为第三人谋利而擅自保存、披露、使用采购人商业秘密和党政机关保密信息；不得直接或间接地向无关人员泄露采购人的商业秘密和党政机关保密信息；不得向不承担保密义务的任何第三人披露采购人的商业秘密和党政机关保密信息。应答人在从事政府项目时，不得擅自记录、复制、拍摄、摘抄、收藏在工作中涉及的保密信息，严禁将涉及政府项目的任何资料、数据透露或以其他方式提供给项目以外的其他方或应答人内部与该项目无关的任何人员。</w:t>
            </w:r>
            <w:r>
              <w:rPr>
                <w:rFonts w:ascii="仿宋_GB2312" w:hAnsi="仿宋_GB2312" w:cs="仿宋_GB2312" w:eastAsia="仿宋_GB2312"/>
                <w:sz w:val="20"/>
              </w:rPr>
              <w:t xml:space="preserve"> </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运维服务商</w:t>
            </w:r>
            <w:r>
              <w:rPr>
                <w:rFonts w:ascii="仿宋_GB2312" w:hAnsi="仿宋_GB2312" w:cs="仿宋_GB2312" w:eastAsia="仿宋_GB2312"/>
                <w:sz w:val="20"/>
              </w:rPr>
              <w:t>对于工作期间知悉采购人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w:t>
            </w:r>
            <w:r>
              <w:rPr>
                <w:rFonts w:ascii="仿宋_GB2312" w:hAnsi="仿宋_GB2312" w:cs="仿宋_GB2312" w:eastAsia="仿宋_GB2312"/>
                <w:sz w:val="20"/>
              </w:rPr>
              <w:t xml:space="preserve">  </w:t>
            </w:r>
          </w:p>
          <w:p>
            <w:pPr>
              <w:pStyle w:val="null3"/>
            </w:pPr>
            <w:r>
              <w:rPr>
                <w:rFonts w:ascii="仿宋_GB2312" w:hAnsi="仿宋_GB2312" w:cs="仿宋_GB2312" w:eastAsia="仿宋_GB2312"/>
                <w:sz w:val="20"/>
              </w:rPr>
              <w:t>4.</w:t>
            </w:r>
            <w:r>
              <w:rPr>
                <w:rFonts w:ascii="仿宋_GB2312" w:hAnsi="仿宋_GB2312" w:cs="仿宋_GB2312" w:eastAsia="仿宋_GB2312"/>
                <w:sz w:val="20"/>
              </w:rPr>
              <w:t>严禁泄露在工作中接触到的政府机关科技研究、发明、装备器材及其技术资料和政府工作信息。</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陕西省财政厅指定地点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本项目首期款以甲方财政资金实际到位且相关运维（服务）准备工作完成后，监理单位签发开工令，乙方书面提出支付申请函及与拟支付金额等额的符合甲方财务管理要求的相应发票，甲方确认后启动首期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本项目运维服务 六 个月后，甲方对项目进行阶段评价，乙方书面提出支付申请函及与拟支付金额等额的符合甲方财务管理要求的相应发票，甲方确认后启动支付流程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本项目服务期满，且经甲方评价后 30 个工作日内，依据甲方服务评价结果或结算审计结果（如有）确认的金额，乙方书面提出支付申请函及与拟支付金额等额的符合甲方财务管理要求的相应发票，甲方确认后启动尾款支付流程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1、主体证明文件：（1）供应商是企业（包括合伙企业）的，应提供其在市场监督管理部门注册的有效“营业执照 ”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 3、提供磋商截止时间前近六个月中至少一个月的纳税证明或完税证明，依法免税的单位应提供相关证明材料；时间以税款所属时期为准 4、提供磋商截止时间前近六个月中至少一个月的社会保障资金缴存单据或社保机构开具的社会保险参保缴费情况证明，依法不需要缴纳社会保障资金的单位应提供相关证明材料。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响应文件截止之日前两年内任意一个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扫描件或复印件，应满足以下要求：①资信证明须为递交响应文件截止时间前三个月内由供应商开户银行出具。②无论开具银行是否标明“复印无效”，供应商提供的复印件在本次磋商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供应商在递交响应文件截止时间前被“信用中国 ”网站（www.creditchina.gov.cn）和中国政府采购网（www.ccgp.gov.cn）上被列入失信被执行人、重大税收违法失信主体、政府采购严重违法失信行为记录名单的，不得参加磋商。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商务应答表 服务方案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遵循公平竞争的原则，没有弄虚作假、恶意串通或妨碍其他供应商的竞争行为，损害采购人或者其他供应商的合法权益；弄虚作假、相互串通的情形</w:t>
            </w:r>
          </w:p>
        </w:tc>
        <w:tc>
          <w:tcPr>
            <w:tcW w:type="dxa" w:w="1661"/>
          </w:tcPr>
          <w:p>
            <w:pPr>
              <w:pStyle w:val="null3"/>
            </w:pPr>
            <w:r>
              <w:rPr>
                <w:rFonts w:ascii="仿宋_GB2312" w:hAnsi="仿宋_GB2312" w:cs="仿宋_GB2312" w:eastAsia="仿宋_GB2312"/>
              </w:rPr>
              <w:t>服务内容及服务邀请应答表 商务应答表 服务方案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服务内容及服务邀请应答表 商务应答表 服务方案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 目有两个或者多个报价 响应函</w:t>
            </w:r>
          </w:p>
        </w:tc>
        <w:tc>
          <w:tcPr>
            <w:tcW w:type="dxa" w:w="1661"/>
          </w:tcPr>
          <w:p>
            <w:pPr>
              <w:pStyle w:val="null3"/>
            </w:pPr>
            <w:r>
              <w:rPr>
                <w:rFonts w:ascii="仿宋_GB2312" w:hAnsi="仿宋_GB2312" w:cs="仿宋_GB2312" w:eastAsia="仿宋_GB2312"/>
              </w:rPr>
              <w:t>服务内容及服务邀请应答表 商务应答表 服务方案 标的清单 报价表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供应商提供的货物（服务）无实质性遗漏</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服务内容及服务邀请应答表 商务应答表 服务方案 标的清单 报价表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供应商提供2022年以来类似项目业绩：每提供一项得1分，最多得5分（以合同复印件为准，时间以合同签订时间为准，否则不得分）。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现状分析</w:t>
            </w:r>
          </w:p>
        </w:tc>
        <w:tc>
          <w:tcPr>
            <w:tcW w:type="dxa" w:w="2492"/>
          </w:tcPr>
          <w:p>
            <w:pPr>
              <w:pStyle w:val="null3"/>
            </w:pPr>
            <w:r>
              <w:rPr>
                <w:rFonts w:ascii="仿宋_GB2312" w:hAnsi="仿宋_GB2312" w:cs="仿宋_GB2312" w:eastAsia="仿宋_GB2312"/>
              </w:rPr>
              <w:t>供应商了解本项目的现状，对本项目目前的情况，整体现状、数据库及中间件现阶段维保可能存在和需要注意的问题，提供相关的分析说明；（1）方案详细完整、针对性强、完全符合现状得10分；（2）方案基本完整、有一定针对性、基本符合现状得7分；（3）方案内容简单，针对性不强，部分符合现状得4分；（4）方案表述不清，没有针对性，不符合现状得1分；（5）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供应商根据本项目技术要求提供相应的运维方案：（1）服务方案详细完整、针对性强、可操作性强，能提出对潜在问题的分析及应对措施得15分；（2）服务方案较为完整、针对性较好，基本切实可行，在潜在问题的分析和应对上稍显不足得12分（3）服务方案基本完整，针对性一般，可行性一般，对潜在问题的分析和应对一般得9分。（4）服务方案不够完整，能提供大部分与本项目技术要求相关的内容得6分。（5）服务方案不够完整，仅能提供涵盖少量与本项目技术要求相关的内容得3分。（6）未提供服务方案，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关键点分析</w:t>
            </w:r>
          </w:p>
        </w:tc>
        <w:tc>
          <w:tcPr>
            <w:tcW w:type="dxa" w:w="2492"/>
          </w:tcPr>
          <w:p>
            <w:pPr>
              <w:pStyle w:val="null3"/>
            </w:pPr>
            <w:r>
              <w:rPr>
                <w:rFonts w:ascii="仿宋_GB2312" w:hAnsi="仿宋_GB2312" w:cs="仿宋_GB2312" w:eastAsia="仿宋_GB2312"/>
              </w:rPr>
              <w:t>对本项目实施的重点、难点问题分析，提出相应的解决方案：（1）方案逻辑层次清晰、针对性强、解决方案可操作性强得10分；（2）方案逻辑层次较清晰、针对性一般、解决方案可操作性一般得7分；（3）方案逻辑层次不够清晰，针对性一般，解决方案可操作性不强得4分；（4）方案逻辑层次不清晰，内容粗疏，解决方案不具备可操作性得1分；（5）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1、项目管理人员 本项目的项目经理具备国际或国内认证的项目管理认证资质，提供一项得1分，最高2分，不提供不得分； 2、本项目技术支持团队的专业技术能力 （1）数据库团队具备下列认证:达梦数据库DCP认证、Oracle OCM认证、Oracle数据库集群管理认证，每提供一种证书，得1分，最多3分；未提供不得分。 （2）中间件团队具备Weblogic认证、东方通中间件认证，每提供一种证书，得1分，最多2分；未提供不得分。 3、驻场运维人员 本项目数据库驻场服务人员具备OCM认证得1分，其他情况不得分。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根据采购要求，针对项目出现的突发事件、高危时间有具体可行的应急上报、记录、处置和解决方案：（1）方案逻辑层次清晰、时效性强、可实施性强，有完善的解决方案得8分；（2）方案逻辑层次较清晰、时效性基本满足应急要求、可实施性一般，有具体的解决方案得6分；（3）方案逻辑层次一般、时效性基本满足应急要求，可实施性不强，得4分（4）方案逻辑层次一般、时效性不能保障应急要求得2分；（5）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的合理建议及解决方案：（1）方案完整详细、描述清晰、符合实际需求、可实施性强的得10分。（2）方案较完整不够详细、具有一定合理性，对实际需求的符合性和可实施性一般的得7分。（3）方案内容简约，在合理性上有一定缺陷得4分。（4）方案内容描述有误，不合理，得1分。（5）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供应商针对项目安全保密职责提供具体的保密措施，由评标委员会进行综合评审： （1）方案完整详细、描述清晰、符合实际需求、可实施性强的得6分。（2）方案较完整不够详细、具有一定合理性，对实际需求的符合性和可实施性一般的得4分。（3）方案内容简约，在合理性上有一定缺陷得2分。（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提出具体的质量保证措施，由评标委员会进行综合评审：（1）方案完整详细、描述清晰、符合实际需求、可实施性强的得8分。（2）方案较完整不够详细、具有一定合理性，对实际需求的符合性和可实施性一般的得6分。（3）方案内容简约，在合理性上有一定缺陷得4分。（4）方案内容描述有误，不合理，得2分。（5）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磋商价格最低的磋商报价为磋商基准价，其价格分为满分。其他供应商的价格分按照下列公式计算：磋商报价得分＝（磋商基准价/磋商报价）×20。小数点后保留2位，四舍五入</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详见附件：陕西省财政厅运维服务类项目合同书（范本）.docx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