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版本号：DQB-2025105-CS20251204001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2025未来产业系列对接活动(陕西行)</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DQB-2025105-CS</w:t>
      </w:r>
      <w:r>
        <w:br/>
      </w:r>
      <w:r>
        <w:br/>
      </w:r>
      <w:r>
        <w:br/>
      </w:r>
    </w:p>
    <w:p>
      <w:pPr>
        <w:pStyle w:val="null3"/>
        <w:jc w:val="center"/>
        <w:outlineLvl w:val="2"/>
      </w:pPr>
      <w:r>
        <w:rPr>
          <w:rFonts w:ascii="仿宋_GB2312" w:hAnsi="仿宋_GB2312" w:cs="仿宋_GB2312" w:eastAsia="仿宋_GB2312"/>
          <w:sz w:val="28"/>
          <w:b/>
        </w:rPr>
        <w:t>陕西省工业和信息化厅机关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陕西省工业和信息化厅机关</w:t>
      </w:r>
      <w:r>
        <w:rPr>
          <w:rFonts w:ascii="仿宋_GB2312" w:hAnsi="仿宋_GB2312" w:cs="仿宋_GB2312" w:eastAsia="仿宋_GB2312"/>
        </w:rPr>
        <w:t>委托，拟对</w:t>
      </w:r>
      <w:r>
        <w:rPr>
          <w:rFonts w:ascii="仿宋_GB2312" w:hAnsi="仿宋_GB2312" w:cs="仿宋_GB2312" w:eastAsia="仿宋_GB2312"/>
        </w:rPr>
        <w:t>2025未来产业系列对接活动(陕西行)</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DQB-2025105-CS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2025未来产业系列对接活动(陕西行)</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2025未来产业系列对接活动(陕西行)项目，能够体现陕西省未来产业基础和科技资源优势，搭建高效、专业的交流平台，实现陕西省未来产业领域优秀企业和创新项目的精准对接。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事业单位参与磋商可不提供此项。</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事业单位参与磋商可不提供此项。</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事业单位参与磋商可不提供此项。</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10、本项目不接受联合体磋商：供应商应提供《非联合体磋商声明》。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陕西省工业和信息化厅机关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陕西省西安市新城区省政府大院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029-63915537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采购包1：2,897,500.00元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银行账号：52880188000147995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代理服务费收费标准：按照差额累计法计算，下浮10%收取（不足五千元按五千元收取）。成交金额100万及以下，按照费率1.5%计取；成交金额100万-500万，按照费率1.1%计取。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陕西省工业和信息化厅机关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陕西省工业和信息化厅机关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陕西省工业和信息化厅机关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采购包1：分包比例34.8%，分包履行的内容：拟在成交后将成交项目的非主体、非关键性工作分包；资质要求详见第4章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2025未来产业系列对接活动(陕西行)项目，能够体现陕西省未来产业基础和科技资源优势，搭建高效、专业的交流平台，实现陕西省未来产业领域优秀企业和创新项目的精准对接。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2,897,500.00</w:t>
      </w:r>
    </w:p>
    <w:p>
      <w:pPr>
        <w:pStyle w:val="null3"/>
      </w:pPr>
      <w:r>
        <w:rPr>
          <w:rFonts w:ascii="仿宋_GB2312" w:hAnsi="仿宋_GB2312" w:cs="仿宋_GB2312" w:eastAsia="仿宋_GB2312"/>
        </w:rPr>
        <w:t>采购包最高限价（元）: 2,897,500.00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2025未来产业系列对接活动(陕西行)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2,897,500.00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标的名称：2025未来产业系列对接活动(陕西行)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w:t>
            </w:r>
            <w:r>
              <w:rPr>
                <w:rFonts w:ascii="仿宋_GB2312" w:hAnsi="仿宋_GB2312" w:cs="仿宋_GB2312" w:eastAsia="仿宋_GB2312"/>
                <w:sz w:val="21"/>
                <w:b/>
                <w:color w:val="000000"/>
              </w:rPr>
              <w:t>概况</w:t>
            </w:r>
          </w:p>
          <w:p>
            <w:pPr>
              <w:pStyle w:val="null3"/>
              <w:ind w:firstLine="480"/>
              <w:jc w:val="left"/>
            </w:pPr>
            <w:r>
              <w:rPr>
                <w:rFonts w:ascii="仿宋_GB2312" w:hAnsi="仿宋_GB2312" w:cs="仿宋_GB2312" w:eastAsia="仿宋_GB2312"/>
                <w:sz w:val="21"/>
                <w:color w:val="000000"/>
              </w:rPr>
              <w:t>2025未来产业系列对接活动(陕西行)项目，</w:t>
            </w:r>
            <w:r>
              <w:rPr>
                <w:rFonts w:ascii="仿宋_GB2312" w:hAnsi="仿宋_GB2312" w:cs="仿宋_GB2312" w:eastAsia="仿宋_GB2312"/>
                <w:sz w:val="21"/>
                <w:color w:val="000000"/>
              </w:rPr>
              <w:t>能够</w:t>
            </w:r>
            <w:r>
              <w:rPr>
                <w:rFonts w:ascii="仿宋_GB2312" w:hAnsi="仿宋_GB2312" w:cs="仿宋_GB2312" w:eastAsia="仿宋_GB2312"/>
                <w:sz w:val="21"/>
                <w:color w:val="000000"/>
              </w:rPr>
              <w:t>体现</w:t>
            </w:r>
            <w:r>
              <w:rPr>
                <w:rFonts w:ascii="仿宋_GB2312" w:hAnsi="仿宋_GB2312" w:cs="仿宋_GB2312" w:eastAsia="仿宋_GB2312"/>
                <w:sz w:val="21"/>
                <w:color w:val="000000"/>
              </w:rPr>
              <w:t>陕西省</w:t>
            </w:r>
            <w:r>
              <w:rPr>
                <w:rFonts w:ascii="仿宋_GB2312" w:hAnsi="仿宋_GB2312" w:cs="仿宋_GB2312" w:eastAsia="仿宋_GB2312"/>
                <w:sz w:val="21"/>
                <w:color w:val="000000"/>
              </w:rPr>
              <w:t>未来</w:t>
            </w:r>
            <w:r>
              <w:rPr>
                <w:rFonts w:ascii="仿宋_GB2312" w:hAnsi="仿宋_GB2312" w:cs="仿宋_GB2312" w:eastAsia="仿宋_GB2312"/>
                <w:sz w:val="21"/>
                <w:color w:val="000000"/>
              </w:rPr>
              <w:t>产业基础和科技资源优势</w:t>
            </w:r>
            <w:r>
              <w:rPr>
                <w:rFonts w:ascii="仿宋_GB2312" w:hAnsi="仿宋_GB2312" w:cs="仿宋_GB2312" w:eastAsia="仿宋_GB2312"/>
                <w:sz w:val="21"/>
                <w:color w:val="000000"/>
              </w:rPr>
              <w:t>，</w:t>
            </w:r>
            <w:r>
              <w:rPr>
                <w:rFonts w:ascii="仿宋_GB2312" w:hAnsi="仿宋_GB2312" w:cs="仿宋_GB2312" w:eastAsia="仿宋_GB2312"/>
                <w:sz w:val="21"/>
                <w:color w:val="000000"/>
              </w:rPr>
              <w:t>搭建高效、专业的交流平台，实现陕西省未来产业领域优秀企业和创新项目的精准对接</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项目</w:t>
            </w:r>
            <w:r>
              <w:rPr>
                <w:rFonts w:ascii="仿宋_GB2312" w:hAnsi="仿宋_GB2312" w:cs="仿宋_GB2312" w:eastAsia="仿宋_GB2312"/>
                <w:sz w:val="21"/>
                <w:b/>
                <w:color w:val="000000"/>
              </w:rPr>
              <w:t>要求</w:t>
            </w:r>
          </w:p>
          <w:p>
            <w:pPr>
              <w:pStyle w:val="null3"/>
              <w:ind w:firstLine="480"/>
              <w:jc w:val="left"/>
            </w:pPr>
            <w:r>
              <w:rPr>
                <w:rFonts w:ascii="仿宋_GB2312" w:hAnsi="仿宋_GB2312" w:cs="仿宋_GB2312" w:eastAsia="仿宋_GB2312"/>
                <w:sz w:val="21"/>
                <w:color w:val="000000"/>
              </w:rPr>
              <w:t>1.提供专业的服务团队，能满足对接活动的保障工作及采购方提出的相关要求。具备活动组织、会场设计、场地搭建、设备保障、资料印刷、企业对接、车辆安排等活动服务保障能力。</w:t>
            </w:r>
          </w:p>
          <w:p>
            <w:pPr>
              <w:pStyle w:val="null3"/>
              <w:ind w:firstLine="480"/>
              <w:jc w:val="left"/>
            </w:pPr>
            <w:r>
              <w:rPr>
                <w:rFonts w:ascii="仿宋_GB2312" w:hAnsi="仿宋_GB2312" w:cs="仿宋_GB2312" w:eastAsia="仿宋_GB2312"/>
                <w:sz w:val="21"/>
                <w:color w:val="000000"/>
              </w:rPr>
              <w:t>2.供应商在202</w:t>
            </w:r>
            <w:r>
              <w:rPr>
                <w:rFonts w:ascii="仿宋_GB2312" w:hAnsi="仿宋_GB2312" w:cs="仿宋_GB2312" w:eastAsia="仿宋_GB2312"/>
                <w:sz w:val="21"/>
                <w:color w:val="000000"/>
              </w:rPr>
              <w:t>4</w:t>
            </w:r>
            <w:r>
              <w:rPr>
                <w:rFonts w:ascii="仿宋_GB2312" w:hAnsi="仿宋_GB2312" w:cs="仿宋_GB2312" w:eastAsia="仿宋_GB2312"/>
                <w:sz w:val="21"/>
                <w:color w:val="000000"/>
              </w:rPr>
              <w:t>年</w:t>
            </w:r>
            <w:r>
              <w:rPr>
                <w:rFonts w:ascii="仿宋_GB2312" w:hAnsi="仿宋_GB2312" w:cs="仿宋_GB2312" w:eastAsia="仿宋_GB2312"/>
                <w:sz w:val="21"/>
                <w:color w:val="000000"/>
              </w:rPr>
              <w:t>至今</w:t>
            </w:r>
            <w:r>
              <w:rPr>
                <w:rFonts w:ascii="仿宋_GB2312" w:hAnsi="仿宋_GB2312" w:cs="仿宋_GB2312" w:eastAsia="仿宋_GB2312"/>
                <w:sz w:val="21"/>
                <w:color w:val="000000"/>
              </w:rPr>
              <w:t>主承办过</w:t>
            </w:r>
            <w:r>
              <w:rPr>
                <w:rFonts w:ascii="仿宋_GB2312" w:hAnsi="仿宋_GB2312" w:cs="仿宋_GB2312" w:eastAsia="仿宋_GB2312"/>
                <w:sz w:val="21"/>
                <w:color w:val="000000"/>
              </w:rPr>
              <w:t>类似</w:t>
            </w:r>
            <w:r>
              <w:rPr>
                <w:rFonts w:ascii="仿宋_GB2312" w:hAnsi="仿宋_GB2312" w:cs="仿宋_GB2312" w:eastAsia="仿宋_GB2312"/>
                <w:sz w:val="21"/>
                <w:color w:val="000000"/>
              </w:rPr>
              <w:t>大型活动；</w:t>
            </w:r>
          </w:p>
          <w:p>
            <w:pPr>
              <w:pStyle w:val="null3"/>
              <w:ind w:firstLine="480"/>
              <w:jc w:val="left"/>
            </w:pPr>
            <w:r>
              <w:rPr>
                <w:rFonts w:ascii="仿宋_GB2312" w:hAnsi="仿宋_GB2312" w:cs="仿宋_GB2312" w:eastAsia="仿宋_GB2312"/>
                <w:sz w:val="21"/>
                <w:color w:val="000000"/>
              </w:rPr>
              <w:t>3.供应商需熟悉全国、陕西的未来产业发展现状，具有组织对接全国未来产业相关领域优秀企业的能力；</w:t>
            </w:r>
          </w:p>
          <w:p>
            <w:pPr>
              <w:pStyle w:val="null3"/>
              <w:ind w:firstLine="480"/>
              <w:jc w:val="left"/>
            </w:pPr>
            <w:r>
              <w:rPr>
                <w:rFonts w:ascii="仿宋_GB2312" w:hAnsi="仿宋_GB2312" w:cs="仿宋_GB2312" w:eastAsia="仿宋_GB2312"/>
                <w:sz w:val="21"/>
                <w:color w:val="000000"/>
              </w:rPr>
              <w:t>4.供应商具备推动活动顺利举办的专业能力；</w:t>
            </w:r>
          </w:p>
          <w:p>
            <w:pPr>
              <w:pStyle w:val="null3"/>
              <w:ind w:firstLine="480"/>
              <w:jc w:val="left"/>
            </w:pPr>
            <w:r>
              <w:rPr>
                <w:rFonts w:ascii="仿宋_GB2312" w:hAnsi="仿宋_GB2312" w:cs="仿宋_GB2312" w:eastAsia="仿宋_GB2312"/>
                <w:sz w:val="21"/>
                <w:color w:val="000000"/>
              </w:rPr>
              <w:t>5.供应商具备邀请未来产业相关领域院士、专家的能力。</w:t>
            </w:r>
          </w:p>
          <w:p>
            <w:pPr>
              <w:pStyle w:val="null3"/>
              <w:ind w:firstLine="480"/>
              <w:jc w:val="left"/>
            </w:pPr>
            <w:r>
              <w:rPr>
                <w:rFonts w:ascii="仿宋_GB2312" w:hAnsi="仿宋_GB2312" w:cs="仿宋_GB2312" w:eastAsia="仿宋_GB2312"/>
                <w:sz w:val="21"/>
                <w:b/>
                <w:color w:val="000000"/>
              </w:rPr>
              <w:t>三、活动内容</w:t>
            </w:r>
          </w:p>
          <w:p>
            <w:pPr>
              <w:pStyle w:val="null3"/>
              <w:ind w:firstLine="480"/>
              <w:jc w:val="left"/>
            </w:pPr>
            <w:r>
              <w:rPr>
                <w:rFonts w:ascii="仿宋_GB2312" w:hAnsi="仿宋_GB2312" w:cs="仿宋_GB2312" w:eastAsia="仿宋_GB2312"/>
                <w:sz w:val="21"/>
                <w:color w:val="000000"/>
              </w:rPr>
              <w:t>本次活动拟邀请工信部、省政府有关领导，两院院士，省级相关部门负责同志，有关地市工信部门负责同志，省内外未来领域龙头企业负责人参会。通过举办未来产业系列对接活动，搭建资源对接平台，为未来产业领域技术交流、项目合作奠定基础，通过展示陕西在未来产业领域的技术实力与产业潜力，吸引更多人才、项目落地。</w:t>
            </w:r>
          </w:p>
          <w:p>
            <w:pPr>
              <w:pStyle w:val="null3"/>
              <w:ind w:firstLine="480"/>
              <w:jc w:val="left"/>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保密要求</w:t>
            </w:r>
          </w:p>
          <w:p>
            <w:pPr>
              <w:pStyle w:val="null3"/>
            </w:pPr>
            <w:r>
              <w:rPr>
                <w:rFonts w:ascii="仿宋_GB2312" w:hAnsi="仿宋_GB2312" w:cs="仿宋_GB2312" w:eastAsia="仿宋_GB2312"/>
                <w:sz w:val="21"/>
              </w:rPr>
              <w:t>供应商应严守参加活动的企业机密，不得以任何的形式将相关资料及信息透露给第三方。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项目合同签订后，达到付款条件后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项目完成并通过验收后，达到付款条件</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事业单位参与磋商可不提供此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事业单位参与磋商可不提供此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事业单位参与磋商可不提供此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供应商应提供《非联合体磋商声明》。</w:t>
            </w:r>
          </w:p>
        </w:tc>
        <w:tc>
          <w:tcPr>
            <w:tcW w:type="dxa" w:w="1661"/>
          </w:tcPr>
          <w:p>
            <w:pPr>
              <w:pStyle w:val="null3"/>
            </w:pPr>
            <w:r>
              <w:rPr>
                <w:rFonts w:ascii="仿宋_GB2312" w:hAnsi="仿宋_GB2312" w:cs="仿宋_GB2312" w:eastAsia="仿宋_GB2312"/>
              </w:rPr>
              <w:t>非联合体磋商声明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保证金汇款声明函、保函 非联合体磋商声明 报价表 控股管理关系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保证金汇款声明函、保函 非联合体磋商声明 报价表 控股管理关系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保证金汇款声明函、保函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保证金汇款声明函、保函 非联合体磋商声明 报价表 控股管理关系 响应文件封面 近三年无重大违法、违纪书面声明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能够对本次活动通过国内主流媒体进行宣传报道的，得5分。（提供相关证明文件，不提供或不符合要求的不得分。）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活动方案</w:t>
            </w:r>
          </w:p>
        </w:tc>
        <w:tc>
          <w:tcPr>
            <w:tcW w:type="dxa" w:w="2492"/>
          </w:tcPr>
          <w:p>
            <w:pPr>
              <w:pStyle w:val="null3"/>
            </w:pPr>
            <w:r>
              <w:rPr>
                <w:rFonts w:ascii="仿宋_GB2312" w:hAnsi="仿宋_GB2312" w:cs="仿宋_GB2312" w:eastAsia="仿宋_GB2312"/>
              </w:rPr>
              <w:t>针对本项目主要活动及3场专场活动制定详细的可操作的方案，包括但不仅限于项目具体实施、会场布置、设备租赁、秩序维护、现场管理、后勤保障及救援等内容。 1.方案详细完整，针对性强、可操作性强，思路合理得20分； 2.方案较详细，针对性、可操作性较强，思路较合理得12分； 3.方案简单，针对性、可操作性一般，思路可行性不高得8分； 4.方案可操作性差，思路不尽合理得3分； 5.未提供方案，得0分。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资源协调方案</w:t>
            </w:r>
          </w:p>
        </w:tc>
        <w:tc>
          <w:tcPr>
            <w:tcW w:type="dxa" w:w="2492"/>
          </w:tcPr>
          <w:p>
            <w:pPr>
              <w:pStyle w:val="null3"/>
            </w:pPr>
            <w:r>
              <w:rPr>
                <w:rFonts w:ascii="仿宋_GB2312" w:hAnsi="仿宋_GB2312" w:cs="仿宋_GB2312" w:eastAsia="仿宋_GB2312"/>
              </w:rPr>
              <w:t>1.能够为本次活动前期调研邀约企业，邀请省外未来产业相关企业10家及以上的，得10分；少于10家不得分。 2.邀请省外未来产业相关企业10家及以上参加本次活动（含主场活动及3场平行企业对接活动）的，得6分；少于10家不得分。注：须提供企业相关信息及供应商承诺函，未提供不得分。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1.项目负责人具有硕士及以上学位的得1分； 2.每有1位项目组成员为本科及以上学历毕业且具备未来产业及本次活动组织相关专业（包括但不限于传播学、电子工程、工商管理、社会服务管理学等专业）得1分，满分4分； 3.项目组成员具有中级职称证书的，有一个得1分，本项最高得3分。 （提供学历学位以及职称证等相关证明材料，未提供或不符合要求的不得分。）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参会专家邀约</w:t>
            </w:r>
          </w:p>
        </w:tc>
        <w:tc>
          <w:tcPr>
            <w:tcW w:type="dxa" w:w="2492"/>
          </w:tcPr>
          <w:p>
            <w:pPr>
              <w:pStyle w:val="null3"/>
            </w:pPr>
            <w:r>
              <w:rPr>
                <w:rFonts w:ascii="仿宋_GB2312" w:hAnsi="仿宋_GB2312" w:cs="仿宋_GB2312" w:eastAsia="仿宋_GB2312"/>
              </w:rPr>
              <w:t>能够邀请至少1位院士参加本次活动，得4分，院士专业方向须为未来信息、未来材料、未来空间、未来能源的任意一个。 注：须提供院士的相关信息及供应商承诺函，未提供不得分。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组织架构、岗位职责分工、管理机制</w:t>
            </w:r>
          </w:p>
        </w:tc>
        <w:tc>
          <w:tcPr>
            <w:tcW w:type="dxa" w:w="2492"/>
          </w:tcPr>
          <w:p>
            <w:pPr>
              <w:pStyle w:val="null3"/>
            </w:pPr>
            <w:r>
              <w:rPr>
                <w:rFonts w:ascii="仿宋_GB2312" w:hAnsi="仿宋_GB2312" w:cs="仿宋_GB2312" w:eastAsia="仿宋_GB2312"/>
              </w:rPr>
              <w:t>1.组织架构、各岗位职责分工、管理机制详细完整，针对性强、可操作性强，思路合理得9分； 2.组织架构、各岗位职责分工、管理机制较详细，针对性、可操作性较强，思路较合理得6分； 3.组织架构、各岗位职责分工、管理机制简单，针对性、可操作性一般，思路可行性不高得3分； 4.组织架构、各岗位职责分工、管理机制可操作性差，思路不尽合理得1分； 5.未提供组织架构、各岗位职责分工、管理机制得0分。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包括但不限于安全保障方案、医疗保障方案、活动延期、活动现场突发状况的应急措施 。 1.措施详细完整，针对性强、可操作性强，思路合理得8分； 2.措施较详细，针对性、可操作性较强，思路较合理得6分； 3.措施简单，针对性、可操作性一般，思路可行性不高得4分； 4.措施可操作性差，思路不尽合理得2分； 5.未提供措施，得0分。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包括但不限于：活动资料审核及管理制度；活动资料移交制度。 1.方案详细完整，针对性强、可操作性强，思路合理得8分。 2.方案较详细，针对性、可操作性较强，思路较合理得6分； 3.方案简单，针对性、可操作性一般，思路可行性不高得4分； 4.方案可操作性差，思路不尽合理得2分； 5.未提供方案，得0分。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供应商提供2024年1月1日至今类似业绩（以合同签订日期为准），每提供1个得3分，满分12分。 注：提供完整合同复印件并加盖公章。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详见附件：保证金汇款声明函、保函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详见附件：非联合体磋商声明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