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85CF0">
      <w:pPr>
        <w:wordWrap w:val="0"/>
        <w:topLinePunct/>
        <w:spacing w:line="500" w:lineRule="exact"/>
        <w:jc w:val="center"/>
        <w:outlineLvl w:val="0"/>
        <w:rPr>
          <w:rFonts w:ascii="宋体" w:hAnsi="宋体" w:cs="宋体"/>
          <w:b/>
          <w:bCs/>
          <w:highlight w:val="none"/>
          <w:u w:val="single"/>
        </w:rPr>
      </w:pPr>
      <w:bookmarkStart w:id="0" w:name="_Toc25110"/>
      <w:r>
        <w:rPr>
          <w:rStyle w:val="5"/>
          <w:rFonts w:hint="eastAsia" w:ascii="黑体" w:hAnsi="黑体" w:eastAsia="黑体" w:cs="黑体"/>
          <w:sz w:val="32"/>
          <w:szCs w:val="32"/>
          <w:highlight w:val="none"/>
          <w:lang w:val="en-US" w:eastAsia="zh-CN"/>
        </w:rPr>
        <w:t>参考</w:t>
      </w:r>
      <w:r>
        <w:rPr>
          <w:rStyle w:val="5"/>
          <w:rFonts w:hint="eastAsia" w:ascii="黑体" w:hAnsi="黑体" w:eastAsia="黑体" w:cs="黑体"/>
          <w:sz w:val="32"/>
          <w:szCs w:val="32"/>
          <w:highlight w:val="none"/>
        </w:rPr>
        <w:t>合同文本</w:t>
      </w:r>
      <w:bookmarkEnd w:id="0"/>
    </w:p>
    <w:p w14:paraId="0CF82A5A">
      <w:pPr>
        <w:spacing w:line="360" w:lineRule="auto"/>
        <w:ind w:firstLine="481"/>
        <w:jc w:val="left"/>
        <w:rPr>
          <w:rFonts w:ascii="黑体" w:hAnsi="??" w:eastAsia="黑体" w:cs="??"/>
          <w:b/>
          <w:sz w:val="22"/>
          <w:szCs w:val="20"/>
          <w:highlight w:val="none"/>
          <w:u w:val="single"/>
        </w:rPr>
      </w:pPr>
      <w:r>
        <w:rPr>
          <w:rFonts w:hint="eastAsia" w:ascii="黑体" w:hAnsi="??" w:eastAsia="黑体" w:cs="??"/>
          <w:b/>
          <w:sz w:val="22"/>
          <w:szCs w:val="20"/>
          <w:highlight w:val="none"/>
          <w:u w:val="single"/>
        </w:rPr>
        <w:t>注：本合同仅为合同的参考文本，合同签订双方可根据项目的具体要求进行修订。</w:t>
      </w:r>
    </w:p>
    <w:p w14:paraId="403C988B">
      <w:pPr>
        <w:spacing w:line="360" w:lineRule="auto"/>
        <w:ind w:firstLine="481"/>
        <w:jc w:val="left"/>
        <w:rPr>
          <w:rFonts w:ascii="黑体" w:hAnsi="??" w:eastAsia="黑体" w:cs="??"/>
          <w:b/>
          <w:sz w:val="22"/>
          <w:szCs w:val="20"/>
          <w:highlight w:val="none"/>
        </w:rPr>
      </w:pPr>
    </w:p>
    <w:p w14:paraId="1243BC3F">
      <w:pPr>
        <w:spacing w:line="360" w:lineRule="auto"/>
        <w:jc w:val="center"/>
        <w:rPr>
          <w:rFonts w:ascii="黑体" w:hAnsi="仿宋" w:eastAsia="黑体" w:cs="Times New Roman"/>
          <w:sz w:val="32"/>
          <w:szCs w:val="32"/>
          <w:highlight w:val="none"/>
        </w:rPr>
      </w:pPr>
      <w:bookmarkStart w:id="1" w:name="_Toc484353362"/>
      <w:bookmarkStart w:id="2" w:name="_Toc483349426"/>
      <w:bookmarkStart w:id="3" w:name="_Toc17018"/>
      <w:bookmarkStart w:id="4" w:name="_Toc24645"/>
      <w:bookmarkStart w:id="5" w:name="_Toc24759"/>
      <w:bookmarkStart w:id="6" w:name="_Toc25256"/>
      <w:bookmarkStart w:id="7" w:name="_Toc23240"/>
      <w:r>
        <w:rPr>
          <w:rFonts w:hint="eastAsia" w:ascii="黑体" w:hAnsi="黑体" w:eastAsia="黑体" w:cs="黑体"/>
          <w:b/>
          <w:bCs/>
          <w:sz w:val="32"/>
          <w:szCs w:val="32"/>
          <w:highlight w:val="none"/>
        </w:rPr>
        <w:t>政府采购合同</w:t>
      </w:r>
      <w:bookmarkEnd w:id="1"/>
      <w:bookmarkEnd w:id="2"/>
      <w:bookmarkEnd w:id="3"/>
      <w:bookmarkEnd w:id="4"/>
      <w:bookmarkEnd w:id="5"/>
      <w:bookmarkEnd w:id="6"/>
      <w:bookmarkEnd w:id="7"/>
    </w:p>
    <w:p w14:paraId="583239F1">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u w:val="single"/>
          <w:lang w:val="zh-CN"/>
        </w:rPr>
        <w:t xml:space="preserve">        </w:t>
      </w:r>
      <w:r>
        <w:rPr>
          <w:rFonts w:hint="eastAsia" w:ascii="宋体" w:hAnsi="宋体" w:cs="宋体"/>
          <w:sz w:val="24"/>
          <w:szCs w:val="24"/>
          <w:highlight w:val="none"/>
          <w:lang w:val="zh-CN"/>
        </w:rPr>
        <w:t>年</w:t>
      </w:r>
      <w:r>
        <w:rPr>
          <w:rFonts w:hint="eastAsia" w:ascii="宋体" w:hAnsi="宋体" w:cs="宋体"/>
          <w:sz w:val="24"/>
          <w:szCs w:val="24"/>
          <w:highlight w:val="none"/>
          <w:u w:val="single"/>
          <w:lang w:val="zh-CN"/>
        </w:rPr>
        <w:t xml:space="preserve">    </w:t>
      </w:r>
      <w:r>
        <w:rPr>
          <w:rFonts w:hint="eastAsia" w:ascii="宋体" w:hAnsi="宋体" w:cs="宋体"/>
          <w:sz w:val="24"/>
          <w:szCs w:val="24"/>
          <w:highlight w:val="none"/>
          <w:lang w:val="zh-CN"/>
        </w:rPr>
        <w:t>月</w:t>
      </w:r>
      <w:r>
        <w:rPr>
          <w:rFonts w:hint="eastAsia" w:ascii="宋体" w:hAnsi="宋体" w:cs="宋体"/>
          <w:sz w:val="24"/>
          <w:szCs w:val="24"/>
          <w:highlight w:val="none"/>
          <w:u w:val="single"/>
          <w:lang w:val="zh-CN"/>
        </w:rPr>
        <w:t xml:space="preserve">    </w:t>
      </w:r>
      <w:r>
        <w:rPr>
          <w:rFonts w:hint="eastAsia" w:ascii="宋体" w:hAnsi="宋体" w:cs="宋体"/>
          <w:sz w:val="24"/>
          <w:szCs w:val="24"/>
          <w:highlight w:val="none"/>
          <w:lang w:val="zh-CN"/>
        </w:rPr>
        <w:t>日</w:t>
      </w:r>
      <w:r>
        <w:rPr>
          <w:rFonts w:hint="eastAsia" w:ascii="宋体" w:hAnsi="宋体" w:cs="宋体"/>
          <w:sz w:val="24"/>
          <w:szCs w:val="24"/>
          <w:highlight w:val="none"/>
        </w:rPr>
        <w:t>，</w:t>
      </w:r>
      <w:r>
        <w:rPr>
          <w:rFonts w:hint="eastAsia" w:ascii="宋体" w:hAnsi="宋体" w:cs="宋体"/>
          <w:sz w:val="24"/>
          <w:szCs w:val="24"/>
          <w:highlight w:val="none"/>
          <w:u w:val="single"/>
        </w:rPr>
        <w:t>（采购人）</w:t>
      </w:r>
      <w:r>
        <w:rPr>
          <w:rFonts w:hint="eastAsia" w:ascii="宋体" w:hAnsi="宋体" w:cs="宋体"/>
          <w:sz w:val="24"/>
          <w:szCs w:val="24"/>
          <w:highlight w:val="none"/>
        </w:rPr>
        <w:t>（以下简称“甲方”）以</w:t>
      </w:r>
      <w:r>
        <w:rPr>
          <w:rFonts w:hint="eastAsia" w:ascii="宋体" w:hAnsi="宋体" w:cs="宋体"/>
          <w:sz w:val="24"/>
          <w:szCs w:val="24"/>
          <w:highlight w:val="none"/>
          <w:u w:val="single"/>
        </w:rPr>
        <w:t>竞争性磋商</w:t>
      </w:r>
      <w:r>
        <w:rPr>
          <w:rFonts w:hint="eastAsia" w:ascii="宋体" w:hAnsi="宋体" w:cs="宋体"/>
          <w:sz w:val="24"/>
          <w:szCs w:val="24"/>
          <w:highlight w:val="none"/>
        </w:rPr>
        <w:t>的方式对</w:t>
      </w:r>
      <w:r>
        <w:rPr>
          <w:rFonts w:hint="eastAsia" w:ascii="宋体" w:hAnsi="宋体" w:cs="宋体"/>
          <w:sz w:val="24"/>
          <w:szCs w:val="24"/>
          <w:highlight w:val="none"/>
          <w:u w:val="single"/>
        </w:rPr>
        <w:t>“</w:t>
      </w:r>
      <w:r>
        <w:rPr>
          <w:rFonts w:hint="eastAsia" w:ascii="宋体" w:hAnsi="宋体"/>
          <w:sz w:val="24"/>
          <w:highlight w:val="none"/>
          <w:u w:val="single"/>
        </w:rPr>
        <w:t>（</w:t>
      </w:r>
      <w:r>
        <w:rPr>
          <w:rFonts w:hint="eastAsia" w:hAnsi="宋体"/>
          <w:sz w:val="24"/>
          <w:szCs w:val="24"/>
          <w:highlight w:val="none"/>
          <w:u w:val="single"/>
        </w:rPr>
        <w:t>项目名称）</w:t>
      </w:r>
      <w:r>
        <w:rPr>
          <w:rFonts w:hint="eastAsia" w:ascii="宋体" w:hAnsi="宋体" w:cs="宋体"/>
          <w:sz w:val="24"/>
          <w:szCs w:val="24"/>
          <w:highlight w:val="none"/>
          <w:u w:val="single"/>
        </w:rPr>
        <w:t>”</w:t>
      </w:r>
      <w:r>
        <w:rPr>
          <w:rFonts w:hint="eastAsia" w:ascii="宋体" w:hAnsi="宋体" w:cs="宋体"/>
          <w:sz w:val="24"/>
          <w:szCs w:val="24"/>
          <w:highlight w:val="none"/>
        </w:rPr>
        <w:t>（项目编号：（项目编号））进行了采购。经</w:t>
      </w:r>
      <w:r>
        <w:rPr>
          <w:rFonts w:hint="eastAsia" w:ascii="宋体" w:hAnsi="宋体" w:cs="宋体"/>
          <w:sz w:val="24"/>
          <w:szCs w:val="24"/>
          <w:highlight w:val="none"/>
          <w:u w:val="single"/>
        </w:rPr>
        <w:t>磋商小组</w:t>
      </w:r>
      <w:r>
        <w:rPr>
          <w:rFonts w:hint="eastAsia" w:ascii="宋体" w:hAnsi="宋体" w:cs="宋体"/>
          <w:sz w:val="24"/>
          <w:szCs w:val="24"/>
          <w:highlight w:val="none"/>
        </w:rPr>
        <w:t>评定，</w:t>
      </w:r>
      <w:r>
        <w:rPr>
          <w:rFonts w:hint="eastAsia" w:ascii="宋体" w:hAnsi="宋体" w:cs="宋体"/>
          <w:sz w:val="24"/>
          <w:szCs w:val="24"/>
          <w:highlight w:val="none"/>
          <w:u w:val="single"/>
        </w:rPr>
        <w:t xml:space="preserve">  （成交供应商名称） </w:t>
      </w:r>
      <w:r>
        <w:rPr>
          <w:rFonts w:hint="eastAsia" w:ascii="宋体" w:hAnsi="宋体" w:cs="宋体"/>
          <w:sz w:val="24"/>
          <w:szCs w:val="24"/>
          <w:highlight w:val="none"/>
        </w:rPr>
        <w:t>（以下简称“乙方”）为该项目成交供应商。现于成交通知书发出之日起三十日内，按照采购文件确定的事项签订本合同。</w:t>
      </w:r>
    </w:p>
    <w:p w14:paraId="274A6F6B">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lang w:val="zh-CN"/>
        </w:rPr>
        <w:t>根据《中华人民共和国</w:t>
      </w:r>
      <w:r>
        <w:rPr>
          <w:rFonts w:hint="eastAsia" w:ascii="宋体" w:hAnsi="宋体" w:cs="宋体"/>
          <w:sz w:val="24"/>
          <w:szCs w:val="24"/>
          <w:highlight w:val="none"/>
        </w:rPr>
        <w:t>民法典</w:t>
      </w:r>
      <w:r>
        <w:rPr>
          <w:rFonts w:hint="eastAsia" w:ascii="宋体" w:hAnsi="宋体" w:cs="宋体"/>
          <w:sz w:val="24"/>
          <w:szCs w:val="24"/>
          <w:highlight w:val="none"/>
          <w:lang w:val="zh-CN"/>
        </w:rPr>
        <w:t>》、《中华人民共和国政府采购法》等相关法律法规之规定，按照平等、自愿、公平和诚实信用的原则，经甲方和乙方协商一致，约定以下合同</w:t>
      </w:r>
      <w:r>
        <w:rPr>
          <w:rFonts w:hint="eastAsia" w:ascii="宋体" w:hAnsi="宋体" w:cs="宋体"/>
          <w:sz w:val="24"/>
          <w:szCs w:val="24"/>
          <w:highlight w:val="none"/>
        </w:rPr>
        <w:t>条款，以兹共同遵守、全面履行。</w:t>
      </w:r>
    </w:p>
    <w:p w14:paraId="7A872081">
      <w:pPr>
        <w:spacing w:line="360" w:lineRule="auto"/>
        <w:ind w:firstLine="482" w:firstLineChars="200"/>
        <w:rPr>
          <w:rFonts w:ascii="宋体" w:hAnsi="宋体" w:cs="宋体"/>
          <w:sz w:val="24"/>
          <w:szCs w:val="24"/>
          <w:highlight w:val="none"/>
        </w:rPr>
      </w:pPr>
      <w:bookmarkStart w:id="8" w:name="_Toc28855"/>
      <w:bookmarkStart w:id="9" w:name="_Toc9470"/>
      <w:bookmarkStart w:id="10" w:name="_Toc20421"/>
      <w:bookmarkStart w:id="11" w:name="_Toc6601"/>
      <w:bookmarkStart w:id="12" w:name="_Toc15367"/>
      <w:bookmarkStart w:id="13" w:name="_Toc26482"/>
      <w:bookmarkStart w:id="14" w:name="_Toc22967"/>
      <w:bookmarkStart w:id="15" w:name="_Toc19273"/>
      <w:r>
        <w:rPr>
          <w:rFonts w:hint="eastAsia" w:ascii="宋体" w:hAnsi="宋体" w:cs="宋体"/>
          <w:b/>
          <w:sz w:val="24"/>
          <w:szCs w:val="24"/>
          <w:highlight w:val="none"/>
        </w:rPr>
        <w:t>1.1合同组成部分</w:t>
      </w:r>
      <w:bookmarkEnd w:id="8"/>
      <w:bookmarkEnd w:id="9"/>
      <w:bookmarkEnd w:id="10"/>
      <w:bookmarkEnd w:id="11"/>
      <w:bookmarkEnd w:id="12"/>
      <w:bookmarkEnd w:id="13"/>
      <w:bookmarkEnd w:id="14"/>
      <w:bookmarkEnd w:id="15"/>
    </w:p>
    <w:p w14:paraId="773DB583">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7730FC38">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1.1.1本合同及其补充合同、变更协议；</w:t>
      </w:r>
    </w:p>
    <w:p w14:paraId="64F7EC11">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1.1.2成交通知书；</w:t>
      </w:r>
    </w:p>
    <w:p w14:paraId="3146C9FC">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1.1.3响应文件（含澄清或者说明文件）；</w:t>
      </w:r>
    </w:p>
    <w:p w14:paraId="66C88784">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1.1.4竞争性磋商文件（含澄清或者修改文件）；</w:t>
      </w:r>
    </w:p>
    <w:p w14:paraId="33591F12">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1.1.5其他相关采购文件。</w:t>
      </w:r>
    </w:p>
    <w:p w14:paraId="12AB5425">
      <w:pPr>
        <w:spacing w:line="360" w:lineRule="auto"/>
        <w:ind w:firstLine="482" w:firstLineChars="200"/>
        <w:rPr>
          <w:rFonts w:ascii="宋体" w:hAnsi="宋体" w:cs="宋体"/>
          <w:b/>
          <w:sz w:val="24"/>
          <w:szCs w:val="24"/>
          <w:highlight w:val="none"/>
        </w:rPr>
      </w:pPr>
      <w:bookmarkStart w:id="16" w:name="_Toc6311"/>
      <w:bookmarkStart w:id="17" w:name="_Toc30141"/>
      <w:bookmarkStart w:id="18" w:name="_Toc18585"/>
      <w:bookmarkStart w:id="19" w:name="_Toc2918"/>
      <w:bookmarkStart w:id="20" w:name="_Toc16407"/>
      <w:bookmarkStart w:id="21" w:name="_Toc6773"/>
      <w:bookmarkStart w:id="22" w:name="_Toc18557"/>
      <w:bookmarkStart w:id="23" w:name="_Toc22185"/>
      <w:r>
        <w:rPr>
          <w:rFonts w:hint="eastAsia" w:ascii="宋体" w:hAnsi="宋体" w:cs="宋体"/>
          <w:b/>
          <w:sz w:val="24"/>
          <w:szCs w:val="24"/>
          <w:highlight w:val="none"/>
        </w:rPr>
        <w:t>1.2标的</w:t>
      </w:r>
      <w:bookmarkEnd w:id="16"/>
      <w:bookmarkEnd w:id="17"/>
      <w:bookmarkEnd w:id="18"/>
      <w:bookmarkEnd w:id="19"/>
      <w:bookmarkEnd w:id="20"/>
      <w:bookmarkEnd w:id="21"/>
      <w:bookmarkEnd w:id="22"/>
      <w:bookmarkEnd w:id="23"/>
    </w:p>
    <w:p w14:paraId="3FC32365">
      <w:pPr>
        <w:spacing w:line="360" w:lineRule="auto"/>
        <w:ind w:firstLine="480" w:firstLineChars="200"/>
        <w:rPr>
          <w:rFonts w:ascii="宋体" w:hAnsi="宋体" w:cs="宋体"/>
          <w:sz w:val="24"/>
          <w:szCs w:val="24"/>
          <w:highlight w:val="none"/>
          <w:u w:val="single"/>
        </w:rPr>
      </w:pPr>
      <w:r>
        <w:rPr>
          <w:rFonts w:hint="eastAsia" w:ascii="宋体" w:hAnsi="宋体" w:cs="宋体"/>
          <w:sz w:val="24"/>
          <w:szCs w:val="24"/>
          <w:highlight w:val="none"/>
        </w:rPr>
        <w:t>1.2.1标的名称：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p>
    <w:p w14:paraId="0AD5D5FC">
      <w:pPr>
        <w:spacing w:line="360" w:lineRule="auto"/>
        <w:ind w:firstLine="480" w:firstLineChars="200"/>
        <w:rPr>
          <w:rFonts w:ascii="宋体" w:hAnsi="宋体" w:cs="宋体"/>
          <w:sz w:val="24"/>
          <w:szCs w:val="24"/>
          <w:highlight w:val="none"/>
          <w:u w:val="single"/>
        </w:rPr>
      </w:pPr>
      <w:r>
        <w:rPr>
          <w:rFonts w:hint="eastAsia" w:ascii="宋体" w:hAnsi="宋体" w:cs="宋体"/>
          <w:sz w:val="24"/>
          <w:szCs w:val="24"/>
          <w:highlight w:val="none"/>
        </w:rPr>
        <w:t>1.2.2标的数量：</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p>
    <w:p w14:paraId="5439A766">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1.2.3标的质量：</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p>
    <w:p w14:paraId="08E6772F">
      <w:pPr>
        <w:spacing w:line="360" w:lineRule="auto"/>
        <w:ind w:firstLine="482" w:firstLineChars="200"/>
        <w:rPr>
          <w:rFonts w:ascii="宋体" w:hAnsi="宋体" w:cs="宋体"/>
          <w:b/>
          <w:sz w:val="24"/>
          <w:szCs w:val="24"/>
          <w:highlight w:val="none"/>
        </w:rPr>
      </w:pPr>
      <w:bookmarkStart w:id="24" w:name="_Toc1386"/>
      <w:bookmarkStart w:id="25" w:name="_Toc20141"/>
      <w:bookmarkStart w:id="26" w:name="_Toc21124"/>
      <w:bookmarkStart w:id="27" w:name="_Toc5635"/>
      <w:bookmarkStart w:id="28" w:name="_Toc6409"/>
      <w:bookmarkStart w:id="29" w:name="_Toc4929"/>
      <w:bookmarkStart w:id="30" w:name="_Toc13918"/>
      <w:bookmarkStart w:id="31" w:name="_Toc21782"/>
      <w:r>
        <w:rPr>
          <w:rFonts w:hint="eastAsia" w:ascii="宋体" w:hAnsi="宋体" w:cs="宋体"/>
          <w:b/>
          <w:sz w:val="24"/>
          <w:szCs w:val="24"/>
          <w:highlight w:val="none"/>
        </w:rPr>
        <w:t>1.3价款</w:t>
      </w:r>
      <w:bookmarkEnd w:id="24"/>
      <w:bookmarkEnd w:id="25"/>
      <w:bookmarkEnd w:id="26"/>
      <w:bookmarkEnd w:id="27"/>
      <w:bookmarkEnd w:id="28"/>
      <w:bookmarkEnd w:id="29"/>
      <w:bookmarkEnd w:id="30"/>
      <w:bookmarkEnd w:id="31"/>
    </w:p>
    <w:p w14:paraId="600D9261">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本合同总价为：￥</w:t>
      </w:r>
      <w:r>
        <w:rPr>
          <w:rFonts w:hint="eastAsia" w:ascii="宋体" w:hAnsi="宋体" w:cs="宋体"/>
          <w:sz w:val="24"/>
          <w:szCs w:val="24"/>
          <w:highlight w:val="none"/>
          <w:u w:val="single"/>
        </w:rPr>
        <w:t xml:space="preserve">           </w:t>
      </w:r>
      <w:r>
        <w:rPr>
          <w:rFonts w:hint="eastAsia" w:ascii="宋体" w:hAnsi="宋体" w:cs="宋体"/>
          <w:sz w:val="24"/>
          <w:szCs w:val="24"/>
          <w:highlight w:val="none"/>
        </w:rPr>
        <w:t>元（大写：</w:t>
      </w:r>
      <w:r>
        <w:rPr>
          <w:rFonts w:hint="eastAsia" w:ascii="宋体" w:hAnsi="宋体" w:cs="宋体"/>
          <w:sz w:val="24"/>
          <w:szCs w:val="24"/>
          <w:highlight w:val="none"/>
          <w:u w:val="single"/>
        </w:rPr>
        <w:t xml:space="preserve">                 </w:t>
      </w:r>
      <w:r>
        <w:rPr>
          <w:rFonts w:hint="eastAsia" w:ascii="宋体" w:hAnsi="宋体" w:cs="宋体"/>
          <w:sz w:val="24"/>
          <w:szCs w:val="24"/>
          <w:highlight w:val="none"/>
        </w:rPr>
        <w:t>元人民币）。</w:t>
      </w:r>
    </w:p>
    <w:p w14:paraId="6B51B384">
      <w:pPr>
        <w:spacing w:line="360" w:lineRule="auto"/>
        <w:ind w:firstLine="480" w:firstLineChars="200"/>
        <w:rPr>
          <w:rFonts w:ascii="宋体" w:hAnsi="宋体" w:cs="宋体"/>
          <w:sz w:val="24"/>
          <w:szCs w:val="24"/>
          <w:highlight w:val="none"/>
          <w:u w:val="single"/>
        </w:rPr>
      </w:pPr>
      <w:r>
        <w:rPr>
          <w:rFonts w:hint="eastAsia" w:ascii="宋体" w:hAnsi="宋体" w:cs="宋体"/>
          <w:sz w:val="24"/>
          <w:szCs w:val="24"/>
          <w:highlight w:val="none"/>
        </w:rPr>
        <w:t>分项价格：</w:t>
      </w:r>
    </w:p>
    <w:tbl>
      <w:tblPr>
        <w:tblStyle w:val="3"/>
        <w:tblW w:w="7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63320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5E0DE840">
            <w:pPr>
              <w:pStyle w:val="6"/>
              <w:spacing w:line="360" w:lineRule="auto"/>
              <w:jc w:val="center"/>
              <w:rPr>
                <w:rFonts w:hAnsi="宋体" w:cs="宋体"/>
                <w:sz w:val="24"/>
                <w:szCs w:val="24"/>
                <w:highlight w:val="none"/>
              </w:rPr>
            </w:pPr>
            <w:r>
              <w:rPr>
                <w:rFonts w:hint="eastAsia" w:hAnsi="宋体" w:cs="宋体"/>
                <w:sz w:val="24"/>
                <w:szCs w:val="24"/>
                <w:highlight w:val="none"/>
              </w:rPr>
              <w:t>序号</w:t>
            </w:r>
          </w:p>
        </w:tc>
        <w:tc>
          <w:tcPr>
            <w:tcW w:w="3402" w:type="dxa"/>
            <w:vAlign w:val="center"/>
          </w:tcPr>
          <w:p w14:paraId="771F295D">
            <w:pPr>
              <w:pStyle w:val="6"/>
              <w:spacing w:line="360" w:lineRule="auto"/>
              <w:ind w:firstLine="200"/>
              <w:jc w:val="center"/>
              <w:rPr>
                <w:rFonts w:hAnsi="宋体" w:cs="宋体"/>
                <w:sz w:val="24"/>
                <w:szCs w:val="24"/>
                <w:highlight w:val="none"/>
              </w:rPr>
            </w:pPr>
            <w:r>
              <w:rPr>
                <w:rFonts w:hint="eastAsia" w:hAnsi="宋体" w:cs="宋体"/>
                <w:sz w:val="24"/>
                <w:szCs w:val="24"/>
                <w:highlight w:val="none"/>
              </w:rPr>
              <w:t>分项名称</w:t>
            </w:r>
          </w:p>
        </w:tc>
        <w:tc>
          <w:tcPr>
            <w:tcW w:w="2552" w:type="dxa"/>
            <w:vAlign w:val="center"/>
          </w:tcPr>
          <w:p w14:paraId="6A69C1CB">
            <w:pPr>
              <w:pStyle w:val="6"/>
              <w:spacing w:line="360" w:lineRule="auto"/>
              <w:jc w:val="center"/>
              <w:rPr>
                <w:rFonts w:hAnsi="宋体" w:cs="宋体"/>
                <w:sz w:val="24"/>
                <w:szCs w:val="24"/>
                <w:highlight w:val="none"/>
              </w:rPr>
            </w:pPr>
            <w:r>
              <w:rPr>
                <w:rFonts w:hint="eastAsia" w:hAnsi="宋体" w:cs="宋体"/>
                <w:sz w:val="24"/>
                <w:szCs w:val="24"/>
                <w:highlight w:val="none"/>
              </w:rPr>
              <w:t>分项价格</w:t>
            </w:r>
          </w:p>
        </w:tc>
      </w:tr>
      <w:tr w14:paraId="70858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13949527">
            <w:pPr>
              <w:pStyle w:val="6"/>
              <w:spacing w:line="360" w:lineRule="auto"/>
              <w:ind w:firstLine="200"/>
              <w:jc w:val="center"/>
              <w:rPr>
                <w:rFonts w:hAnsi="宋体" w:cs="宋体"/>
                <w:sz w:val="24"/>
                <w:szCs w:val="24"/>
                <w:highlight w:val="none"/>
              </w:rPr>
            </w:pPr>
          </w:p>
        </w:tc>
        <w:tc>
          <w:tcPr>
            <w:tcW w:w="3402" w:type="dxa"/>
            <w:vAlign w:val="center"/>
          </w:tcPr>
          <w:p w14:paraId="5B3526F2">
            <w:pPr>
              <w:pStyle w:val="6"/>
              <w:spacing w:line="360" w:lineRule="auto"/>
              <w:ind w:firstLine="200"/>
              <w:jc w:val="center"/>
              <w:rPr>
                <w:rFonts w:hAnsi="宋体" w:cs="宋体"/>
                <w:sz w:val="24"/>
                <w:szCs w:val="24"/>
                <w:highlight w:val="none"/>
              </w:rPr>
            </w:pPr>
          </w:p>
        </w:tc>
        <w:tc>
          <w:tcPr>
            <w:tcW w:w="2552" w:type="dxa"/>
            <w:vAlign w:val="center"/>
          </w:tcPr>
          <w:p w14:paraId="7D701C6A">
            <w:pPr>
              <w:pStyle w:val="6"/>
              <w:spacing w:line="360" w:lineRule="auto"/>
              <w:ind w:firstLine="200"/>
              <w:jc w:val="center"/>
              <w:rPr>
                <w:rFonts w:hAnsi="宋体" w:cs="宋体"/>
                <w:sz w:val="24"/>
                <w:szCs w:val="24"/>
                <w:highlight w:val="none"/>
              </w:rPr>
            </w:pPr>
          </w:p>
        </w:tc>
      </w:tr>
      <w:tr w14:paraId="0C7A1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139FEB3A">
            <w:pPr>
              <w:pStyle w:val="6"/>
              <w:spacing w:line="360" w:lineRule="auto"/>
              <w:ind w:firstLine="200"/>
              <w:jc w:val="center"/>
              <w:rPr>
                <w:rFonts w:hAnsi="宋体" w:cs="宋体"/>
                <w:sz w:val="24"/>
                <w:szCs w:val="24"/>
                <w:highlight w:val="none"/>
              </w:rPr>
            </w:pPr>
          </w:p>
        </w:tc>
        <w:tc>
          <w:tcPr>
            <w:tcW w:w="3402" w:type="dxa"/>
            <w:vAlign w:val="center"/>
          </w:tcPr>
          <w:p w14:paraId="0B110E69">
            <w:pPr>
              <w:pStyle w:val="6"/>
              <w:spacing w:line="360" w:lineRule="auto"/>
              <w:ind w:firstLine="200"/>
              <w:jc w:val="center"/>
              <w:rPr>
                <w:rFonts w:hAnsi="宋体" w:cs="宋体"/>
                <w:sz w:val="24"/>
                <w:szCs w:val="24"/>
                <w:highlight w:val="none"/>
              </w:rPr>
            </w:pPr>
          </w:p>
        </w:tc>
        <w:tc>
          <w:tcPr>
            <w:tcW w:w="2552" w:type="dxa"/>
            <w:vAlign w:val="center"/>
          </w:tcPr>
          <w:p w14:paraId="7ABF16AE">
            <w:pPr>
              <w:pStyle w:val="6"/>
              <w:spacing w:line="360" w:lineRule="auto"/>
              <w:ind w:firstLine="200"/>
              <w:jc w:val="center"/>
              <w:rPr>
                <w:rFonts w:hAnsi="宋体" w:cs="宋体"/>
                <w:sz w:val="24"/>
                <w:szCs w:val="24"/>
                <w:highlight w:val="none"/>
              </w:rPr>
            </w:pPr>
          </w:p>
        </w:tc>
      </w:tr>
      <w:tr w14:paraId="6A6CE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4024AA15">
            <w:pPr>
              <w:pStyle w:val="6"/>
              <w:spacing w:line="360" w:lineRule="auto"/>
              <w:ind w:firstLine="200"/>
              <w:jc w:val="center"/>
              <w:rPr>
                <w:rFonts w:hAnsi="宋体" w:cs="宋体"/>
                <w:sz w:val="24"/>
                <w:szCs w:val="24"/>
                <w:highlight w:val="none"/>
              </w:rPr>
            </w:pPr>
          </w:p>
        </w:tc>
        <w:tc>
          <w:tcPr>
            <w:tcW w:w="3402" w:type="dxa"/>
            <w:vAlign w:val="center"/>
          </w:tcPr>
          <w:p w14:paraId="6406690A">
            <w:pPr>
              <w:pStyle w:val="6"/>
              <w:spacing w:line="360" w:lineRule="auto"/>
              <w:ind w:firstLine="200"/>
              <w:jc w:val="center"/>
              <w:rPr>
                <w:rFonts w:hAnsi="宋体" w:cs="宋体"/>
                <w:sz w:val="24"/>
                <w:szCs w:val="24"/>
                <w:highlight w:val="none"/>
              </w:rPr>
            </w:pPr>
          </w:p>
        </w:tc>
        <w:tc>
          <w:tcPr>
            <w:tcW w:w="2552" w:type="dxa"/>
            <w:vAlign w:val="center"/>
          </w:tcPr>
          <w:p w14:paraId="3007B385">
            <w:pPr>
              <w:pStyle w:val="6"/>
              <w:spacing w:line="360" w:lineRule="auto"/>
              <w:ind w:firstLine="200"/>
              <w:jc w:val="center"/>
              <w:rPr>
                <w:rFonts w:hAnsi="宋体" w:cs="宋体"/>
                <w:sz w:val="24"/>
                <w:szCs w:val="24"/>
                <w:highlight w:val="none"/>
              </w:rPr>
            </w:pPr>
          </w:p>
        </w:tc>
      </w:tr>
      <w:tr w14:paraId="3AF2E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6007F921">
            <w:pPr>
              <w:pStyle w:val="6"/>
              <w:spacing w:line="360" w:lineRule="auto"/>
              <w:ind w:firstLine="200"/>
              <w:jc w:val="center"/>
              <w:rPr>
                <w:rFonts w:hAnsi="宋体" w:cs="宋体"/>
                <w:sz w:val="24"/>
                <w:szCs w:val="24"/>
                <w:highlight w:val="none"/>
              </w:rPr>
            </w:pPr>
          </w:p>
        </w:tc>
        <w:tc>
          <w:tcPr>
            <w:tcW w:w="3402" w:type="dxa"/>
            <w:vAlign w:val="center"/>
          </w:tcPr>
          <w:p w14:paraId="355FB606">
            <w:pPr>
              <w:pStyle w:val="6"/>
              <w:spacing w:line="360" w:lineRule="auto"/>
              <w:ind w:firstLine="200"/>
              <w:jc w:val="center"/>
              <w:rPr>
                <w:rFonts w:hAnsi="宋体" w:cs="宋体"/>
                <w:sz w:val="24"/>
                <w:szCs w:val="24"/>
                <w:highlight w:val="none"/>
              </w:rPr>
            </w:pPr>
          </w:p>
        </w:tc>
        <w:tc>
          <w:tcPr>
            <w:tcW w:w="2552" w:type="dxa"/>
            <w:vAlign w:val="center"/>
          </w:tcPr>
          <w:p w14:paraId="4A1A4693">
            <w:pPr>
              <w:pStyle w:val="6"/>
              <w:spacing w:line="360" w:lineRule="auto"/>
              <w:ind w:firstLine="200"/>
              <w:jc w:val="center"/>
              <w:rPr>
                <w:rFonts w:hAnsi="宋体" w:cs="宋体"/>
                <w:sz w:val="24"/>
                <w:szCs w:val="24"/>
                <w:highlight w:val="none"/>
              </w:rPr>
            </w:pPr>
          </w:p>
        </w:tc>
      </w:tr>
      <w:tr w14:paraId="3ABBE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14:paraId="7D8AC314">
            <w:pPr>
              <w:pStyle w:val="6"/>
              <w:spacing w:line="360" w:lineRule="auto"/>
              <w:ind w:firstLine="200"/>
              <w:jc w:val="center"/>
              <w:rPr>
                <w:rFonts w:hAnsi="宋体" w:cs="宋体"/>
                <w:sz w:val="24"/>
                <w:szCs w:val="24"/>
                <w:highlight w:val="none"/>
              </w:rPr>
            </w:pPr>
            <w:r>
              <w:rPr>
                <w:rFonts w:hint="eastAsia" w:hAnsi="宋体" w:cs="宋体"/>
                <w:sz w:val="24"/>
                <w:szCs w:val="24"/>
                <w:highlight w:val="none"/>
              </w:rPr>
              <w:t>总价</w:t>
            </w:r>
          </w:p>
        </w:tc>
        <w:tc>
          <w:tcPr>
            <w:tcW w:w="2552" w:type="dxa"/>
            <w:vAlign w:val="center"/>
          </w:tcPr>
          <w:p w14:paraId="627318FB">
            <w:pPr>
              <w:pStyle w:val="6"/>
              <w:spacing w:line="360" w:lineRule="auto"/>
              <w:ind w:firstLine="200"/>
              <w:jc w:val="center"/>
              <w:rPr>
                <w:rFonts w:hAnsi="宋体" w:cs="宋体"/>
                <w:sz w:val="24"/>
                <w:szCs w:val="24"/>
                <w:highlight w:val="none"/>
              </w:rPr>
            </w:pPr>
          </w:p>
        </w:tc>
      </w:tr>
    </w:tbl>
    <w:p w14:paraId="53ABEEAF">
      <w:pPr>
        <w:spacing w:line="360" w:lineRule="auto"/>
        <w:ind w:firstLine="482" w:firstLineChars="200"/>
        <w:rPr>
          <w:rFonts w:ascii="宋体" w:hAnsi="宋体" w:cs="宋体"/>
          <w:b/>
          <w:sz w:val="24"/>
          <w:szCs w:val="24"/>
          <w:highlight w:val="none"/>
        </w:rPr>
      </w:pPr>
      <w:bookmarkStart w:id="32" w:name="_Toc3654"/>
      <w:bookmarkStart w:id="33" w:name="_Toc13113"/>
      <w:bookmarkStart w:id="34" w:name="_Toc15617"/>
      <w:bookmarkStart w:id="35" w:name="_Toc26916"/>
      <w:bookmarkStart w:id="36" w:name="_Toc17639"/>
      <w:bookmarkStart w:id="37" w:name="_Toc14993"/>
      <w:bookmarkStart w:id="38" w:name="_Toc30158"/>
      <w:bookmarkStart w:id="39" w:name="_Toc30506"/>
      <w:r>
        <w:rPr>
          <w:rFonts w:hint="eastAsia" w:ascii="宋体" w:hAnsi="宋体" w:cs="宋体"/>
          <w:b/>
          <w:sz w:val="24"/>
          <w:szCs w:val="24"/>
          <w:highlight w:val="none"/>
        </w:rPr>
        <w:t>1.4付款方式和发票开具方式</w:t>
      </w:r>
      <w:bookmarkEnd w:id="32"/>
      <w:bookmarkEnd w:id="33"/>
      <w:bookmarkEnd w:id="34"/>
      <w:bookmarkEnd w:id="35"/>
      <w:bookmarkEnd w:id="36"/>
      <w:bookmarkEnd w:id="37"/>
      <w:bookmarkEnd w:id="38"/>
      <w:bookmarkEnd w:id="39"/>
    </w:p>
    <w:p w14:paraId="1BE848D7">
      <w:pPr>
        <w:spacing w:line="360" w:lineRule="auto"/>
        <w:ind w:firstLine="480" w:firstLineChars="200"/>
        <w:rPr>
          <w:rFonts w:ascii="宋体" w:hAnsi="宋体" w:cs="宋体"/>
          <w:sz w:val="24"/>
          <w:highlight w:val="none"/>
        </w:rPr>
      </w:pPr>
      <w:bookmarkStart w:id="40" w:name="_Toc17784"/>
      <w:bookmarkStart w:id="41" w:name="_Toc3625"/>
      <w:bookmarkStart w:id="42" w:name="_Toc18630"/>
      <w:bookmarkStart w:id="43" w:name="_Toc8772"/>
      <w:bookmarkStart w:id="44" w:name="_Toc31421"/>
      <w:bookmarkStart w:id="45" w:name="_Toc11108"/>
      <w:bookmarkStart w:id="46" w:name="_Toc4760"/>
      <w:bookmarkStart w:id="47" w:name="_Toc19039"/>
    </w:p>
    <w:p w14:paraId="5F193333">
      <w:pPr>
        <w:spacing w:line="360" w:lineRule="auto"/>
        <w:ind w:firstLine="482" w:firstLineChars="200"/>
        <w:rPr>
          <w:rFonts w:ascii="宋体" w:hAnsi="宋体" w:cs="宋体"/>
          <w:b/>
          <w:sz w:val="24"/>
          <w:szCs w:val="24"/>
          <w:highlight w:val="none"/>
        </w:rPr>
      </w:pPr>
      <w:r>
        <w:rPr>
          <w:rFonts w:hint="eastAsia" w:ascii="宋体" w:hAnsi="宋体" w:cs="宋体"/>
          <w:b/>
          <w:sz w:val="24"/>
          <w:szCs w:val="24"/>
          <w:highlight w:val="none"/>
        </w:rPr>
        <w:t>1.5服务期限、地点和方式</w:t>
      </w:r>
      <w:bookmarkEnd w:id="40"/>
      <w:bookmarkEnd w:id="41"/>
      <w:bookmarkEnd w:id="42"/>
      <w:bookmarkEnd w:id="43"/>
      <w:bookmarkEnd w:id="44"/>
      <w:bookmarkEnd w:id="45"/>
      <w:bookmarkEnd w:id="46"/>
      <w:bookmarkEnd w:id="47"/>
    </w:p>
    <w:p w14:paraId="25263C93">
      <w:pPr>
        <w:spacing w:line="360" w:lineRule="auto"/>
        <w:ind w:firstLine="480" w:firstLineChars="200"/>
        <w:rPr>
          <w:rFonts w:ascii="宋体" w:hAnsi="宋体" w:cs="宋体"/>
          <w:sz w:val="24"/>
          <w:szCs w:val="24"/>
          <w:highlight w:val="none"/>
          <w:u w:val="single"/>
        </w:rPr>
      </w:pPr>
      <w:r>
        <w:rPr>
          <w:rFonts w:hint="eastAsia" w:ascii="宋体" w:hAnsi="宋体" w:cs="宋体"/>
          <w:sz w:val="24"/>
          <w:szCs w:val="24"/>
          <w:highlight w:val="none"/>
        </w:rPr>
        <w:t>1.5.1服务期：；</w:t>
      </w:r>
    </w:p>
    <w:p w14:paraId="79317B24">
      <w:pPr>
        <w:spacing w:line="360" w:lineRule="auto"/>
        <w:ind w:firstLine="480" w:firstLineChars="200"/>
        <w:rPr>
          <w:rFonts w:ascii="宋体" w:hAnsi="宋体" w:cs="宋体"/>
          <w:sz w:val="24"/>
          <w:szCs w:val="24"/>
          <w:highlight w:val="none"/>
          <w:u w:val="single"/>
        </w:rPr>
      </w:pPr>
      <w:r>
        <w:rPr>
          <w:rFonts w:hint="eastAsia" w:ascii="宋体" w:hAnsi="宋体" w:cs="宋体"/>
          <w:sz w:val="24"/>
          <w:szCs w:val="24"/>
          <w:highlight w:val="none"/>
        </w:rPr>
        <w:t>1.5.2服务地点：</w:t>
      </w:r>
      <w:r>
        <w:rPr>
          <w:rFonts w:hint="eastAsia" w:ascii="宋体" w:hAnsi="宋体" w:cs="宋体"/>
          <w:sz w:val="24"/>
          <w:szCs w:val="24"/>
          <w:highlight w:val="none"/>
          <w:u w:val="single"/>
        </w:rPr>
        <w:t>采购人指定地点</w:t>
      </w:r>
      <w:r>
        <w:rPr>
          <w:rFonts w:hint="eastAsia" w:ascii="宋体" w:hAnsi="宋体" w:cs="宋体"/>
          <w:sz w:val="24"/>
          <w:szCs w:val="24"/>
          <w:highlight w:val="none"/>
        </w:rPr>
        <w:t>。</w:t>
      </w:r>
    </w:p>
    <w:p w14:paraId="32EFB3F7">
      <w:pPr>
        <w:spacing w:line="360" w:lineRule="auto"/>
        <w:ind w:firstLine="482" w:firstLineChars="200"/>
        <w:rPr>
          <w:rFonts w:ascii="宋体" w:hAnsi="宋体" w:cs="宋体"/>
          <w:sz w:val="24"/>
          <w:szCs w:val="24"/>
          <w:highlight w:val="none"/>
          <w:u w:val="single"/>
        </w:rPr>
      </w:pPr>
      <w:bookmarkStart w:id="48" w:name="_Toc8586"/>
      <w:bookmarkStart w:id="49" w:name="_Toc3232"/>
      <w:bookmarkStart w:id="50" w:name="_Toc3079"/>
      <w:bookmarkStart w:id="51" w:name="_Toc5698"/>
      <w:bookmarkStart w:id="52" w:name="_Toc15869"/>
      <w:bookmarkStart w:id="53" w:name="_Toc24662"/>
      <w:bookmarkStart w:id="54" w:name="_Toc2375"/>
      <w:bookmarkStart w:id="55" w:name="_Toc18097"/>
      <w:r>
        <w:rPr>
          <w:rFonts w:hint="eastAsia" w:ascii="宋体" w:hAnsi="宋体" w:cs="宋体"/>
          <w:b/>
          <w:sz w:val="24"/>
          <w:szCs w:val="24"/>
          <w:highlight w:val="none"/>
        </w:rPr>
        <w:t>1.6违约责任</w:t>
      </w:r>
      <w:bookmarkEnd w:id="48"/>
      <w:bookmarkEnd w:id="49"/>
      <w:bookmarkEnd w:id="50"/>
      <w:bookmarkEnd w:id="51"/>
      <w:bookmarkEnd w:id="52"/>
      <w:bookmarkEnd w:id="53"/>
      <w:bookmarkEnd w:id="54"/>
      <w:bookmarkEnd w:id="55"/>
    </w:p>
    <w:p w14:paraId="18669677">
      <w:pPr>
        <w:spacing w:line="360" w:lineRule="auto"/>
        <w:ind w:firstLine="480" w:firstLineChars="200"/>
        <w:rPr>
          <w:rFonts w:hint="eastAsia" w:ascii="宋体" w:hAnsi="宋体" w:cs="宋体"/>
          <w:sz w:val="24"/>
          <w:szCs w:val="24"/>
          <w:highlight w:val="none"/>
          <w:lang w:eastAsia="zh-CN"/>
        </w:rPr>
      </w:pPr>
      <w:r>
        <w:rPr>
          <w:rFonts w:hint="eastAsia" w:ascii="宋体" w:hAnsi="宋体" w:cs="宋体"/>
          <w:sz w:val="24"/>
          <w:szCs w:val="24"/>
          <w:highlight w:val="none"/>
          <w:lang w:val="en-US" w:eastAsia="zh-CN"/>
        </w:rPr>
        <w:t>1.6.1</w:t>
      </w:r>
      <w:r>
        <w:rPr>
          <w:rFonts w:hint="eastAsia" w:ascii="宋体" w:hAnsi="宋体" w:cs="宋体"/>
          <w:sz w:val="24"/>
          <w:szCs w:val="24"/>
          <w:highlight w:val="none"/>
          <w:lang w:eastAsia="zh-CN"/>
        </w:rPr>
        <w:t>乙方逾期提供或完成服务的，每逾期壹天乙方应向甲方支付相当于本合同总价款0.1%的违约金，并承担因该等逾期履约给甲方造成的全部损失。如逾期超过  3 个月仍未提供或完成服务的，甲方有权终止本合同并被免于向乙方进一步付款的义务，乙方应向甲方全额返还已收的款项（如有）且支付相当于本合同总价款30%的违约金，并承担因该等终止给甲方造成的全部损失。</w:t>
      </w:r>
    </w:p>
    <w:p w14:paraId="41913788">
      <w:pPr>
        <w:spacing w:line="360" w:lineRule="auto"/>
        <w:ind w:firstLine="480" w:firstLineChars="200"/>
        <w:rPr>
          <w:rFonts w:hint="eastAsia" w:ascii="宋体" w:hAnsi="宋体" w:cs="宋体"/>
          <w:sz w:val="24"/>
          <w:szCs w:val="24"/>
          <w:highlight w:val="none"/>
          <w:lang w:eastAsia="zh-CN"/>
        </w:rPr>
      </w:pPr>
      <w:r>
        <w:rPr>
          <w:rFonts w:hint="eastAsia" w:ascii="宋体" w:hAnsi="宋体" w:cs="宋体"/>
          <w:sz w:val="24"/>
          <w:szCs w:val="24"/>
          <w:highlight w:val="none"/>
          <w:lang w:val="en-US" w:eastAsia="zh-CN"/>
        </w:rPr>
        <w:t>1.6.2</w:t>
      </w:r>
      <w:r>
        <w:rPr>
          <w:rFonts w:hint="eastAsia" w:ascii="宋体" w:hAnsi="宋体" w:cs="宋体"/>
          <w:sz w:val="24"/>
          <w:szCs w:val="24"/>
          <w:highlight w:val="none"/>
          <w:lang w:eastAsia="zh-CN"/>
        </w:rPr>
        <w:t>乙方违反本合同项下的任何其它条款的，除本协议另有特别约定外，乙方应向甲方支付相当于本合同总价款10%的违约金，并承担因该等违约给甲方造成的全部损失。</w:t>
      </w:r>
    </w:p>
    <w:p w14:paraId="6DAD633E">
      <w:pPr>
        <w:spacing w:line="360" w:lineRule="auto"/>
        <w:ind w:firstLine="480" w:firstLineChars="200"/>
        <w:rPr>
          <w:rFonts w:hint="eastAsia" w:ascii="宋体" w:hAnsi="宋体" w:cs="宋体"/>
          <w:sz w:val="24"/>
          <w:szCs w:val="24"/>
          <w:highlight w:val="none"/>
          <w:lang w:eastAsia="zh-CN"/>
        </w:rPr>
      </w:pPr>
      <w:r>
        <w:rPr>
          <w:rFonts w:hint="eastAsia" w:ascii="宋体" w:hAnsi="宋体" w:cs="宋体"/>
          <w:sz w:val="24"/>
          <w:szCs w:val="24"/>
          <w:highlight w:val="none"/>
          <w:lang w:val="en-US" w:eastAsia="zh-CN"/>
        </w:rPr>
        <w:t>1.6.3</w:t>
      </w:r>
      <w:r>
        <w:rPr>
          <w:rFonts w:hint="eastAsia" w:ascii="宋体" w:hAnsi="宋体" w:cs="宋体"/>
          <w:sz w:val="24"/>
          <w:szCs w:val="24"/>
          <w:highlight w:val="none"/>
          <w:lang w:eastAsia="zh-CN"/>
        </w:rPr>
        <w:t>甲方有权从应付给乙方的款项中直接扣除乙方应向甲方支付的违约金、损失赔偿或其它任何费用，不足部分应由乙方及时补足。</w:t>
      </w:r>
    </w:p>
    <w:p w14:paraId="48B8ED32">
      <w:pPr>
        <w:spacing w:line="360" w:lineRule="auto"/>
        <w:ind w:firstLine="480" w:firstLineChars="200"/>
        <w:rPr>
          <w:rFonts w:hint="eastAsia" w:ascii="宋体" w:hAnsi="宋体" w:cs="宋体"/>
          <w:sz w:val="24"/>
          <w:szCs w:val="24"/>
          <w:highlight w:val="none"/>
          <w:lang w:eastAsia="zh-CN"/>
        </w:rPr>
      </w:pPr>
      <w:r>
        <w:rPr>
          <w:rFonts w:hint="eastAsia" w:ascii="宋体" w:hAnsi="宋体" w:cs="宋体"/>
          <w:sz w:val="24"/>
          <w:szCs w:val="24"/>
          <w:highlight w:val="none"/>
          <w:lang w:val="en-US" w:eastAsia="zh-CN"/>
        </w:rPr>
        <w:t>1.6.4</w:t>
      </w:r>
      <w:r>
        <w:rPr>
          <w:rFonts w:hint="eastAsia" w:ascii="宋体" w:hAnsi="宋体" w:cs="宋体"/>
          <w:sz w:val="24"/>
          <w:szCs w:val="24"/>
          <w:highlight w:val="none"/>
          <w:lang w:eastAsia="zh-CN"/>
        </w:rPr>
        <w:t>因不可抗力不能履行合同的，根据不可抗力的影响，部分或全部免除责任，但法律另有规定的除外。不可抗力是指不能预见、不能避免并不能克服的客观情况。如果任何一方在履行本合同时受到不可抗力事件的阻碍、限制或影响，则受到不可抗力影响的一方在及时通知另一方后，可暂停履行受不可抗力影响部分的义务而免于承担责任，但应当在合理期限内提供证明。受影响的一方应在不可抗力消失后立即继续履行其义务。</w:t>
      </w:r>
    </w:p>
    <w:p w14:paraId="20D90338">
      <w:pPr>
        <w:spacing w:line="360" w:lineRule="auto"/>
        <w:ind w:firstLine="480" w:firstLineChars="200"/>
        <w:rPr>
          <w:rFonts w:hint="eastAsia" w:ascii="宋体" w:hAnsi="宋体" w:cs="宋体"/>
          <w:sz w:val="24"/>
          <w:szCs w:val="24"/>
          <w:highlight w:val="none"/>
          <w:lang w:eastAsia="zh-CN"/>
        </w:rPr>
      </w:pPr>
      <w:r>
        <w:rPr>
          <w:rFonts w:hint="eastAsia" w:ascii="宋体" w:hAnsi="宋体" w:cs="宋体"/>
          <w:sz w:val="24"/>
          <w:szCs w:val="24"/>
          <w:highlight w:val="none"/>
          <w:lang w:val="en-US" w:eastAsia="zh-CN"/>
        </w:rPr>
        <w:t>1.6.5</w:t>
      </w:r>
      <w:r>
        <w:rPr>
          <w:rFonts w:hint="eastAsia" w:ascii="宋体" w:hAnsi="宋体" w:cs="宋体"/>
          <w:sz w:val="24"/>
          <w:szCs w:val="24"/>
          <w:highlight w:val="none"/>
          <w:lang w:eastAsia="zh-CN"/>
        </w:rPr>
        <w:t>甲乙双方均应全面履行本合同，任何一方不履行或不按约定履行均构成违约，违约方应赔偿因此给对方造成的全部损失。因履行合同所发生的一切争议，双方应友好协商解决，协商不成的，提交陕西仲裁委员会仲裁，仲裁裁决为终局裁决。</w:t>
      </w:r>
    </w:p>
    <w:p w14:paraId="4D31911B">
      <w:pPr>
        <w:spacing w:line="360" w:lineRule="auto"/>
        <w:ind w:firstLine="480" w:firstLineChars="200"/>
        <w:rPr>
          <w:rFonts w:ascii="宋体" w:hAnsi="宋体" w:cs="宋体"/>
          <w:sz w:val="24"/>
          <w:szCs w:val="24"/>
          <w:highlight w:val="none"/>
        </w:rPr>
      </w:pPr>
    </w:p>
    <w:p w14:paraId="6525F3FA">
      <w:pPr>
        <w:spacing w:line="360" w:lineRule="auto"/>
        <w:ind w:firstLine="482" w:firstLineChars="200"/>
        <w:rPr>
          <w:rFonts w:ascii="宋体" w:hAnsi="宋体" w:cs="宋体"/>
          <w:b/>
          <w:sz w:val="24"/>
          <w:szCs w:val="24"/>
          <w:highlight w:val="none"/>
        </w:rPr>
      </w:pPr>
      <w:bookmarkStart w:id="56" w:name="_Toc58"/>
      <w:bookmarkStart w:id="57" w:name="_Toc17829"/>
      <w:bookmarkStart w:id="58" w:name="_Toc23784"/>
      <w:bookmarkStart w:id="59" w:name="_Toc26227"/>
      <w:bookmarkStart w:id="60" w:name="_Toc15827"/>
      <w:bookmarkStart w:id="61" w:name="_Toc15436"/>
      <w:bookmarkStart w:id="62" w:name="_Toc12273"/>
      <w:bookmarkStart w:id="63" w:name="_Toc16417"/>
      <w:r>
        <w:rPr>
          <w:rFonts w:hint="eastAsia" w:ascii="宋体" w:hAnsi="宋体" w:cs="宋体"/>
          <w:b/>
          <w:sz w:val="24"/>
          <w:szCs w:val="24"/>
          <w:highlight w:val="none"/>
        </w:rPr>
        <w:t>1.</w:t>
      </w:r>
      <w:r>
        <w:rPr>
          <w:rFonts w:hint="eastAsia" w:ascii="宋体" w:hAnsi="宋体" w:cs="宋体"/>
          <w:b/>
          <w:sz w:val="24"/>
          <w:szCs w:val="24"/>
          <w:highlight w:val="none"/>
          <w:lang w:val="en-US" w:eastAsia="zh-CN"/>
        </w:rPr>
        <w:t>7</w:t>
      </w:r>
      <w:r>
        <w:rPr>
          <w:rFonts w:hint="eastAsia" w:ascii="宋体" w:hAnsi="宋体" w:cs="宋体"/>
          <w:b/>
          <w:sz w:val="24"/>
          <w:szCs w:val="24"/>
          <w:highlight w:val="none"/>
        </w:rPr>
        <w:t>合同生效</w:t>
      </w:r>
      <w:bookmarkEnd w:id="56"/>
      <w:bookmarkEnd w:id="57"/>
      <w:bookmarkEnd w:id="58"/>
      <w:bookmarkEnd w:id="59"/>
      <w:bookmarkEnd w:id="60"/>
      <w:bookmarkEnd w:id="61"/>
      <w:bookmarkEnd w:id="62"/>
      <w:bookmarkEnd w:id="63"/>
    </w:p>
    <w:p w14:paraId="7A3A04E4">
      <w:pPr>
        <w:spacing w:line="360" w:lineRule="auto"/>
        <w:ind w:firstLine="480" w:firstLineChars="200"/>
        <w:rPr>
          <w:rFonts w:ascii="宋体" w:hAnsi="宋体" w:cs="宋体"/>
          <w:b/>
          <w:sz w:val="24"/>
          <w:szCs w:val="24"/>
          <w:highlight w:val="none"/>
        </w:rPr>
      </w:pPr>
      <w:r>
        <w:rPr>
          <w:rFonts w:hint="eastAsia" w:ascii="宋体" w:hAnsi="宋体" w:cs="宋体"/>
          <w:sz w:val="24"/>
          <w:szCs w:val="24"/>
          <w:highlight w:val="none"/>
        </w:rPr>
        <w:t>本合同</w:t>
      </w:r>
      <w:r>
        <w:rPr>
          <w:rFonts w:hint="eastAsia" w:ascii="宋体" w:hAnsi="宋体" w:cs="宋体"/>
          <w:sz w:val="24"/>
          <w:szCs w:val="24"/>
          <w:highlight w:val="none"/>
          <w:lang w:val="en-US" w:eastAsia="zh-CN"/>
        </w:rPr>
        <w:t>一式</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lang w:val="en-US" w:eastAsia="zh-CN"/>
        </w:rPr>
        <w:t>份，甲方</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lang w:val="en-US" w:eastAsia="zh-CN"/>
        </w:rPr>
        <w:t>份，乙方</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lang w:val="en-US" w:eastAsia="zh-CN"/>
        </w:rPr>
        <w:t>份，</w:t>
      </w:r>
      <w:r>
        <w:rPr>
          <w:rFonts w:hint="eastAsia" w:ascii="宋体" w:hAnsi="宋体" w:cs="宋体"/>
          <w:sz w:val="24"/>
          <w:szCs w:val="24"/>
          <w:highlight w:val="none"/>
        </w:rPr>
        <w:t>自双方当事人盖章或者签字时生效。</w:t>
      </w:r>
    </w:p>
    <w:p w14:paraId="69ABD862">
      <w:pPr>
        <w:spacing w:line="360" w:lineRule="auto"/>
        <w:ind w:firstLine="480" w:firstLineChars="200"/>
        <w:rPr>
          <w:rFonts w:ascii="宋体" w:hAnsi="宋体" w:cs="宋体"/>
          <w:sz w:val="24"/>
          <w:szCs w:val="24"/>
          <w:highlight w:val="none"/>
          <w:lang w:val="zh-CN"/>
        </w:rPr>
      </w:pPr>
    </w:p>
    <w:p w14:paraId="0071FE65">
      <w:pPr>
        <w:spacing w:line="360" w:lineRule="auto"/>
        <w:ind w:firstLine="482" w:firstLineChars="200"/>
        <w:rPr>
          <w:rFonts w:ascii="宋体" w:hAnsi="宋体" w:cs="宋体"/>
          <w:b/>
          <w:bCs/>
          <w:sz w:val="24"/>
          <w:szCs w:val="24"/>
          <w:highlight w:val="none"/>
          <w:lang w:val="zh-CN"/>
        </w:rPr>
      </w:pPr>
      <w:r>
        <w:rPr>
          <w:rFonts w:hint="eastAsia" w:ascii="宋体" w:hAnsi="宋体" w:cs="宋体"/>
          <w:b/>
          <w:bCs/>
          <w:sz w:val="24"/>
          <w:szCs w:val="24"/>
          <w:highlight w:val="none"/>
          <w:lang w:val="zh-CN"/>
        </w:rPr>
        <w:t>甲方：                                   乙方：</w:t>
      </w:r>
    </w:p>
    <w:p w14:paraId="2473942F">
      <w:pPr>
        <w:spacing w:line="360" w:lineRule="auto"/>
        <w:ind w:firstLine="480" w:firstLineChars="200"/>
        <w:rPr>
          <w:rFonts w:ascii="宋体" w:hAnsi="宋体" w:cs="宋体"/>
          <w:sz w:val="24"/>
          <w:szCs w:val="24"/>
          <w:highlight w:val="none"/>
          <w:lang w:val="zh-CN"/>
        </w:rPr>
      </w:pPr>
      <w:r>
        <w:rPr>
          <w:rFonts w:hint="eastAsia" w:ascii="宋体" w:hAnsi="宋体" w:cs="宋体"/>
          <w:sz w:val="24"/>
          <w:szCs w:val="24"/>
          <w:highlight w:val="none"/>
          <w:lang w:val="zh-CN"/>
        </w:rPr>
        <w:t>统一社会信用代码：                       统一社会信用代码或身份证号码：</w:t>
      </w:r>
    </w:p>
    <w:p w14:paraId="4EAF9651">
      <w:pPr>
        <w:spacing w:line="360" w:lineRule="auto"/>
        <w:ind w:firstLine="480" w:firstLineChars="200"/>
        <w:rPr>
          <w:rFonts w:ascii="宋体" w:hAnsi="宋体" w:cs="宋体"/>
          <w:sz w:val="24"/>
          <w:szCs w:val="24"/>
          <w:highlight w:val="none"/>
          <w:lang w:val="zh-CN"/>
        </w:rPr>
      </w:pPr>
      <w:r>
        <w:rPr>
          <w:rFonts w:hint="eastAsia" w:ascii="宋体" w:hAnsi="宋体" w:cs="宋体"/>
          <w:sz w:val="24"/>
          <w:szCs w:val="24"/>
          <w:highlight w:val="none"/>
          <w:lang w:val="zh-CN"/>
        </w:rPr>
        <w:t>住所：                                   住所：</w:t>
      </w:r>
    </w:p>
    <w:p w14:paraId="1BB46A1C">
      <w:pPr>
        <w:spacing w:line="360" w:lineRule="auto"/>
        <w:ind w:firstLine="480" w:firstLineChars="200"/>
        <w:rPr>
          <w:rFonts w:ascii="宋体" w:hAnsi="宋体" w:cs="宋体"/>
          <w:sz w:val="24"/>
          <w:szCs w:val="24"/>
          <w:highlight w:val="none"/>
          <w:lang w:val="zh-CN"/>
        </w:rPr>
      </w:pPr>
      <w:r>
        <w:rPr>
          <w:rFonts w:hint="eastAsia" w:ascii="宋体" w:hAnsi="宋体" w:cs="宋体"/>
          <w:sz w:val="24"/>
          <w:szCs w:val="24"/>
          <w:highlight w:val="none"/>
          <w:lang w:val="zh-CN"/>
        </w:rPr>
        <w:t>法定代表人或                             法定代表人</w:t>
      </w:r>
    </w:p>
    <w:p w14:paraId="6C95FAE5">
      <w:pPr>
        <w:spacing w:line="360" w:lineRule="auto"/>
        <w:ind w:firstLine="480" w:firstLineChars="200"/>
        <w:rPr>
          <w:rFonts w:ascii="宋体" w:hAnsi="宋体" w:cs="宋体"/>
          <w:sz w:val="24"/>
          <w:szCs w:val="24"/>
          <w:highlight w:val="none"/>
          <w:lang w:val="zh-CN"/>
        </w:rPr>
      </w:pPr>
      <w:r>
        <w:rPr>
          <w:rFonts w:hint="eastAsia" w:ascii="宋体" w:hAnsi="宋体" w:cs="宋体"/>
          <w:sz w:val="24"/>
          <w:szCs w:val="24"/>
          <w:highlight w:val="none"/>
          <w:lang w:val="zh-CN"/>
        </w:rPr>
        <w:t>授权代表（签字）：                       或授权代表（签字）:</w:t>
      </w:r>
    </w:p>
    <w:p w14:paraId="68584EAE">
      <w:pPr>
        <w:spacing w:line="360" w:lineRule="auto"/>
        <w:ind w:firstLine="480" w:firstLineChars="200"/>
        <w:rPr>
          <w:rFonts w:ascii="宋体" w:hAnsi="宋体" w:cs="宋体"/>
          <w:sz w:val="24"/>
          <w:szCs w:val="24"/>
          <w:highlight w:val="none"/>
          <w:lang w:val="zh-CN"/>
        </w:rPr>
      </w:pPr>
      <w:r>
        <w:rPr>
          <w:rFonts w:hint="eastAsia" w:ascii="宋体" w:hAnsi="宋体" w:cs="宋体"/>
          <w:sz w:val="24"/>
          <w:szCs w:val="24"/>
          <w:highlight w:val="none"/>
          <w:lang w:val="zh-CN"/>
        </w:rPr>
        <w:t>联系人：                                 联系人：</w:t>
      </w:r>
    </w:p>
    <w:p w14:paraId="1AEE252C">
      <w:pPr>
        <w:spacing w:line="360" w:lineRule="auto"/>
        <w:ind w:firstLine="480" w:firstLineChars="200"/>
        <w:rPr>
          <w:rFonts w:ascii="宋体" w:hAnsi="宋体" w:cs="宋体"/>
          <w:sz w:val="24"/>
          <w:szCs w:val="24"/>
          <w:highlight w:val="none"/>
          <w:lang w:val="zh-CN"/>
        </w:rPr>
      </w:pPr>
      <w:r>
        <w:rPr>
          <w:rFonts w:hint="eastAsia" w:ascii="宋体" w:hAnsi="宋体" w:cs="宋体"/>
          <w:sz w:val="24"/>
          <w:szCs w:val="24"/>
          <w:highlight w:val="none"/>
          <w:lang w:val="zh-CN"/>
        </w:rPr>
        <w:t>约定送达地址：                           约定送达地址：</w:t>
      </w:r>
    </w:p>
    <w:p w14:paraId="5DF28AD3">
      <w:pPr>
        <w:spacing w:line="360" w:lineRule="auto"/>
        <w:ind w:firstLine="480" w:firstLineChars="200"/>
        <w:rPr>
          <w:rFonts w:ascii="宋体" w:hAnsi="宋体" w:cs="宋体"/>
          <w:sz w:val="24"/>
          <w:szCs w:val="24"/>
          <w:highlight w:val="none"/>
          <w:lang w:val="zh-CN"/>
        </w:rPr>
      </w:pPr>
      <w:r>
        <w:rPr>
          <w:rFonts w:hint="eastAsia" w:ascii="宋体" w:hAnsi="宋体" w:cs="宋体"/>
          <w:sz w:val="24"/>
          <w:szCs w:val="24"/>
          <w:highlight w:val="none"/>
          <w:lang w:val="zh-CN"/>
        </w:rPr>
        <w:t>邮政编码：                               邮政编码：</w:t>
      </w:r>
    </w:p>
    <w:p w14:paraId="5CDAF76B">
      <w:pPr>
        <w:spacing w:line="360" w:lineRule="auto"/>
        <w:ind w:firstLine="480" w:firstLineChars="200"/>
        <w:rPr>
          <w:rFonts w:ascii="宋体" w:hAnsi="宋体" w:cs="宋体"/>
          <w:sz w:val="24"/>
          <w:szCs w:val="24"/>
          <w:highlight w:val="none"/>
          <w:lang w:val="zh-CN"/>
        </w:rPr>
      </w:pPr>
      <w:r>
        <w:rPr>
          <w:rFonts w:hint="eastAsia" w:ascii="宋体" w:hAnsi="宋体" w:cs="宋体"/>
          <w:sz w:val="24"/>
          <w:szCs w:val="24"/>
          <w:highlight w:val="none"/>
          <w:lang w:val="zh-CN"/>
        </w:rPr>
        <w:t>电话:                                    电话:</w:t>
      </w:r>
    </w:p>
    <w:p w14:paraId="329DBA04">
      <w:pPr>
        <w:spacing w:line="360" w:lineRule="auto"/>
        <w:ind w:firstLine="480" w:firstLineChars="200"/>
        <w:rPr>
          <w:rFonts w:ascii="宋体" w:hAnsi="宋体" w:cs="宋体"/>
          <w:sz w:val="24"/>
          <w:szCs w:val="24"/>
          <w:highlight w:val="none"/>
          <w:lang w:val="zh-CN"/>
        </w:rPr>
      </w:pPr>
      <w:r>
        <w:rPr>
          <w:rFonts w:hint="eastAsia" w:ascii="宋体" w:hAnsi="宋体" w:cs="宋体"/>
          <w:sz w:val="24"/>
          <w:szCs w:val="24"/>
          <w:highlight w:val="none"/>
          <w:lang w:val="zh-CN"/>
        </w:rPr>
        <w:t>传真:                                    传真:</w:t>
      </w:r>
    </w:p>
    <w:p w14:paraId="6E9EFB9A">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lang w:val="zh-CN"/>
        </w:rPr>
        <w:t>电子邮箱：                               电子邮箱：</w:t>
      </w:r>
    </w:p>
    <w:p w14:paraId="10BC2159">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开户银行：                               开户银行：</w:t>
      </w:r>
    </w:p>
    <w:p w14:paraId="693975F5">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开户名称：                               开户名称：</w:t>
      </w:r>
    </w:p>
    <w:p w14:paraId="5E85ACF6">
      <w:pPr>
        <w:spacing w:line="360" w:lineRule="auto"/>
        <w:ind w:firstLine="480" w:firstLineChars="200"/>
        <w:rPr>
          <w:sz w:val="20"/>
          <w:szCs w:val="20"/>
          <w:highlight w:val="none"/>
        </w:rPr>
      </w:pPr>
      <w:r>
        <w:rPr>
          <w:rFonts w:hint="eastAsia" w:ascii="宋体" w:hAnsi="宋体" w:cs="宋体"/>
          <w:sz w:val="24"/>
          <w:szCs w:val="24"/>
          <w:highlight w:val="none"/>
        </w:rPr>
        <w:t>开户账号：</w:t>
      </w:r>
      <w:r>
        <w:rPr>
          <w:rFonts w:hint="eastAsia" w:ascii="宋体" w:hAnsi="宋体" w:cs="宋体"/>
          <w:sz w:val="24"/>
          <w:szCs w:val="24"/>
          <w:highlight w:val="none"/>
          <w:lang w:val="zh-CN"/>
        </w:rPr>
        <w:t xml:space="preserve">                               </w:t>
      </w:r>
      <w:r>
        <w:rPr>
          <w:rFonts w:hint="eastAsia" w:ascii="宋体" w:hAnsi="宋体" w:cs="宋体"/>
          <w:sz w:val="24"/>
          <w:szCs w:val="24"/>
          <w:highlight w:val="none"/>
        </w:rPr>
        <w:t>开户账号：</w:t>
      </w:r>
    </w:p>
    <w:p w14:paraId="7BC6FFAD">
      <w:bookmarkStart w:id="64" w:name="_GoBack"/>
      <w:bookmarkEnd w:id="64"/>
    </w:p>
    <w:sectPr>
      <w:headerReference r:id="rId3" w:type="default"/>
      <w:footerReference r:id="rId4"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98ABE">
    <w:pPr>
      <w:pStyle w:val="2"/>
      <w:pBdr>
        <w:bottom w:val="double" w:color="auto" w:sz="8" w:space="1"/>
      </w:pBdr>
      <w:jc w:val="left"/>
      <w:rPr>
        <w:rFonts w:ascii="黑体" w:hAnsi="黑体" w:eastAsia="黑体" w:cs="黑体"/>
        <w:kern w:val="2"/>
      </w:rPr>
    </w:pPr>
    <w:r>
      <mc:AlternateContent>
        <mc:Choice Requires="wps">
          <w:drawing>
            <wp:anchor distT="0" distB="0" distL="114300" distR="114300" simplePos="0" relativeHeight="251659264" behindDoc="0" locked="0" layoutInCell="1" allowOverlap="1">
              <wp:simplePos x="0" y="0"/>
              <wp:positionH relativeFrom="margin">
                <wp:posOffset>2515235</wp:posOffset>
              </wp:positionH>
              <wp:positionV relativeFrom="paragraph">
                <wp:posOffset>0</wp:posOffset>
              </wp:positionV>
              <wp:extent cx="1118235" cy="296545"/>
              <wp:effectExtent l="0" t="0" r="0" b="0"/>
              <wp:wrapNone/>
              <wp:docPr id="13" name="文本框 16"/>
              <wp:cNvGraphicFramePr/>
              <a:graphic xmlns:a="http://schemas.openxmlformats.org/drawingml/2006/main">
                <a:graphicData uri="http://schemas.microsoft.com/office/word/2010/wordprocessingShape">
                  <wps:wsp>
                    <wps:cNvSpPr txBox="1"/>
                    <wps:spPr>
                      <a:xfrm>
                        <a:off x="0" y="0"/>
                        <a:ext cx="1118235" cy="296545"/>
                      </a:xfrm>
                      <a:prstGeom prst="rect">
                        <a:avLst/>
                      </a:prstGeom>
                      <a:noFill/>
                      <a:ln>
                        <a:noFill/>
                      </a:ln>
                    </wps:spPr>
                    <wps:txbx>
                      <w:txbxContent>
                        <w:p w14:paraId="0CC6D037">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sz w:val="18"/>
                            </w:rPr>
                            <w:t>84</w:t>
                          </w:r>
                          <w:r>
                            <w:rPr>
                              <w:rFonts w:hint="eastAsia"/>
                              <w:sz w:val="18"/>
                            </w:rPr>
                            <w:fldChar w:fldCharType="end"/>
                          </w:r>
                          <w:r>
                            <w:rPr>
                              <w:rFonts w:hint="eastAsia"/>
                              <w:sz w:val="18"/>
                            </w:rPr>
                            <w:t xml:space="preserve"> 页</w:t>
                          </w:r>
                        </w:p>
                      </w:txbxContent>
                    </wps:txbx>
                    <wps:bodyPr wrap="square" lIns="0" tIns="0" rIns="0" bIns="0"/>
                  </wps:wsp>
                </a:graphicData>
              </a:graphic>
            </wp:anchor>
          </w:drawing>
        </mc:Choice>
        <mc:Fallback>
          <w:pict>
            <v:shape id="文本框 16" o:spid="_x0000_s1026" o:spt="202" type="#_x0000_t202" style="position:absolute;left:0pt;margin-left:198.05pt;margin-top:0pt;height:23.35pt;width:88.05pt;mso-position-horizontal-relative:margin;z-index:251659264;mso-width-relative:page;mso-height-relative:page;" filled="f" stroked="f" coordsize="21600,21600" o:gfxdata="UEsDBAoAAAAAAIdO4kAAAAAAAAAAAAAAAAAEAAAAZHJzL1BLAwQUAAAACACHTuJA25NWcNcAAAAH&#10;AQAADwAAAGRycy9kb3ducmV2LnhtbE2PzU7DMBCE70i8g7VI3KidACkNcSqE4ISESMOBoxNvk6jx&#10;OsTuD2/PcirH0YxmvinWJzeKA85h8KQhWSgQSK23A3UaPuvXmwcQIRqyZvSEGn4wwLq8vChMbv2R&#10;KjxsYie4hEJuNPQxTrmUoe3RmbDwExJ7Wz87E1nOnbSzOXK5G2WqVCadGYgXejPhc4/tbrN3Gp6+&#10;qHoZvt+bj2pbDXW9UvSW7bS+vkrUI4iIp3gOwx8+o0PJTI3fkw1i1HC7yhKOauBHbN8v0xREo+Eu&#10;W4IsC/mfv/wFUEsDBBQAAAAIAIdO4kDyMzSSwAEAAHYDAAAOAAAAZHJzL2Uyb0RvYy54bWytU0tu&#10;2zAQ3RfIHQjua1pObSSC5QCFkaJA0RZIcwCaIi0C/IVDW/IF2ht01U33PZfP0aEkO22yySIbajgz&#10;fHzvDbW86awhexlBe1fRYjKlRDrha+22Fb3/dvv2ihJI3NXceCcrepBAb1YXb5ZtKOXMN97UMhIE&#10;cVC2oaJNSqFkDEQjLYeJD9JhUfloecJt3LI68hbRrWGz6XTBWh/rEL2QAJhdD0U6IsaXAHqltJBr&#10;L3ZWujSgRml4QknQ6AB01bNVSor0RSmQiZiKotLUr3gJxpu8stWSl9vIQ6PFSIG/hMITTZZrh5ee&#10;odY8cbKL+hmU1SJ68CpNhLdsENI7giqK6RNv7hoeZK8FrYZwNh1eD1Z83n+NRNf4Ei4pcdzixI8/&#10;fxx//Tn+/k6KRTaoDVBi313AztS99x02n/KAyay7U9HmLyoiWEd7D2d7ZZeIyIeK4mp2OadEYG12&#10;vZi/m2cY9ng6REgfpLckBxWNOL7eVb7/BGloPbXky5y/1cb0IzTuvwRi5gzL1AeKOUrdphv1bHx9&#10;QDktTr6i8LDjUVJiPjq0Nj+TUxBPwWYMMokMhePomY9PJ8/7333f9fi7rP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25NWcNcAAAAHAQAADwAAAAAAAAABACAAAAAiAAAAZHJzL2Rvd25yZXYueG1s&#10;UEsBAhQAFAAAAAgAh07iQPIzNJLAAQAAdgMAAA4AAAAAAAAAAQAgAAAAJgEAAGRycy9lMm9Eb2Mu&#10;eG1sUEsFBgAAAAAGAAYAWQEAAFgFAAAAAA==&#10;">
              <v:fill on="f" focussize="0,0"/>
              <v:stroke on="f"/>
              <v:imagedata o:title=""/>
              <o:lock v:ext="edit" aspectratio="f"/>
              <v:textbox inset="0mm,0mm,0mm,0mm">
                <w:txbxContent>
                  <w:p w14:paraId="0CC6D037">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sz w:val="18"/>
                      </w:rPr>
                      <w:t>84</w:t>
                    </w:r>
                    <w:r>
                      <w:rPr>
                        <w:rFonts w:hint="eastAsia"/>
                        <w:sz w:val="18"/>
                      </w:rPr>
                      <w:fldChar w:fldCharType="end"/>
                    </w:r>
                    <w:r>
                      <w:rPr>
                        <w:rFonts w:hint="eastAsia"/>
                        <w:sz w:val="18"/>
                      </w:rPr>
                      <w:t xml:space="preserve"> 页</w:t>
                    </w:r>
                  </w:p>
                </w:txbxContent>
              </v:textbox>
            </v:shape>
          </w:pict>
        </mc:Fallback>
      </mc:AlternateContent>
    </w:r>
    <w:r>
      <w:rPr>
        <w:rFonts w:hint="eastAsia" w:ascii="黑体" w:hAnsi="黑体" w:eastAsia="黑体" w:cs="黑体"/>
        <w:kern w:val="2"/>
      </w:rPr>
      <w:t>陕西德勤招标有限公司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5BB86">
    <w:pPr>
      <w:pStyle w:val="2"/>
      <w:pBdr>
        <w:bottom w:val="double" w:color="auto" w:sz="8" w:space="1"/>
      </w:pBdr>
      <w:jc w:val="left"/>
      <w:rPr>
        <w:rFonts w:ascii="黑体" w:hAnsi="黑体" w:eastAsia="黑体" w:cs="黑体"/>
        <w:kern w:val="2"/>
      </w:rPr>
    </w:pPr>
    <w:r>
      <w:rPr>
        <w:rFonts w:hint="eastAsia" w:ascii="黑体" w:hAnsi="黑体" w:eastAsia="黑体" w:cs="黑体"/>
        <w:kern w:val="2"/>
        <w:lang w:eastAsia="zh-CN"/>
      </w:rPr>
      <w:t>2025未来产业系列对接活动(陕西行)项目</w:t>
    </w:r>
    <w:r>
      <w:rPr>
        <w:rFonts w:hint="eastAsia" w:ascii="黑体" w:hAnsi="黑体" w:eastAsia="黑体" w:cs="黑体"/>
        <w:kern w:val="2"/>
      </w:rPr>
      <w:t>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0B1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character" w:customStyle="1" w:styleId="5">
    <w:name w:val="标题 1 Char"/>
    <w:qFormat/>
    <w:locked/>
    <w:uiPriority w:val="99"/>
    <w:rPr>
      <w:rFonts w:ascii="Calibri" w:hAnsi="Calibri" w:cs="Calibri"/>
      <w:b/>
      <w:bCs/>
      <w:kern w:val="44"/>
      <w:sz w:val="44"/>
      <w:szCs w:val="44"/>
    </w:rPr>
  </w:style>
  <w:style w:type="paragraph" w:customStyle="1" w:styleId="6">
    <w:name w:val="纯文本1"/>
    <w:basedOn w:val="1"/>
    <w:qFormat/>
    <w:uiPriority w:val="0"/>
    <w:rPr>
      <w:rFonts w:ascii="宋体" w:hAnsi="Courier New" w:cs="Times New Roman"/>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2025-12-04T10:51:47Z</dcterms:created>
  <dc:creator>Administrator</dc:creator>
  <cp:lastModifiedBy>饣耳</cp:lastModifiedBy>
  <dcterms:modified xsi:type="dcterms:W3CDTF">2025-12-04T10:52:28Z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eyJoZGlkIjoiYTBmYWMxNDVhNGUzMTU5ODhhMjYyNDg4MWIwMzBiNGYiLCJ1c2VySWQiOiI2MTQ1NzE3NTUifQ==</vt:lpwstr>
  </property>
  <property fmtid="{D5CDD505-2E9C-101B-9397-08002B2CF9AE}" pid="4" name="ICV">
    <vt:lpwstr>8F3DB130E4274C4BA6BF9E3DB6B9A0F3_12</vt:lpwstr>
  </property>
</Properties>
</file>