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版本号：LZBA2025-200320251204001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2025年财政大数据技术支撑服务（二）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LZBA2025-2003</w:t>
      </w:r>
      <w:r>
        <w:br/>
      </w:r>
      <w:r>
        <w:br/>
      </w:r>
      <w:r>
        <w:br/>
      </w:r>
    </w:p>
    <w:p>
      <w:pPr>
        <w:pStyle w:val="null3"/>
        <w:jc w:val="center"/>
        <w:outlineLvl w:val="2"/>
      </w:pPr>
      <w:r>
        <w:rPr>
          <w:rFonts w:ascii="仿宋_GB2312" w:hAnsi="仿宋_GB2312" w:cs="仿宋_GB2312" w:eastAsia="仿宋_GB2312"/>
          <w:sz w:val="28"/>
          <w:b/>
        </w:rPr>
        <w:t>陕西省财政厅机关</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陕西省财政厅机关</w:t>
      </w:r>
      <w:r>
        <w:rPr>
          <w:rFonts w:ascii="仿宋_GB2312" w:hAnsi="仿宋_GB2312" w:cs="仿宋_GB2312" w:eastAsia="仿宋_GB2312"/>
        </w:rPr>
        <w:t>委托，拟对</w:t>
      </w:r>
      <w:r>
        <w:rPr>
          <w:rFonts w:ascii="仿宋_GB2312" w:hAnsi="仿宋_GB2312" w:cs="仿宋_GB2312" w:eastAsia="仿宋_GB2312"/>
        </w:rPr>
        <w:t>2025年财政大数据技术支撑服务（二）</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LZBA2025-2003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2025年财政大数据技术支撑服务（二）</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2025年财政大数据技术支撑服务项目（二），具体详见磋商文件采购需求。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法人或者其他组织提供营业执照等证明文件，自然人提供身份证件，供应商需在项目电子化交易系统中按要求上传相应证明文件；</w:t>
      </w:r>
    </w:p>
    <w:p>
      <w:pPr>
        <w:pStyle w:val="null3"/>
      </w:pPr>
      <w:r>
        <w:rPr>
          <w:rFonts w:ascii="仿宋_GB2312" w:hAnsi="仿宋_GB2312" w:cs="仿宋_GB2312" w:eastAsia="仿宋_GB2312"/>
        </w:rPr>
        <w:t>2、财务状况报告：财务状况报告：供应商2024年经审计的财务报告（事业法人可提供部门决算报告）或基本开户银行出具的资信证明或专业担保机构出具的投标担保函，供应商需在项目电子化交易系统中按要求上传相应证明文件</w:t>
      </w:r>
    </w:p>
    <w:p>
      <w:pPr>
        <w:pStyle w:val="null3"/>
      </w:pPr>
      <w:r>
        <w:rPr>
          <w:rFonts w:ascii="仿宋_GB2312" w:hAnsi="仿宋_GB2312" w:cs="仿宋_GB2312" w:eastAsia="仿宋_GB2312"/>
        </w:rPr>
        <w:t>3、书面声明：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p>
      <w:pPr>
        <w:pStyle w:val="null3"/>
      </w:pPr>
      <w:r>
        <w:rPr>
          <w:rFonts w:ascii="仿宋_GB2312" w:hAnsi="仿宋_GB2312" w:cs="仿宋_GB2312" w:eastAsia="仿宋_GB2312"/>
        </w:rPr>
        <w:t>4、具有履行合同所必需的设备和专业技术能力的承诺函：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5、税收缴纳凭证及社会保险缴纳的凭证：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6、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陕西省财政厅机关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西安市莲湖区冰窖巷6号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左老师 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029-68936472 029-68936493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王翠翠、刘婧、张波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代理服务费收费标准：1、成交单位在领取成交通知书前，须向采购代理机构支付采购代理服务费。 2、采购代理服务费参照《国家计委关于印发&lt;招标代理服务收费管理暂行办法&gt;的通知》（计价格[2002]1980号）和国家发展和改革委员会办公厅颁发的《关于招标代理服务收费有关问题的通知》（发改办价格[2003]857号）规定标准下浮30%收取。此采购代理服务费应计入响应报价中，但不需要单独开列。 3、采购代理服务费以转账或现金形式交纳，服务费缴纳账号如下： 收款单位：龙寰项目管理咨询有限公司 开户行：平安银行西安高新路支行 账号：30201278017817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陕西省财政厅机关</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陕西省财政厅机关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陕西省财政厅机关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联系人：王翠翠、刘婧、张波</w:t>
      </w:r>
    </w:p>
    <w:p>
      <w:pPr>
        <w:pStyle w:val="null3"/>
      </w:pPr>
      <w:r>
        <w:rPr>
          <w:rFonts w:ascii="仿宋_GB2312" w:hAnsi="仿宋_GB2312" w:cs="仿宋_GB2312" w:eastAsia="仿宋_GB2312"/>
        </w:rPr>
        <w:t>联系电话：029-88228899-616</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2025年财政大数据技术支撑服务项目（二），具体详见磋商文件采购需求。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945,000.00</w:t>
      </w:r>
    </w:p>
    <w:p>
      <w:pPr>
        <w:pStyle w:val="null3"/>
      </w:pPr>
      <w:r>
        <w:rPr>
          <w:rFonts w:ascii="仿宋_GB2312" w:hAnsi="仿宋_GB2312" w:cs="仿宋_GB2312" w:eastAsia="仿宋_GB2312"/>
        </w:rPr>
        <w:t>采购包最高限价（元）: 945,000.00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财政大数据技术支撑服务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标的名称：财政大数据技术支撑服务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color w:val="000000"/>
              </w:rPr>
              <w:t>2025年</w:t>
            </w:r>
            <w:r>
              <w:rPr>
                <w:rFonts w:ascii="仿宋_GB2312" w:hAnsi="仿宋_GB2312" w:cs="仿宋_GB2312" w:eastAsia="仿宋_GB2312"/>
                <w:sz w:val="20"/>
                <w:b/>
                <w:color w:val="000000"/>
              </w:rPr>
              <w:t>财政</w:t>
            </w:r>
            <w:r>
              <w:rPr>
                <w:rFonts w:ascii="仿宋_GB2312" w:hAnsi="仿宋_GB2312" w:cs="仿宋_GB2312" w:eastAsia="仿宋_GB2312"/>
                <w:sz w:val="20"/>
                <w:b/>
                <w:color w:val="000000"/>
              </w:rPr>
              <w:t>大数据技术支撑服务</w:t>
            </w:r>
            <w:r>
              <w:rPr>
                <w:rFonts w:ascii="仿宋_GB2312" w:hAnsi="仿宋_GB2312" w:cs="仿宋_GB2312" w:eastAsia="仿宋_GB2312"/>
                <w:sz w:val="20"/>
                <w:b/>
                <w:color w:val="000000"/>
              </w:rPr>
              <w:t>项目（二）采购</w:t>
            </w:r>
            <w:r>
              <w:rPr>
                <w:rFonts w:ascii="仿宋_GB2312" w:hAnsi="仿宋_GB2312" w:cs="仿宋_GB2312" w:eastAsia="仿宋_GB2312"/>
                <w:sz w:val="20"/>
                <w:b/>
                <w:color w:val="000000"/>
              </w:rPr>
              <w:t>需求</w:t>
            </w:r>
          </w:p>
          <w:p>
            <w:pPr>
              <w:pStyle w:val="null3"/>
              <w:jc w:val="left"/>
            </w:pPr>
            <w:r>
              <w:rPr>
                <w:rFonts w:ascii="仿宋_GB2312" w:hAnsi="仿宋_GB2312" w:cs="仿宋_GB2312" w:eastAsia="仿宋_GB2312"/>
                <w:sz w:val="20"/>
                <w:b/>
                <w:color w:val="000000"/>
              </w:rPr>
              <w:t>本项目采购需求分为两个部分：</w:t>
            </w:r>
          </w:p>
          <w:p>
            <w:pPr>
              <w:pStyle w:val="null3"/>
              <w:jc w:val="left"/>
            </w:pPr>
            <w:r>
              <w:rPr>
                <w:rFonts w:ascii="仿宋_GB2312" w:hAnsi="仿宋_GB2312" w:cs="仿宋_GB2312" w:eastAsia="仿宋_GB2312"/>
                <w:sz w:val="20"/>
                <w:b/>
                <w:color w:val="000000"/>
              </w:rPr>
              <w:t>第一部分：</w:t>
            </w:r>
          </w:p>
          <w:p>
            <w:pPr>
              <w:pStyle w:val="null3"/>
              <w:jc w:val="left"/>
            </w:pPr>
            <w:r>
              <w:rPr>
                <w:rFonts w:ascii="仿宋_GB2312" w:hAnsi="仿宋_GB2312" w:cs="仿宋_GB2312" w:eastAsia="仿宋_GB2312"/>
                <w:sz w:val="20"/>
                <w:b/>
                <w:color w:val="000000"/>
              </w:rPr>
              <w:t>2025年财政大数据技术支撑服务需求：</w:t>
            </w:r>
          </w:p>
          <w:p>
            <w:pPr>
              <w:pStyle w:val="null3"/>
              <w:jc w:val="left"/>
            </w:pPr>
            <w:r>
              <w:rPr>
                <w:rFonts w:ascii="仿宋_GB2312" w:hAnsi="仿宋_GB2312" w:cs="仿宋_GB2312" w:eastAsia="仿宋_GB2312"/>
                <w:sz w:val="20"/>
                <w:b/>
                <w:color w:val="000000"/>
              </w:rPr>
              <w:t>一、项目概述</w:t>
            </w:r>
          </w:p>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项目依据</w:t>
            </w:r>
          </w:p>
          <w:p>
            <w:pPr>
              <w:pStyle w:val="null3"/>
              <w:ind w:firstLine="400"/>
              <w:jc w:val="left"/>
            </w:pPr>
            <w:r>
              <w:rPr>
                <w:rFonts w:ascii="仿宋_GB2312" w:hAnsi="仿宋_GB2312" w:cs="仿宋_GB2312" w:eastAsia="仿宋_GB2312"/>
                <w:sz w:val="20"/>
                <w:color w:val="000000"/>
              </w:rPr>
              <w:t>1.财力评估服务</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1）国家政策文件</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《中华人民共和国预算法实施条例》</w:t>
            </w:r>
            <w:r>
              <w:rPr>
                <w:rFonts w:ascii="仿宋_GB2312" w:hAnsi="仿宋_GB2312" w:cs="仿宋_GB2312" w:eastAsia="仿宋_GB2312"/>
                <w:sz w:val="20"/>
                <w:color w:val="000000"/>
              </w:rPr>
              <w:t>提出：</w:t>
            </w:r>
            <w:r>
              <w:rPr>
                <w:rFonts w:ascii="仿宋_GB2312" w:hAnsi="仿宋_GB2312" w:cs="仿宋_GB2312" w:eastAsia="仿宋_GB2312"/>
                <w:sz w:val="20"/>
                <w:color w:val="000000"/>
              </w:rPr>
              <w:t>“</w:t>
            </w:r>
            <w:r>
              <w:rPr>
                <w:rFonts w:ascii="仿宋_GB2312" w:hAnsi="仿宋_GB2312" w:cs="仿宋_GB2312" w:eastAsia="仿宋_GB2312"/>
                <w:sz w:val="20"/>
                <w:color w:val="000000"/>
              </w:rPr>
              <w:t>地方各级政府财政部门应当根据财政部制定的预算支出标准，结合本地区经济社会发展水平、财力状况等，制定本地区或者本级的预算支出标准。</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2）《国务院关于进一步深化预算管理制度改革的意见》(国发〔2021〕5号)指出，各级财政坚持量入为出原则，合理确定支出预算规模，根据支出政策、项目要素及成本、财力水平等，</w:t>
            </w:r>
            <w:r>
              <w:rPr>
                <w:rFonts w:ascii="仿宋_GB2312" w:hAnsi="仿宋_GB2312" w:cs="仿宋_GB2312" w:eastAsia="仿宋_GB2312"/>
                <w:sz w:val="20"/>
                <w:color w:val="000000"/>
              </w:rPr>
              <w:t>建立不同行业、不同地区、分类分档的预算项目支出标准体系。</w:t>
            </w:r>
            <w:r>
              <w:rPr>
                <w:rFonts w:ascii="仿宋_GB2312" w:hAnsi="仿宋_GB2312" w:cs="仿宋_GB2312" w:eastAsia="仿宋_GB2312"/>
                <w:sz w:val="20"/>
                <w:color w:val="000000"/>
              </w:rPr>
              <w:t>加强中期财政规划管理，对各类合规确定的中长期支出事项和跨年度项目，要根据项目预算管理等要求，将全生命周期内对财政支出的影响纳入中期财政规划。</w:t>
            </w:r>
          </w:p>
          <w:p>
            <w:pPr>
              <w:pStyle w:val="null3"/>
              <w:ind w:firstLine="400"/>
              <w:jc w:val="left"/>
            </w:pPr>
            <w:r>
              <w:rPr>
                <w:rFonts w:ascii="仿宋_GB2312" w:hAnsi="仿宋_GB2312" w:cs="仿宋_GB2312" w:eastAsia="仿宋_GB2312"/>
                <w:sz w:val="20"/>
                <w:color w:val="000000"/>
              </w:rPr>
              <w:t>3）《财政部关于开展地方财政科学管理试点工作的通知》(财预〔2024〕134号)</w:t>
            </w:r>
            <w:r>
              <w:rPr>
                <w:rFonts w:ascii="仿宋_GB2312" w:hAnsi="仿宋_GB2312" w:cs="仿宋_GB2312" w:eastAsia="仿宋_GB2312"/>
                <w:sz w:val="20"/>
                <w:color w:val="000000"/>
              </w:rPr>
              <w:t>将</w:t>
            </w:r>
            <w:r>
              <w:rPr>
                <w:rFonts w:ascii="仿宋_GB2312" w:hAnsi="仿宋_GB2312" w:cs="仿宋_GB2312" w:eastAsia="仿宋_GB2312"/>
                <w:sz w:val="20"/>
                <w:color w:val="000000"/>
              </w:rPr>
              <w:t>陕西省</w:t>
            </w:r>
            <w:r>
              <w:rPr>
                <w:rFonts w:ascii="仿宋_GB2312" w:hAnsi="仿宋_GB2312" w:cs="仿宋_GB2312" w:eastAsia="仿宋_GB2312"/>
                <w:sz w:val="20"/>
                <w:color w:val="000000"/>
              </w:rPr>
              <w:t>列为</w:t>
            </w:r>
            <w:r>
              <w:rPr>
                <w:rFonts w:ascii="仿宋_GB2312" w:hAnsi="仿宋_GB2312" w:cs="仿宋_GB2312" w:eastAsia="仿宋_GB2312"/>
                <w:sz w:val="20"/>
                <w:color w:val="000000"/>
              </w:rPr>
              <w:t>“推进</w:t>
            </w:r>
            <w:r>
              <w:rPr>
                <w:rFonts w:ascii="仿宋_GB2312" w:hAnsi="仿宋_GB2312" w:cs="仿宋_GB2312" w:eastAsia="仿宋_GB2312"/>
                <w:sz w:val="20"/>
                <w:color w:val="000000"/>
              </w:rPr>
              <w:t>财政数字化建设</w:t>
            </w:r>
            <w:r>
              <w:rPr>
                <w:rFonts w:ascii="仿宋_GB2312" w:hAnsi="仿宋_GB2312" w:cs="仿宋_GB2312" w:eastAsia="仿宋_GB2312"/>
                <w:sz w:val="20"/>
                <w:color w:val="000000"/>
              </w:rPr>
              <w:t>”</w:t>
            </w:r>
            <w:r>
              <w:rPr>
                <w:rFonts w:ascii="仿宋_GB2312" w:hAnsi="仿宋_GB2312" w:cs="仿宋_GB2312" w:eastAsia="仿宋_GB2312"/>
                <w:sz w:val="20"/>
                <w:color w:val="000000"/>
              </w:rPr>
              <w:t>试点省份，</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健全对基层财政运行、政府债务等领域的风险预警体系，不断提升预算工作科学性、前瞻性。</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2）陕西省政策文件</w:t>
            </w:r>
          </w:p>
          <w:p>
            <w:pPr>
              <w:pStyle w:val="null3"/>
              <w:ind w:firstLine="400"/>
              <w:jc w:val="left"/>
            </w:pPr>
            <w:r>
              <w:rPr>
                <w:rFonts w:ascii="仿宋_GB2312" w:hAnsi="仿宋_GB2312" w:cs="仿宋_GB2312" w:eastAsia="仿宋_GB2312"/>
                <w:sz w:val="20"/>
                <w:color w:val="000000"/>
              </w:rPr>
              <w:t>1）《陕西省人民政府关于进一步深化预算管理制度改革的实施意见》(陕政函〔2021〕150号)文件</w:t>
            </w:r>
            <w:r>
              <w:rPr>
                <w:rFonts w:ascii="仿宋_GB2312" w:hAnsi="仿宋_GB2312" w:cs="仿宋_GB2312" w:eastAsia="仿宋_GB2312"/>
                <w:sz w:val="20"/>
                <w:color w:val="000000"/>
              </w:rPr>
              <w:t>提出</w:t>
            </w:r>
            <w:r>
              <w:rPr>
                <w:rFonts w:ascii="仿宋_GB2312" w:hAnsi="仿宋_GB2312" w:cs="仿宋_GB2312" w:eastAsia="仿宋_GB2312"/>
                <w:sz w:val="20"/>
                <w:color w:val="000000"/>
              </w:rPr>
              <w:t>“对政府投资项目，要进行财政承受能力评估，超越财政承受能力的，不得新上项目。对拟出台的民生政策，也要加强财政承受能力评估，财政难以承受的，不得出台。”</w:t>
            </w:r>
          </w:p>
          <w:p>
            <w:pPr>
              <w:pStyle w:val="null3"/>
              <w:ind w:firstLine="400"/>
              <w:jc w:val="left"/>
            </w:pPr>
            <w:r>
              <w:rPr>
                <w:rFonts w:ascii="仿宋_GB2312" w:hAnsi="仿宋_GB2312" w:cs="仿宋_GB2312" w:eastAsia="仿宋_GB2312"/>
                <w:sz w:val="20"/>
                <w:color w:val="000000"/>
              </w:rPr>
              <w:t>2）《陕西省财政厅关于印发〈陕西省财政承受能力评估办法（试行）〉的通知》(陕财办</w:t>
            </w:r>
            <w:r>
              <w:rPr>
                <w:rFonts w:ascii="仿宋_GB2312" w:hAnsi="仿宋_GB2312" w:cs="仿宋_GB2312" w:eastAsia="仿宋_GB2312"/>
                <w:sz w:val="20"/>
                <w:color w:val="000000"/>
              </w:rPr>
              <w:t>预</w:t>
            </w:r>
            <w:r>
              <w:rPr>
                <w:rFonts w:ascii="仿宋_GB2312" w:hAnsi="仿宋_GB2312" w:cs="仿宋_GB2312" w:eastAsia="仿宋_GB2312"/>
                <w:sz w:val="20"/>
                <w:color w:val="000000"/>
              </w:rPr>
              <w:t>〔</w:t>
            </w:r>
            <w:r>
              <w:rPr>
                <w:rFonts w:ascii="仿宋_GB2312" w:hAnsi="仿宋_GB2312" w:cs="仿宋_GB2312" w:eastAsia="仿宋_GB2312"/>
                <w:sz w:val="20"/>
                <w:color w:val="000000"/>
              </w:rPr>
              <w:t>2024〕36号)要求，遵循科学规范、底线思维、分级实施、远近兼顾、动态评估的原则</w:t>
            </w:r>
            <w:r>
              <w:rPr>
                <w:rFonts w:ascii="仿宋_GB2312" w:hAnsi="仿宋_GB2312" w:cs="仿宋_GB2312" w:eastAsia="仿宋_GB2312"/>
                <w:sz w:val="20"/>
                <w:color w:val="000000"/>
              </w:rPr>
              <w:t>，统筹发展和安全，防范化解财政运行风险隐患，科学评估财政承受能力。</w:t>
            </w:r>
          </w:p>
          <w:p>
            <w:pPr>
              <w:pStyle w:val="null3"/>
              <w:ind w:firstLine="400"/>
              <w:jc w:val="left"/>
            </w:pPr>
            <w:r>
              <w:rPr>
                <w:rFonts w:ascii="仿宋_GB2312" w:hAnsi="仿宋_GB2312" w:cs="仿宋_GB2312" w:eastAsia="仿宋_GB2312"/>
                <w:sz w:val="20"/>
                <w:color w:val="000000"/>
              </w:rPr>
              <w:t>2.政府投资基金管理服务</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1）国家政策文件</w:t>
            </w:r>
          </w:p>
          <w:p>
            <w:pPr>
              <w:pStyle w:val="null3"/>
              <w:ind w:firstLine="400"/>
              <w:jc w:val="left"/>
            </w:pPr>
            <w:r>
              <w:rPr>
                <w:rFonts w:ascii="仿宋_GB2312" w:hAnsi="仿宋_GB2312" w:cs="仿宋_GB2312" w:eastAsia="仿宋_GB2312"/>
                <w:sz w:val="20"/>
                <w:color w:val="000000"/>
              </w:rPr>
              <w:t>1）《国务院办公厅关于促进政府投资基金高质量发展的指导意见》(国办发〔2025〕1号)、《财政部关于印发〈政府投资基金暂行管理办法〉的通知》(财预〔2015〕210号)指出，财政部门根据本级政府授权或合同章程规定代行政府出资人职责，进一步优化基金投资方式，文件明确了政府出资的定义，并对政府投资基金的设立、运作与监管进行了规范。</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）财政部《关于加强政府投资基金管理提高财政出资效益的通知》（财预〔</w:t>
            </w:r>
            <w:r>
              <w:rPr>
                <w:rFonts w:ascii="仿宋_GB2312" w:hAnsi="仿宋_GB2312" w:cs="仿宋_GB2312" w:eastAsia="仿宋_GB2312"/>
                <w:sz w:val="20"/>
                <w:color w:val="000000"/>
              </w:rPr>
              <w:t>2020〕7号）指出，通过强化预算约束、提升基金使用效能、实施全过程绩效管理、健全退出机制、禁止变相举债以及完善报告制度等措施，加强对政府投资基金的管理，解决一些基金存在的政策目标重复、资金闲置和碎片化等问题，确保政府投资基金在创新财政资金使用、引导新兴产业发展、撬动社会资本投入等方面发挥积极作用，提高财政出资效益，促进政府投资基金有序运行。</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2）陕西省政策文件</w:t>
            </w:r>
          </w:p>
          <w:p>
            <w:pPr>
              <w:pStyle w:val="null3"/>
              <w:ind w:firstLine="400"/>
              <w:jc w:val="left"/>
            </w:pPr>
            <w:r>
              <w:rPr>
                <w:rFonts w:ascii="仿宋_GB2312" w:hAnsi="仿宋_GB2312" w:cs="仿宋_GB2312" w:eastAsia="仿宋_GB2312"/>
                <w:sz w:val="20"/>
                <w:color w:val="000000"/>
              </w:rPr>
              <w:t>《陕西省人民政府办公厅关于印发政府投资引导基金管理办法的通知》</w:t>
            </w:r>
            <w:r>
              <w:rPr>
                <w:rFonts w:ascii="仿宋_GB2312" w:hAnsi="仿宋_GB2312" w:cs="仿宋_GB2312" w:eastAsia="仿宋_GB2312"/>
                <w:sz w:val="20"/>
                <w:color w:val="000000"/>
              </w:rPr>
              <w:t>(陕政办发〔20</w:t>
            </w:r>
            <w:r>
              <w:rPr>
                <w:rFonts w:ascii="仿宋_GB2312" w:hAnsi="仿宋_GB2312" w:cs="仿宋_GB2312" w:eastAsia="仿宋_GB2312"/>
                <w:sz w:val="20"/>
                <w:color w:val="000000"/>
              </w:rPr>
              <w:t>23</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号</w:t>
            </w:r>
            <w:r>
              <w:rPr>
                <w:rFonts w:ascii="仿宋_GB2312" w:hAnsi="仿宋_GB2312" w:cs="仿宋_GB2312" w:eastAsia="仿宋_GB2312"/>
                <w:sz w:val="20"/>
                <w:color w:val="000000"/>
              </w:rPr>
              <w:t>)、《陕西省财政厅关于印发〈陕西省政府投资引导基金管理办法实施细则〉的通知》（陕财办基金〔2024〕2号）进一步明确了陕西省政府投资基金</w:t>
            </w:r>
            <w:r>
              <w:rPr>
                <w:rFonts w:ascii="仿宋_GB2312" w:hAnsi="仿宋_GB2312" w:cs="仿宋_GB2312" w:eastAsia="仿宋_GB2312"/>
                <w:sz w:val="20"/>
                <w:color w:val="000000"/>
              </w:rPr>
              <w:t>的</w:t>
            </w:r>
            <w:r>
              <w:rPr>
                <w:rFonts w:ascii="仿宋_GB2312" w:hAnsi="仿宋_GB2312" w:cs="仿宋_GB2312" w:eastAsia="仿宋_GB2312"/>
                <w:sz w:val="20"/>
                <w:color w:val="000000"/>
              </w:rPr>
              <w:t>投资方向和方式、运行管理和退出、风险控制及绩效管理等</w:t>
            </w:r>
            <w:r>
              <w:rPr>
                <w:rFonts w:ascii="仿宋_GB2312" w:hAnsi="仿宋_GB2312" w:cs="仿宋_GB2312" w:eastAsia="仿宋_GB2312"/>
                <w:sz w:val="20"/>
                <w:color w:val="000000"/>
              </w:rPr>
              <w:t>，规范引导基金投资运作，有效发挥财政资金引导作用和投资效益。</w:t>
            </w:r>
          </w:p>
          <w:p>
            <w:pPr>
              <w:pStyle w:val="null3"/>
              <w:jc w:val="left"/>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项目</w:t>
            </w:r>
            <w:r>
              <w:rPr>
                <w:rFonts w:ascii="仿宋_GB2312" w:hAnsi="仿宋_GB2312" w:cs="仿宋_GB2312" w:eastAsia="仿宋_GB2312"/>
                <w:sz w:val="20"/>
                <w:b/>
                <w:color w:val="000000"/>
              </w:rPr>
              <w:t>必要性</w:t>
            </w:r>
          </w:p>
          <w:p>
            <w:pPr>
              <w:pStyle w:val="null3"/>
              <w:ind w:firstLine="400"/>
              <w:jc w:val="left"/>
            </w:pPr>
            <w:r>
              <w:rPr>
                <w:rFonts w:ascii="仿宋_GB2312" w:hAnsi="仿宋_GB2312" w:cs="仿宋_GB2312" w:eastAsia="仿宋_GB2312"/>
                <w:sz w:val="20"/>
                <w:color w:val="000000"/>
              </w:rPr>
              <w:t>为贯彻落实党中央、国务院决策部署和省委、省政府重点工作要求，</w:t>
            </w:r>
            <w:r>
              <w:rPr>
                <w:rFonts w:ascii="仿宋_GB2312" w:hAnsi="仿宋_GB2312" w:cs="仿宋_GB2312" w:eastAsia="仿宋_GB2312"/>
                <w:sz w:val="20"/>
                <w:color w:val="000000"/>
              </w:rPr>
              <w:t>推动数字财政发展，进一步完善财政大数据技术支撑服务体系，以财力评估和政府投资基金管理为数据服务试点，开展财力评估和</w:t>
            </w:r>
            <w:r>
              <w:rPr>
                <w:rFonts w:ascii="仿宋_GB2312" w:hAnsi="仿宋_GB2312" w:cs="仿宋_GB2312" w:eastAsia="仿宋_GB2312"/>
                <w:sz w:val="20"/>
                <w:color w:val="000000"/>
              </w:rPr>
              <w:t>政府投资基金管理</w:t>
            </w:r>
            <w:r>
              <w:rPr>
                <w:rFonts w:ascii="仿宋_GB2312" w:hAnsi="仿宋_GB2312" w:cs="仿宋_GB2312" w:eastAsia="仿宋_GB2312"/>
                <w:sz w:val="20"/>
                <w:color w:val="000000"/>
              </w:rPr>
              <w:t>工作。</w:t>
            </w:r>
          </w:p>
          <w:p>
            <w:pPr>
              <w:pStyle w:val="null3"/>
              <w:ind w:firstLine="400"/>
              <w:jc w:val="left"/>
            </w:pPr>
            <w:r>
              <w:rPr>
                <w:rFonts w:ascii="仿宋_GB2312" w:hAnsi="仿宋_GB2312" w:cs="仿宋_GB2312" w:eastAsia="仿宋_GB2312"/>
                <w:sz w:val="20"/>
                <w:color w:val="000000"/>
              </w:rPr>
              <w:t>1.财力评估服务</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1）有效防范财政资金运行风险</w:t>
            </w:r>
            <w:r>
              <w:rPr>
                <w:rFonts w:ascii="仿宋_GB2312" w:hAnsi="仿宋_GB2312" w:cs="仿宋_GB2312" w:eastAsia="仿宋_GB2312"/>
                <w:sz w:val="20"/>
                <w:color w:val="000000"/>
              </w:rPr>
              <w:t>。</w:t>
            </w:r>
            <w:r>
              <w:rPr>
                <w:rFonts w:ascii="仿宋_GB2312" w:hAnsi="仿宋_GB2312" w:cs="仿宋_GB2312" w:eastAsia="仿宋_GB2312"/>
                <w:sz w:val="20"/>
                <w:color w:val="000000"/>
              </w:rPr>
              <w:t>坚持</w:t>
            </w:r>
            <w:r>
              <w:rPr>
                <w:rFonts w:ascii="仿宋_GB2312" w:hAnsi="仿宋_GB2312" w:cs="仿宋_GB2312" w:eastAsia="仿宋_GB2312"/>
                <w:sz w:val="20"/>
                <w:color w:val="000000"/>
              </w:rPr>
              <w:t>“</w:t>
            </w:r>
            <w:r>
              <w:rPr>
                <w:rFonts w:ascii="仿宋_GB2312" w:hAnsi="仿宋_GB2312" w:cs="仿宋_GB2312" w:eastAsia="仿宋_GB2312"/>
                <w:sz w:val="20"/>
                <w:color w:val="000000"/>
              </w:rPr>
              <w:t>量入为出</w:t>
            </w:r>
            <w:r>
              <w:rPr>
                <w:rFonts w:ascii="仿宋_GB2312" w:hAnsi="仿宋_GB2312" w:cs="仿宋_GB2312" w:eastAsia="仿宋_GB2312"/>
                <w:sz w:val="20"/>
                <w:color w:val="000000"/>
              </w:rPr>
              <w:t>”</w:t>
            </w:r>
            <w:r>
              <w:rPr>
                <w:rFonts w:ascii="仿宋_GB2312" w:hAnsi="仿宋_GB2312" w:cs="仿宋_GB2312" w:eastAsia="仿宋_GB2312"/>
                <w:sz w:val="20"/>
                <w:color w:val="000000"/>
              </w:rPr>
              <w:t>原则</w:t>
            </w:r>
            <w:r>
              <w:rPr>
                <w:rFonts w:ascii="仿宋_GB2312" w:hAnsi="仿宋_GB2312" w:cs="仿宋_GB2312" w:eastAsia="仿宋_GB2312"/>
                <w:sz w:val="20"/>
                <w:color w:val="000000"/>
              </w:rPr>
              <w:t>，</w:t>
            </w:r>
            <w:r>
              <w:rPr>
                <w:rFonts w:ascii="仿宋_GB2312" w:hAnsi="仿宋_GB2312" w:cs="仿宋_GB2312" w:eastAsia="仿宋_GB2312"/>
                <w:sz w:val="20"/>
                <w:color w:val="000000"/>
              </w:rPr>
              <w:t>优先保障好重点任务支出需求，确保</w:t>
            </w:r>
            <w:r>
              <w:rPr>
                <w:rFonts w:ascii="仿宋_GB2312" w:hAnsi="仿宋_GB2312" w:cs="仿宋_GB2312" w:eastAsia="仿宋_GB2312"/>
                <w:sz w:val="20"/>
                <w:color w:val="000000"/>
              </w:rPr>
              <w:t>“把钱花在刀刃上”</w:t>
            </w:r>
            <w:r>
              <w:rPr>
                <w:rFonts w:ascii="仿宋_GB2312" w:hAnsi="仿宋_GB2312" w:cs="仿宋_GB2312" w:eastAsia="仿宋_GB2312"/>
                <w:sz w:val="20"/>
                <w:color w:val="000000"/>
              </w:rPr>
              <w:t>，在</w:t>
            </w:r>
            <w:r>
              <w:rPr>
                <w:rFonts w:ascii="仿宋_GB2312" w:hAnsi="仿宋_GB2312" w:cs="仿宋_GB2312" w:eastAsia="仿宋_GB2312"/>
                <w:sz w:val="20"/>
                <w:color w:val="000000"/>
              </w:rPr>
              <w:t>政策或项目增支资金安排前</w:t>
            </w:r>
            <w:r>
              <w:rPr>
                <w:rFonts w:ascii="仿宋_GB2312" w:hAnsi="仿宋_GB2312" w:cs="仿宋_GB2312" w:eastAsia="仿宋_GB2312"/>
                <w:sz w:val="20"/>
                <w:color w:val="000000"/>
              </w:rPr>
              <w:t>，开展</w:t>
            </w:r>
            <w:r>
              <w:rPr>
                <w:rFonts w:ascii="仿宋_GB2312" w:hAnsi="仿宋_GB2312" w:cs="仿宋_GB2312" w:eastAsia="仿宋_GB2312"/>
                <w:sz w:val="20"/>
                <w:color w:val="000000"/>
              </w:rPr>
              <w:t>财政可承受能力测算评估，既保障重点任务支出，又统筹发展和安全，防范化解财政运行风险隐患。</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2）降低成本，提升</w:t>
            </w:r>
            <w:r>
              <w:rPr>
                <w:rFonts w:ascii="仿宋_GB2312" w:hAnsi="仿宋_GB2312" w:cs="仿宋_GB2312" w:eastAsia="仿宋_GB2312"/>
                <w:sz w:val="20"/>
                <w:color w:val="000000"/>
              </w:rPr>
              <w:t>财力评估</w:t>
            </w:r>
            <w:r>
              <w:rPr>
                <w:rFonts w:ascii="仿宋_GB2312" w:hAnsi="仿宋_GB2312" w:cs="仿宋_GB2312" w:eastAsia="仿宋_GB2312"/>
                <w:sz w:val="20"/>
                <w:color w:val="000000"/>
              </w:rPr>
              <w:t>效率及准确性</w:t>
            </w:r>
            <w:r>
              <w:rPr>
                <w:rFonts w:ascii="仿宋_GB2312" w:hAnsi="仿宋_GB2312" w:cs="仿宋_GB2312" w:eastAsia="仿宋_GB2312"/>
                <w:sz w:val="20"/>
                <w:color w:val="000000"/>
              </w:rPr>
              <w:t>。财政数据量大，勾稽关系复杂，</w:t>
            </w:r>
            <w:r>
              <w:rPr>
                <w:rFonts w:ascii="仿宋_GB2312" w:hAnsi="仿宋_GB2312" w:cs="仿宋_GB2312" w:eastAsia="仿宋_GB2312"/>
                <w:sz w:val="20"/>
                <w:color w:val="000000"/>
              </w:rPr>
              <w:t>人工处理数据费时费力</w:t>
            </w:r>
            <w:r>
              <w:rPr>
                <w:rFonts w:ascii="仿宋_GB2312" w:hAnsi="仿宋_GB2312" w:cs="仿宋_GB2312" w:eastAsia="仿宋_GB2312"/>
                <w:sz w:val="20"/>
                <w:color w:val="000000"/>
              </w:rPr>
              <w:t>，</w:t>
            </w:r>
            <w:r>
              <w:rPr>
                <w:rFonts w:ascii="仿宋_GB2312" w:hAnsi="仿宋_GB2312" w:cs="仿宋_GB2312" w:eastAsia="仿宋_GB2312"/>
                <w:sz w:val="20"/>
                <w:color w:val="000000"/>
              </w:rPr>
              <w:t>效率</w:t>
            </w:r>
            <w:r>
              <w:rPr>
                <w:rFonts w:ascii="仿宋_GB2312" w:hAnsi="仿宋_GB2312" w:cs="仿宋_GB2312" w:eastAsia="仿宋_GB2312"/>
                <w:sz w:val="20"/>
                <w:color w:val="000000"/>
              </w:rPr>
              <w:t>较低，准确度较差，采用成熟的数据管理技术、规范的</w:t>
            </w:r>
            <w:r>
              <w:rPr>
                <w:rFonts w:ascii="仿宋_GB2312" w:hAnsi="仿宋_GB2312" w:cs="仿宋_GB2312" w:eastAsia="仿宋_GB2312"/>
                <w:sz w:val="20"/>
                <w:color w:val="000000"/>
              </w:rPr>
              <w:t>测算</w:t>
            </w:r>
            <w:r>
              <w:rPr>
                <w:rFonts w:ascii="仿宋_GB2312" w:hAnsi="仿宋_GB2312" w:cs="仿宋_GB2312" w:eastAsia="仿宋_GB2312"/>
                <w:sz w:val="20"/>
                <w:color w:val="000000"/>
              </w:rPr>
              <w:t>过程和科学</w:t>
            </w:r>
            <w:r>
              <w:rPr>
                <w:rFonts w:ascii="仿宋_GB2312" w:hAnsi="仿宋_GB2312" w:cs="仿宋_GB2312" w:eastAsia="仿宋_GB2312"/>
                <w:sz w:val="20"/>
                <w:color w:val="000000"/>
              </w:rPr>
              <w:t>的评估方法，</w:t>
            </w:r>
            <w:r>
              <w:rPr>
                <w:rFonts w:ascii="仿宋_GB2312" w:hAnsi="仿宋_GB2312" w:cs="仿宋_GB2312" w:eastAsia="仿宋_GB2312"/>
                <w:sz w:val="20"/>
                <w:color w:val="000000"/>
              </w:rPr>
              <w:t>对财力数据进行</w:t>
            </w:r>
            <w:r>
              <w:rPr>
                <w:rFonts w:ascii="仿宋_GB2312" w:hAnsi="仿宋_GB2312" w:cs="仿宋_GB2312" w:eastAsia="仿宋_GB2312"/>
                <w:sz w:val="20"/>
                <w:color w:val="000000"/>
              </w:rPr>
              <w:t>收集</w:t>
            </w:r>
            <w:r>
              <w:rPr>
                <w:rFonts w:ascii="仿宋_GB2312" w:hAnsi="仿宋_GB2312" w:cs="仿宋_GB2312" w:eastAsia="仿宋_GB2312"/>
                <w:sz w:val="20"/>
                <w:color w:val="000000"/>
              </w:rPr>
              <w:t>、加工、统计和分析，助力财政部门动态、实时掌握</w:t>
            </w:r>
            <w:r>
              <w:rPr>
                <w:rFonts w:ascii="仿宋_GB2312" w:hAnsi="仿宋_GB2312" w:cs="仿宋_GB2312" w:eastAsia="仿宋_GB2312"/>
                <w:sz w:val="20"/>
                <w:color w:val="000000"/>
              </w:rPr>
              <w:t>当年和中长期</w:t>
            </w:r>
            <w:r>
              <w:rPr>
                <w:rFonts w:ascii="仿宋_GB2312" w:hAnsi="仿宋_GB2312" w:cs="仿宋_GB2312" w:eastAsia="仿宋_GB2312"/>
                <w:sz w:val="20"/>
                <w:color w:val="000000"/>
              </w:rPr>
              <w:t>财力</w:t>
            </w:r>
            <w:r>
              <w:rPr>
                <w:rFonts w:ascii="仿宋_GB2312" w:hAnsi="仿宋_GB2312" w:cs="仿宋_GB2312" w:eastAsia="仿宋_GB2312"/>
                <w:sz w:val="20"/>
                <w:color w:val="000000"/>
              </w:rPr>
              <w:t>可承受能力情况</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2.政府投资基金管理服务</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1）优化政府投资方式</w:t>
            </w:r>
            <w:r>
              <w:rPr>
                <w:rFonts w:ascii="仿宋_GB2312" w:hAnsi="仿宋_GB2312" w:cs="仿宋_GB2312" w:eastAsia="仿宋_GB2312"/>
                <w:sz w:val="20"/>
                <w:color w:val="000000"/>
              </w:rPr>
              <w:t>和</w:t>
            </w:r>
            <w:r>
              <w:rPr>
                <w:rFonts w:ascii="仿宋_GB2312" w:hAnsi="仿宋_GB2312" w:cs="仿宋_GB2312" w:eastAsia="仿宋_GB2312"/>
                <w:sz w:val="20"/>
                <w:color w:val="000000"/>
              </w:rPr>
              <w:t>业务流程</w:t>
            </w:r>
            <w:r>
              <w:rPr>
                <w:rFonts w:ascii="仿宋_GB2312" w:hAnsi="仿宋_GB2312" w:cs="仿宋_GB2312" w:eastAsia="仿宋_GB2312"/>
                <w:sz w:val="20"/>
                <w:color w:val="000000"/>
              </w:rPr>
              <w:t>。</w:t>
            </w:r>
            <w:r>
              <w:rPr>
                <w:rFonts w:ascii="仿宋_GB2312" w:hAnsi="仿宋_GB2312" w:cs="仿宋_GB2312" w:eastAsia="仿宋_GB2312"/>
                <w:sz w:val="20"/>
                <w:color w:val="000000"/>
              </w:rPr>
              <w:t>为</w:t>
            </w:r>
            <w:r>
              <w:rPr>
                <w:rFonts w:ascii="仿宋_GB2312" w:hAnsi="仿宋_GB2312" w:cs="仿宋_GB2312" w:eastAsia="仿宋_GB2312"/>
                <w:sz w:val="20"/>
                <w:color w:val="000000"/>
              </w:rPr>
              <w:t>进一步优化政府投资方式</w:t>
            </w:r>
            <w:r>
              <w:rPr>
                <w:rFonts w:ascii="仿宋_GB2312" w:hAnsi="仿宋_GB2312" w:cs="仿宋_GB2312" w:eastAsia="仿宋_GB2312"/>
                <w:sz w:val="20"/>
                <w:color w:val="000000"/>
              </w:rPr>
              <w:t>和</w:t>
            </w:r>
            <w:r>
              <w:rPr>
                <w:rFonts w:ascii="仿宋_GB2312" w:hAnsi="仿宋_GB2312" w:cs="仿宋_GB2312" w:eastAsia="仿宋_GB2312"/>
                <w:sz w:val="20"/>
                <w:color w:val="000000"/>
              </w:rPr>
              <w:t>流程，</w:t>
            </w:r>
            <w:r>
              <w:rPr>
                <w:rFonts w:ascii="仿宋_GB2312" w:hAnsi="仿宋_GB2312" w:cs="仿宋_GB2312" w:eastAsia="仿宋_GB2312"/>
                <w:sz w:val="20"/>
                <w:color w:val="000000"/>
              </w:rPr>
              <w:t>对政府投资基金的相关信息定期申报、数据核验、审批</w:t>
            </w:r>
            <w:r>
              <w:rPr>
                <w:rFonts w:ascii="仿宋_GB2312" w:hAnsi="仿宋_GB2312" w:cs="仿宋_GB2312" w:eastAsia="仿宋_GB2312"/>
                <w:sz w:val="20"/>
                <w:color w:val="000000"/>
              </w:rPr>
              <w:t>等业务进行线上管理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有效</w:t>
            </w:r>
            <w:r>
              <w:rPr>
                <w:rFonts w:ascii="仿宋_GB2312" w:hAnsi="仿宋_GB2312" w:cs="仿宋_GB2312" w:eastAsia="仿宋_GB2312"/>
                <w:sz w:val="20"/>
                <w:color w:val="000000"/>
              </w:rPr>
              <w:t>提高财政资金使用效益，发挥好财政资金的杠杆作用，吸引社会资金投入政府支持领域和产业，规范政府投资基金的设立、运作和风险控制、预算管理等工作，促进政府投资基金持续健康运行</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2）政府投资基金</w:t>
            </w:r>
            <w:r>
              <w:rPr>
                <w:rFonts w:ascii="仿宋_GB2312" w:hAnsi="仿宋_GB2312" w:cs="仿宋_GB2312" w:eastAsia="仿宋_GB2312"/>
                <w:sz w:val="20"/>
                <w:color w:val="000000"/>
              </w:rPr>
              <w:t>绩效跟踪和</w:t>
            </w:r>
            <w:r>
              <w:rPr>
                <w:rFonts w:ascii="仿宋_GB2312" w:hAnsi="仿宋_GB2312" w:cs="仿宋_GB2312" w:eastAsia="仿宋_GB2312"/>
                <w:sz w:val="20"/>
                <w:color w:val="000000"/>
              </w:rPr>
              <w:t>风险预警</w:t>
            </w:r>
            <w:r>
              <w:rPr>
                <w:rFonts w:ascii="仿宋_GB2312" w:hAnsi="仿宋_GB2312" w:cs="仿宋_GB2312" w:eastAsia="仿宋_GB2312"/>
                <w:sz w:val="20"/>
                <w:color w:val="000000"/>
              </w:rPr>
              <w:t>。目前，政府投资基金绩效管理和监管手段单一，通过</w:t>
            </w:r>
            <w:r>
              <w:rPr>
                <w:rFonts w:ascii="仿宋_GB2312" w:hAnsi="仿宋_GB2312" w:cs="仿宋_GB2312" w:eastAsia="仿宋_GB2312"/>
                <w:sz w:val="20"/>
                <w:color w:val="000000"/>
              </w:rPr>
              <w:t>应用数据挖掘技术，整合内外部数据源，辅助基金部门洞察基金投资投向，加强投资绩效跟踪</w:t>
            </w:r>
            <w:r>
              <w:rPr>
                <w:rFonts w:ascii="仿宋_GB2312" w:hAnsi="仿宋_GB2312" w:cs="仿宋_GB2312" w:eastAsia="仿宋_GB2312"/>
                <w:sz w:val="20"/>
                <w:color w:val="000000"/>
              </w:rPr>
              <w:t>，防范基金运行风险</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项目</w:t>
            </w:r>
            <w:r>
              <w:rPr>
                <w:rFonts w:ascii="仿宋_GB2312" w:hAnsi="仿宋_GB2312" w:cs="仿宋_GB2312" w:eastAsia="仿宋_GB2312"/>
                <w:sz w:val="20"/>
                <w:b/>
                <w:color w:val="000000"/>
              </w:rPr>
              <w:t>目标</w:t>
            </w:r>
          </w:p>
          <w:p>
            <w:pPr>
              <w:pStyle w:val="null3"/>
              <w:ind w:firstLine="400"/>
              <w:jc w:val="left"/>
            </w:pPr>
            <w:r>
              <w:rPr>
                <w:rFonts w:ascii="仿宋_GB2312" w:hAnsi="仿宋_GB2312" w:cs="仿宋_GB2312" w:eastAsia="仿宋_GB2312"/>
                <w:sz w:val="20"/>
                <w:color w:val="000000"/>
              </w:rPr>
              <w:t>1.财力评估服务</w:t>
            </w:r>
          </w:p>
          <w:p>
            <w:pPr>
              <w:pStyle w:val="null3"/>
              <w:ind w:firstLine="402"/>
              <w:jc w:val="left"/>
            </w:pPr>
            <w:r>
              <w:rPr>
                <w:rFonts w:ascii="仿宋_GB2312" w:hAnsi="仿宋_GB2312" w:cs="仿宋_GB2312" w:eastAsia="仿宋_GB2312"/>
                <w:sz w:val="20"/>
                <w:b/>
                <w:color w:val="000000"/>
              </w:rPr>
              <w:t>一是</w:t>
            </w:r>
            <w:r>
              <w:rPr>
                <w:rFonts w:ascii="仿宋_GB2312" w:hAnsi="仿宋_GB2312" w:cs="仿宋_GB2312" w:eastAsia="仿宋_GB2312"/>
                <w:sz w:val="20"/>
                <w:color w:val="000000"/>
              </w:rPr>
              <w:t>构建科学、客观、标准的评估体系。通过数据技术支撑服务，整合财政预算、收支、债务数据等全口径财力数据，基于预设的当年财政承受能力、中长期财政承受能力评估公式，内嵌合规性校验规则，实现自动化测算，减少人为干预误差</w:t>
            </w:r>
            <w:r>
              <w:rPr>
                <w:rFonts w:ascii="仿宋_GB2312" w:hAnsi="仿宋_GB2312" w:cs="仿宋_GB2312" w:eastAsia="仿宋_GB2312"/>
                <w:sz w:val="20"/>
                <w:color w:val="000000"/>
              </w:rPr>
              <w:t>，对财力</w:t>
            </w:r>
            <w:r>
              <w:rPr>
                <w:rFonts w:ascii="仿宋_GB2312" w:hAnsi="仿宋_GB2312" w:cs="仿宋_GB2312" w:eastAsia="仿宋_GB2312"/>
                <w:sz w:val="20"/>
                <w:color w:val="000000"/>
              </w:rPr>
              <w:t>评估结果</w:t>
            </w:r>
            <w:r>
              <w:rPr>
                <w:rFonts w:ascii="仿宋_GB2312" w:hAnsi="仿宋_GB2312" w:cs="仿宋_GB2312" w:eastAsia="仿宋_GB2312"/>
                <w:sz w:val="20"/>
                <w:color w:val="000000"/>
              </w:rPr>
              <w:t>进行</w:t>
            </w:r>
            <w:r>
              <w:rPr>
                <w:rFonts w:ascii="仿宋_GB2312" w:hAnsi="仿宋_GB2312" w:cs="仿宋_GB2312" w:eastAsia="仿宋_GB2312"/>
                <w:sz w:val="20"/>
                <w:color w:val="000000"/>
              </w:rPr>
              <w:t>可视化图表展示。</w:t>
            </w:r>
            <w:r>
              <w:rPr>
                <w:rFonts w:ascii="仿宋_GB2312" w:hAnsi="仿宋_GB2312" w:cs="仿宋_GB2312" w:eastAsia="仿宋_GB2312"/>
                <w:sz w:val="20"/>
                <w:b/>
                <w:color w:val="000000"/>
              </w:rPr>
              <w:t>二是</w:t>
            </w:r>
            <w:r>
              <w:rPr>
                <w:rFonts w:ascii="仿宋_GB2312" w:hAnsi="仿宋_GB2312" w:cs="仿宋_GB2312" w:eastAsia="仿宋_GB2312"/>
                <w:sz w:val="20"/>
                <w:color w:val="000000"/>
              </w:rPr>
              <w:t>强化风险防控</w:t>
            </w:r>
            <w:r>
              <w:rPr>
                <w:rFonts w:ascii="仿宋_GB2312" w:hAnsi="仿宋_GB2312" w:cs="仿宋_GB2312" w:eastAsia="仿宋_GB2312"/>
                <w:sz w:val="20"/>
                <w:color w:val="000000"/>
              </w:rPr>
              <w:t>和</w:t>
            </w:r>
            <w:r>
              <w:rPr>
                <w:rFonts w:ascii="仿宋_GB2312" w:hAnsi="仿宋_GB2312" w:cs="仿宋_GB2312" w:eastAsia="仿宋_GB2312"/>
                <w:sz w:val="20"/>
                <w:color w:val="000000"/>
              </w:rPr>
              <w:t>预警能力。</w:t>
            </w:r>
            <w:r>
              <w:rPr>
                <w:rFonts w:ascii="仿宋_GB2312" w:hAnsi="仿宋_GB2312" w:cs="仿宋_GB2312" w:eastAsia="仿宋_GB2312"/>
                <w:sz w:val="20"/>
                <w:color w:val="000000"/>
              </w:rPr>
              <w:t>坚持</w:t>
            </w:r>
            <w:r>
              <w:rPr>
                <w:rFonts w:ascii="仿宋_GB2312" w:hAnsi="仿宋_GB2312" w:cs="仿宋_GB2312" w:eastAsia="仿宋_GB2312"/>
                <w:sz w:val="20"/>
                <w:color w:val="000000"/>
              </w:rPr>
              <w:t>“</w:t>
            </w:r>
            <w:r>
              <w:rPr>
                <w:rFonts w:ascii="仿宋_GB2312" w:hAnsi="仿宋_GB2312" w:cs="仿宋_GB2312" w:eastAsia="仿宋_GB2312"/>
                <w:sz w:val="20"/>
                <w:color w:val="000000"/>
              </w:rPr>
              <w:t>底线思维</w:t>
            </w:r>
            <w:r>
              <w:rPr>
                <w:rFonts w:ascii="仿宋_GB2312" w:hAnsi="仿宋_GB2312" w:cs="仿宋_GB2312" w:eastAsia="仿宋_GB2312"/>
                <w:sz w:val="20"/>
                <w:color w:val="000000"/>
              </w:rPr>
              <w:t>”</w:t>
            </w:r>
            <w:r>
              <w:rPr>
                <w:rFonts w:ascii="仿宋_GB2312" w:hAnsi="仿宋_GB2312" w:cs="仿宋_GB2312" w:eastAsia="仿宋_GB2312"/>
                <w:sz w:val="20"/>
                <w:color w:val="000000"/>
              </w:rPr>
              <w:t>，对拟出台的重大政策或项目，</w:t>
            </w:r>
            <w:r>
              <w:rPr>
                <w:rFonts w:ascii="仿宋_GB2312" w:hAnsi="仿宋_GB2312" w:cs="仿宋_GB2312" w:eastAsia="仿宋_GB2312"/>
                <w:sz w:val="20"/>
                <w:color w:val="000000"/>
              </w:rPr>
              <w:t>评估</w:t>
            </w:r>
            <w:r>
              <w:rPr>
                <w:rFonts w:ascii="仿宋_GB2312" w:hAnsi="仿宋_GB2312" w:cs="仿宋_GB2312" w:eastAsia="仿宋_GB2312"/>
                <w:sz w:val="20"/>
                <w:color w:val="000000"/>
              </w:rPr>
              <w:t>其短期与中长期财政影响，自动测算</w:t>
            </w:r>
            <w:r>
              <w:rPr>
                <w:rFonts w:ascii="仿宋_GB2312" w:hAnsi="仿宋_GB2312" w:cs="仿宋_GB2312" w:eastAsia="仿宋_GB2312"/>
                <w:sz w:val="20"/>
                <w:color w:val="000000"/>
              </w:rPr>
              <w:t>财力承受能力，与设定</w:t>
            </w:r>
            <w:r>
              <w:rPr>
                <w:rFonts w:ascii="仿宋_GB2312" w:hAnsi="仿宋_GB2312" w:cs="仿宋_GB2312" w:eastAsia="仿宋_GB2312"/>
                <w:sz w:val="20"/>
                <w:color w:val="000000"/>
              </w:rPr>
              <w:t>风险阈值</w:t>
            </w:r>
            <w:r>
              <w:rPr>
                <w:rFonts w:ascii="仿宋_GB2312" w:hAnsi="仿宋_GB2312" w:cs="仿宋_GB2312" w:eastAsia="仿宋_GB2312"/>
                <w:sz w:val="20"/>
                <w:color w:val="000000"/>
              </w:rPr>
              <w:t>开展对比</w:t>
            </w:r>
            <w:r>
              <w:rPr>
                <w:rFonts w:ascii="仿宋_GB2312" w:hAnsi="仿宋_GB2312" w:cs="仿宋_GB2312" w:eastAsia="仿宋_GB2312"/>
                <w:sz w:val="20"/>
                <w:color w:val="000000"/>
              </w:rPr>
              <w:t>，</w:t>
            </w:r>
            <w:r>
              <w:rPr>
                <w:rFonts w:ascii="仿宋_GB2312" w:hAnsi="仿宋_GB2312" w:cs="仿宋_GB2312" w:eastAsia="仿宋_GB2312"/>
                <w:sz w:val="20"/>
                <w:color w:val="000000"/>
              </w:rPr>
              <w:t>增强财力风险防控预警能力</w:t>
            </w:r>
            <w:r>
              <w:rPr>
                <w:rFonts w:ascii="仿宋_GB2312" w:hAnsi="仿宋_GB2312" w:cs="仿宋_GB2312" w:eastAsia="仿宋_GB2312"/>
                <w:sz w:val="20"/>
                <w:color w:val="000000"/>
              </w:rPr>
              <w:t>。</w:t>
            </w:r>
            <w:r>
              <w:rPr>
                <w:rFonts w:ascii="仿宋_GB2312" w:hAnsi="仿宋_GB2312" w:cs="仿宋_GB2312" w:eastAsia="仿宋_GB2312"/>
                <w:sz w:val="20"/>
                <w:b/>
                <w:color w:val="000000"/>
              </w:rPr>
              <w:t>三是</w:t>
            </w:r>
            <w:r>
              <w:rPr>
                <w:rFonts w:ascii="仿宋_GB2312" w:hAnsi="仿宋_GB2312" w:cs="仿宋_GB2312" w:eastAsia="仿宋_GB2312"/>
                <w:sz w:val="20"/>
                <w:color w:val="000000"/>
              </w:rPr>
              <w:t>实现动态</w:t>
            </w:r>
            <w:r>
              <w:rPr>
                <w:rFonts w:ascii="仿宋_GB2312" w:hAnsi="仿宋_GB2312" w:cs="仿宋_GB2312" w:eastAsia="仿宋_GB2312"/>
                <w:sz w:val="20"/>
                <w:color w:val="000000"/>
              </w:rPr>
              <w:t>财力评估</w:t>
            </w:r>
            <w:r>
              <w:rPr>
                <w:rFonts w:ascii="仿宋_GB2312" w:hAnsi="仿宋_GB2312" w:cs="仿宋_GB2312" w:eastAsia="仿宋_GB2312"/>
                <w:sz w:val="20"/>
                <w:color w:val="000000"/>
              </w:rPr>
              <w:t>管理。对</w:t>
            </w:r>
            <w:r>
              <w:rPr>
                <w:rFonts w:ascii="仿宋_GB2312" w:hAnsi="仿宋_GB2312" w:cs="仿宋_GB2312" w:eastAsia="仿宋_GB2312"/>
                <w:sz w:val="20"/>
                <w:color w:val="000000"/>
              </w:rPr>
              <w:t>增支的</w:t>
            </w:r>
            <w:r>
              <w:rPr>
                <w:rFonts w:ascii="仿宋_GB2312" w:hAnsi="仿宋_GB2312" w:cs="仿宋_GB2312" w:eastAsia="仿宋_GB2312"/>
                <w:sz w:val="20"/>
                <w:color w:val="000000"/>
              </w:rPr>
              <w:t>跨年度政策或项目</w:t>
            </w:r>
            <w:r>
              <w:rPr>
                <w:rFonts w:ascii="仿宋_GB2312" w:hAnsi="仿宋_GB2312" w:cs="仿宋_GB2312" w:eastAsia="仿宋_GB2312"/>
                <w:sz w:val="20"/>
                <w:color w:val="000000"/>
              </w:rPr>
              <w:t>进行及时评估财政承受能力，当财力评估指标发生变化时，动态更新</w:t>
            </w:r>
            <w:r>
              <w:rPr>
                <w:rFonts w:ascii="仿宋_GB2312" w:hAnsi="仿宋_GB2312" w:cs="仿宋_GB2312" w:eastAsia="仿宋_GB2312"/>
                <w:sz w:val="20"/>
                <w:color w:val="000000"/>
              </w:rPr>
              <w:t>评估视图</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2.政府投资基金管理服务</w:t>
            </w:r>
          </w:p>
          <w:p>
            <w:pPr>
              <w:pStyle w:val="null3"/>
              <w:ind w:firstLine="402"/>
              <w:jc w:val="left"/>
            </w:pPr>
            <w:r>
              <w:rPr>
                <w:rFonts w:ascii="仿宋_GB2312" w:hAnsi="仿宋_GB2312" w:cs="仿宋_GB2312" w:eastAsia="仿宋_GB2312"/>
                <w:sz w:val="20"/>
                <w:b/>
                <w:color w:val="000000"/>
              </w:rPr>
              <w:t>一是</w:t>
            </w:r>
            <w:r>
              <w:rPr>
                <w:rFonts w:ascii="仿宋_GB2312" w:hAnsi="仿宋_GB2312" w:cs="仿宋_GB2312" w:eastAsia="仿宋_GB2312"/>
                <w:sz w:val="20"/>
                <w:color w:val="000000"/>
              </w:rPr>
              <w:t>构建</w:t>
            </w:r>
            <w:r>
              <w:rPr>
                <w:rFonts w:ascii="仿宋_GB2312" w:hAnsi="仿宋_GB2312" w:cs="仿宋_GB2312" w:eastAsia="仿宋_GB2312"/>
                <w:sz w:val="20"/>
                <w:color w:val="000000"/>
              </w:rPr>
              <w:t>完整</w:t>
            </w:r>
            <w:r>
              <w:rPr>
                <w:rFonts w:ascii="仿宋_GB2312" w:hAnsi="仿宋_GB2312" w:cs="仿宋_GB2312" w:eastAsia="仿宋_GB2312"/>
                <w:sz w:val="20"/>
                <w:color w:val="000000"/>
              </w:rPr>
              <w:t>的基金</w:t>
            </w:r>
            <w:r>
              <w:rPr>
                <w:rFonts w:ascii="仿宋_GB2312" w:hAnsi="仿宋_GB2312" w:cs="仿宋_GB2312" w:eastAsia="仿宋_GB2312"/>
                <w:sz w:val="20"/>
                <w:color w:val="000000"/>
              </w:rPr>
              <w:t>管理</w:t>
            </w:r>
            <w:r>
              <w:rPr>
                <w:rFonts w:ascii="仿宋_GB2312" w:hAnsi="仿宋_GB2312" w:cs="仿宋_GB2312" w:eastAsia="仿宋_GB2312"/>
                <w:sz w:val="20"/>
                <w:color w:val="000000"/>
              </w:rPr>
              <w:t>链路。</w:t>
            </w:r>
            <w:r>
              <w:rPr>
                <w:rFonts w:ascii="仿宋_GB2312" w:hAnsi="仿宋_GB2312" w:cs="仿宋_GB2312" w:eastAsia="仿宋_GB2312"/>
                <w:sz w:val="20"/>
                <w:color w:val="000000"/>
              </w:rPr>
              <w:t>从基金基础管理</w:t>
            </w:r>
            <w:r>
              <w:rPr>
                <w:rFonts w:ascii="仿宋_GB2312" w:hAnsi="仿宋_GB2312" w:cs="仿宋_GB2312" w:eastAsia="仿宋_GB2312"/>
                <w:sz w:val="20"/>
                <w:color w:val="000000"/>
              </w:rPr>
              <w:t>为起点</w:t>
            </w:r>
            <w:r>
              <w:rPr>
                <w:rFonts w:ascii="仿宋_GB2312" w:hAnsi="仿宋_GB2312" w:cs="仿宋_GB2312" w:eastAsia="仿宋_GB2312"/>
                <w:sz w:val="20"/>
                <w:color w:val="000000"/>
              </w:rPr>
              <w:t>，</w:t>
            </w:r>
            <w:r>
              <w:rPr>
                <w:rFonts w:ascii="仿宋_GB2312" w:hAnsi="仿宋_GB2312" w:cs="仿宋_GB2312" w:eastAsia="仿宋_GB2312"/>
                <w:sz w:val="20"/>
                <w:color w:val="000000"/>
              </w:rPr>
              <w:t>开展</w:t>
            </w:r>
            <w:r>
              <w:rPr>
                <w:rFonts w:ascii="仿宋_GB2312" w:hAnsi="仿宋_GB2312" w:cs="仿宋_GB2312" w:eastAsia="仿宋_GB2312"/>
                <w:sz w:val="20"/>
                <w:color w:val="000000"/>
              </w:rPr>
              <w:t>基金基础信息、</w:t>
            </w:r>
            <w:r>
              <w:rPr>
                <w:rFonts w:ascii="仿宋_GB2312" w:hAnsi="仿宋_GB2312" w:cs="仿宋_GB2312" w:eastAsia="仿宋_GB2312"/>
                <w:sz w:val="20"/>
                <w:color w:val="000000"/>
              </w:rPr>
              <w:t>基金管理人相关申报、</w:t>
            </w:r>
            <w:r>
              <w:rPr>
                <w:rFonts w:ascii="仿宋_GB2312" w:hAnsi="仿宋_GB2312" w:cs="仿宋_GB2312" w:eastAsia="仿宋_GB2312"/>
                <w:sz w:val="20"/>
                <w:color w:val="000000"/>
              </w:rPr>
              <w:t>基金公司信息、基金公司数据上报、</w:t>
            </w:r>
            <w:r>
              <w:rPr>
                <w:rFonts w:ascii="仿宋_GB2312" w:hAnsi="仿宋_GB2312" w:cs="仿宋_GB2312" w:eastAsia="仿宋_GB2312"/>
                <w:sz w:val="20"/>
                <w:color w:val="000000"/>
              </w:rPr>
              <w:t>基金运行数据报送、现有基金数据查询分析等</w:t>
            </w:r>
            <w:r>
              <w:rPr>
                <w:rFonts w:ascii="仿宋_GB2312" w:hAnsi="仿宋_GB2312" w:cs="仿宋_GB2312" w:eastAsia="仿宋_GB2312"/>
                <w:sz w:val="20"/>
                <w:color w:val="000000"/>
              </w:rPr>
              <w:t>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进一步</w:t>
            </w:r>
            <w:r>
              <w:rPr>
                <w:rFonts w:ascii="仿宋_GB2312" w:hAnsi="仿宋_GB2312" w:cs="仿宋_GB2312" w:eastAsia="仿宋_GB2312"/>
                <w:sz w:val="20"/>
                <w:color w:val="000000"/>
              </w:rPr>
              <w:t>规范</w:t>
            </w:r>
            <w:r>
              <w:rPr>
                <w:rFonts w:ascii="仿宋_GB2312" w:hAnsi="仿宋_GB2312" w:cs="仿宋_GB2312" w:eastAsia="仿宋_GB2312"/>
                <w:sz w:val="20"/>
                <w:color w:val="000000"/>
              </w:rPr>
              <w:t>和完善</w:t>
            </w:r>
            <w:r>
              <w:rPr>
                <w:rFonts w:ascii="仿宋_GB2312" w:hAnsi="仿宋_GB2312" w:cs="仿宋_GB2312" w:eastAsia="仿宋_GB2312"/>
                <w:sz w:val="20"/>
                <w:color w:val="000000"/>
              </w:rPr>
              <w:t>业务办理、监管及绩效评价体系，持续为我省科技创新和产业发展增效赋能。</w:t>
            </w:r>
            <w:r>
              <w:rPr>
                <w:rFonts w:ascii="仿宋_GB2312" w:hAnsi="仿宋_GB2312" w:cs="仿宋_GB2312" w:eastAsia="仿宋_GB2312"/>
                <w:sz w:val="20"/>
                <w:b/>
                <w:color w:val="000000"/>
              </w:rPr>
              <w:t>二是</w:t>
            </w:r>
            <w:r>
              <w:rPr>
                <w:rFonts w:ascii="仿宋_GB2312" w:hAnsi="仿宋_GB2312" w:cs="仿宋_GB2312" w:eastAsia="仿宋_GB2312"/>
                <w:sz w:val="20"/>
                <w:color w:val="000000"/>
              </w:rPr>
              <w:t>加强基金</w:t>
            </w:r>
            <w:r>
              <w:rPr>
                <w:rFonts w:ascii="仿宋_GB2312" w:hAnsi="仿宋_GB2312" w:cs="仿宋_GB2312" w:eastAsia="仿宋_GB2312"/>
                <w:sz w:val="20"/>
                <w:color w:val="000000"/>
              </w:rPr>
              <w:t>运行风险</w:t>
            </w:r>
            <w:r>
              <w:rPr>
                <w:rFonts w:ascii="仿宋_GB2312" w:hAnsi="仿宋_GB2312" w:cs="仿宋_GB2312" w:eastAsia="仿宋_GB2312"/>
                <w:sz w:val="20"/>
                <w:color w:val="000000"/>
              </w:rPr>
              <w:t>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全面、真实、实时地掌握基金运行情况，防范基金运行风险，保证基金有序</w:t>
            </w:r>
            <w:r>
              <w:rPr>
                <w:rFonts w:ascii="仿宋_GB2312" w:hAnsi="仿宋_GB2312" w:cs="仿宋_GB2312" w:eastAsia="仿宋_GB2312"/>
                <w:sz w:val="20"/>
                <w:color w:val="000000"/>
              </w:rPr>
              <w:t>、</w:t>
            </w:r>
            <w:r>
              <w:rPr>
                <w:rFonts w:ascii="仿宋_GB2312" w:hAnsi="仿宋_GB2312" w:cs="仿宋_GB2312" w:eastAsia="仿宋_GB2312"/>
                <w:sz w:val="20"/>
                <w:color w:val="000000"/>
              </w:rPr>
              <w:t>高效</w:t>
            </w:r>
            <w:r>
              <w:rPr>
                <w:rFonts w:ascii="仿宋_GB2312" w:hAnsi="仿宋_GB2312" w:cs="仿宋_GB2312" w:eastAsia="仿宋_GB2312"/>
                <w:sz w:val="20"/>
                <w:color w:val="000000"/>
              </w:rPr>
              <w:t>、</w:t>
            </w:r>
            <w:r>
              <w:rPr>
                <w:rFonts w:ascii="仿宋_GB2312" w:hAnsi="仿宋_GB2312" w:cs="仿宋_GB2312" w:eastAsia="仿宋_GB2312"/>
                <w:sz w:val="20"/>
                <w:color w:val="000000"/>
              </w:rPr>
              <w:t>安全运行</w:t>
            </w:r>
            <w:r>
              <w:rPr>
                <w:rFonts w:ascii="仿宋_GB2312" w:hAnsi="仿宋_GB2312" w:cs="仿宋_GB2312" w:eastAsia="仿宋_GB2312"/>
                <w:sz w:val="20"/>
                <w:color w:val="000000"/>
              </w:rPr>
              <w:t>。</w:t>
            </w:r>
            <w:r>
              <w:rPr>
                <w:rFonts w:ascii="仿宋_GB2312" w:hAnsi="仿宋_GB2312" w:cs="仿宋_GB2312" w:eastAsia="仿宋_GB2312"/>
                <w:sz w:val="20"/>
                <w:b/>
                <w:color w:val="000000"/>
              </w:rPr>
              <w:t>三是</w:t>
            </w:r>
            <w:r>
              <w:rPr>
                <w:rFonts w:ascii="仿宋_GB2312" w:hAnsi="仿宋_GB2312" w:cs="仿宋_GB2312" w:eastAsia="仿宋_GB2312"/>
                <w:sz w:val="20"/>
                <w:color w:val="000000"/>
              </w:rPr>
              <w:t>提升基金引导决策支撑能力。</w:t>
            </w:r>
            <w:r>
              <w:rPr>
                <w:rFonts w:ascii="仿宋_GB2312" w:hAnsi="仿宋_GB2312" w:cs="仿宋_GB2312" w:eastAsia="仿宋_GB2312"/>
                <w:sz w:val="20"/>
                <w:color w:val="000000"/>
              </w:rPr>
              <w:t>建立基金运行数据分析能力，</w:t>
            </w:r>
            <w:r>
              <w:rPr>
                <w:rFonts w:ascii="仿宋_GB2312" w:hAnsi="仿宋_GB2312" w:cs="仿宋_GB2312" w:eastAsia="仿宋_GB2312"/>
                <w:sz w:val="20"/>
                <w:color w:val="000000"/>
              </w:rPr>
              <w:t>强化</w:t>
            </w:r>
            <w:r>
              <w:rPr>
                <w:rFonts w:ascii="仿宋_GB2312" w:hAnsi="仿宋_GB2312" w:cs="仿宋_GB2312" w:eastAsia="仿宋_GB2312"/>
                <w:sz w:val="20"/>
                <w:color w:val="000000"/>
              </w:rPr>
              <w:t>政府投资基金效能，为充分发挥基金引导作用提供决策支持。</w:t>
            </w:r>
          </w:p>
          <w:p>
            <w:pPr>
              <w:pStyle w:val="null3"/>
              <w:jc w:val="left"/>
            </w:pPr>
            <w:r>
              <w:rPr>
                <w:rFonts w:ascii="仿宋_GB2312" w:hAnsi="仿宋_GB2312" w:cs="仿宋_GB2312" w:eastAsia="仿宋_GB2312"/>
                <w:sz w:val="20"/>
                <w:b/>
                <w:color w:val="000000"/>
              </w:rPr>
              <w:t>二、需求分析</w:t>
            </w:r>
          </w:p>
          <w:p>
            <w:pPr>
              <w:pStyle w:val="null3"/>
              <w:jc w:val="left"/>
            </w:pPr>
            <w:r>
              <w:rPr>
                <w:rFonts w:ascii="仿宋_GB2312" w:hAnsi="仿宋_GB2312" w:cs="仿宋_GB2312" w:eastAsia="仿宋_GB2312"/>
                <w:sz w:val="20"/>
                <w:b/>
                <w:color w:val="000000"/>
              </w:rPr>
              <w:t>（一）业务需求</w:t>
            </w:r>
          </w:p>
          <w:p>
            <w:pPr>
              <w:pStyle w:val="null3"/>
              <w:ind w:firstLine="400"/>
              <w:jc w:val="left"/>
            </w:pPr>
            <w:r>
              <w:rPr>
                <w:rFonts w:ascii="仿宋_GB2312" w:hAnsi="仿宋_GB2312" w:cs="仿宋_GB2312" w:eastAsia="仿宋_GB2312"/>
                <w:sz w:val="20"/>
                <w:color w:val="000000"/>
              </w:rPr>
              <w:t>1.业务概述</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1）财力评估服务</w:t>
            </w:r>
          </w:p>
          <w:p>
            <w:pPr>
              <w:pStyle w:val="null3"/>
              <w:ind w:firstLine="402"/>
              <w:jc w:val="left"/>
            </w:pPr>
            <w:r>
              <w:rPr>
                <w:rFonts w:ascii="仿宋_GB2312" w:hAnsi="仿宋_GB2312" w:cs="仿宋_GB2312" w:eastAsia="仿宋_GB2312"/>
                <w:sz w:val="20"/>
                <w:b/>
                <w:color w:val="000000"/>
              </w:rPr>
              <w:t>一是</w:t>
            </w:r>
            <w:r>
              <w:rPr>
                <w:rFonts w:ascii="仿宋_GB2312" w:hAnsi="仿宋_GB2312" w:cs="仿宋_GB2312" w:eastAsia="仿宋_GB2312"/>
                <w:sz w:val="20"/>
                <w:color w:val="000000"/>
              </w:rPr>
              <w:t>通过选取客观数据，按统一公式，科学、规范、全面</w:t>
            </w:r>
            <w:r>
              <w:rPr>
                <w:rFonts w:ascii="仿宋_GB2312" w:hAnsi="仿宋_GB2312" w:cs="仿宋_GB2312" w:eastAsia="仿宋_GB2312"/>
                <w:sz w:val="20"/>
                <w:color w:val="000000"/>
              </w:rPr>
              <w:t>的</w:t>
            </w:r>
            <w:r>
              <w:rPr>
                <w:rFonts w:ascii="仿宋_GB2312" w:hAnsi="仿宋_GB2312" w:cs="仿宋_GB2312" w:eastAsia="仿宋_GB2312"/>
                <w:sz w:val="20"/>
                <w:color w:val="000000"/>
              </w:rPr>
              <w:t>评估</w:t>
            </w:r>
            <w:r>
              <w:rPr>
                <w:rFonts w:ascii="仿宋_GB2312" w:hAnsi="仿宋_GB2312" w:cs="仿宋_GB2312" w:eastAsia="仿宋_GB2312"/>
                <w:sz w:val="20"/>
                <w:color w:val="000000"/>
              </w:rPr>
              <w:t>和</w:t>
            </w:r>
            <w:r>
              <w:rPr>
                <w:rFonts w:ascii="仿宋_GB2312" w:hAnsi="仿宋_GB2312" w:cs="仿宋_GB2312" w:eastAsia="仿宋_GB2312"/>
                <w:sz w:val="20"/>
                <w:color w:val="000000"/>
              </w:rPr>
              <w:t>测算财政承受能力，并根据财力、支出等情况变化动态更新财政承受能力。</w:t>
            </w:r>
            <w:r>
              <w:rPr>
                <w:rFonts w:ascii="仿宋_GB2312" w:hAnsi="仿宋_GB2312" w:cs="仿宋_GB2312" w:eastAsia="仿宋_GB2312"/>
                <w:sz w:val="20"/>
                <w:b/>
                <w:color w:val="000000"/>
              </w:rPr>
              <w:t>二是</w:t>
            </w:r>
            <w:r>
              <w:rPr>
                <w:rFonts w:ascii="仿宋_GB2312" w:hAnsi="仿宋_GB2312" w:cs="仿宋_GB2312" w:eastAsia="仿宋_GB2312"/>
                <w:sz w:val="20"/>
                <w:color w:val="000000"/>
              </w:rPr>
              <w:t>支持出台涉及增加各级财政支出的重大政策或实施重大政府投资项目前</w:t>
            </w:r>
            <w:r>
              <w:rPr>
                <w:rFonts w:ascii="仿宋_GB2312" w:hAnsi="仿宋_GB2312" w:cs="仿宋_GB2312" w:eastAsia="仿宋_GB2312"/>
                <w:sz w:val="20"/>
                <w:color w:val="000000"/>
              </w:rPr>
              <w:t>,能按规定对当年财政承受能力进行评估</w:t>
            </w:r>
            <w:r>
              <w:rPr>
                <w:rFonts w:ascii="仿宋_GB2312" w:hAnsi="仿宋_GB2312" w:cs="仿宋_GB2312" w:eastAsia="仿宋_GB2312"/>
                <w:sz w:val="20"/>
                <w:color w:val="000000"/>
              </w:rPr>
              <w:t>。</w:t>
            </w:r>
            <w:r>
              <w:rPr>
                <w:rFonts w:ascii="仿宋_GB2312" w:hAnsi="仿宋_GB2312" w:cs="仿宋_GB2312" w:eastAsia="仿宋_GB2312"/>
                <w:sz w:val="20"/>
                <w:b/>
                <w:color w:val="000000"/>
              </w:rPr>
              <w:t>三是</w:t>
            </w:r>
            <w:r>
              <w:rPr>
                <w:rFonts w:ascii="仿宋_GB2312" w:hAnsi="仿宋_GB2312" w:cs="仿宋_GB2312" w:eastAsia="仿宋_GB2312"/>
                <w:sz w:val="20"/>
                <w:color w:val="000000"/>
              </w:rPr>
              <w:t>新增跨年度项目支出或持续性政策支出，除对当年财政承受能力进行评估外，还需对中长期财政承受能力进行评估。</w:t>
            </w:r>
            <w:r>
              <w:rPr>
                <w:rFonts w:ascii="仿宋_GB2312" w:hAnsi="仿宋_GB2312" w:cs="仿宋_GB2312" w:eastAsia="仿宋_GB2312"/>
                <w:sz w:val="20"/>
                <w:b/>
                <w:color w:val="000000"/>
              </w:rPr>
              <w:t>四是</w:t>
            </w:r>
            <w:r>
              <w:rPr>
                <w:rFonts w:ascii="仿宋_GB2312" w:hAnsi="仿宋_GB2312" w:cs="仿宋_GB2312" w:eastAsia="仿宋_GB2312"/>
                <w:sz w:val="20"/>
                <w:color w:val="000000"/>
              </w:rPr>
              <w:t>充分利用财力，合理安排预算资金，高效优质行使财政管理职能。</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2）政府投资基金管理服务</w:t>
            </w:r>
          </w:p>
          <w:p>
            <w:pPr>
              <w:pStyle w:val="null3"/>
              <w:ind w:firstLine="400"/>
              <w:jc w:val="left"/>
            </w:pPr>
            <w:r>
              <w:rPr>
                <w:rFonts w:ascii="仿宋_GB2312" w:hAnsi="仿宋_GB2312" w:cs="仿宋_GB2312" w:eastAsia="仿宋_GB2312"/>
                <w:sz w:val="20"/>
                <w:color w:val="000000"/>
              </w:rPr>
              <w:t>整合陕西省政府投资基金相关数据，</w:t>
            </w:r>
            <w:r>
              <w:rPr>
                <w:rFonts w:ascii="仿宋_GB2312" w:hAnsi="仿宋_GB2312" w:cs="仿宋_GB2312" w:eastAsia="仿宋_GB2312"/>
                <w:sz w:val="20"/>
                <w:color w:val="000000"/>
              </w:rPr>
              <w:t>依托</w:t>
            </w:r>
            <w:r>
              <w:rPr>
                <w:rFonts w:ascii="仿宋_GB2312" w:hAnsi="仿宋_GB2312" w:cs="仿宋_GB2312" w:eastAsia="仿宋_GB2312"/>
                <w:sz w:val="20"/>
                <w:color w:val="000000"/>
              </w:rPr>
              <w:t>政府投资基金数据平台，形成一致、完整、可信且持续更新的政府投资基金数据库，对基金</w:t>
            </w:r>
            <w:r>
              <w:rPr>
                <w:rFonts w:ascii="仿宋_GB2312" w:hAnsi="仿宋_GB2312" w:cs="仿宋_GB2312" w:eastAsia="仿宋_GB2312"/>
                <w:sz w:val="20"/>
                <w:color w:val="000000"/>
              </w:rPr>
              <w:t>基础信息、基金公司信息、基金公司数据上报等基金基本情况进行管理，</w:t>
            </w:r>
            <w:r>
              <w:rPr>
                <w:rFonts w:ascii="仿宋_GB2312" w:hAnsi="仿宋_GB2312" w:cs="仿宋_GB2312" w:eastAsia="仿宋_GB2312"/>
                <w:sz w:val="20"/>
                <w:color w:val="000000"/>
              </w:rPr>
              <w:t>并</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政府投资基金数据报送汇总、查询、可视化分析等数据服务，为政府投资基金的风险监控</w:t>
            </w:r>
            <w:r>
              <w:rPr>
                <w:rFonts w:ascii="仿宋_GB2312" w:hAnsi="仿宋_GB2312" w:cs="仿宋_GB2312" w:eastAsia="仿宋_GB2312"/>
                <w:sz w:val="20"/>
                <w:color w:val="000000"/>
              </w:rPr>
              <w:t>和</w:t>
            </w:r>
            <w:r>
              <w:rPr>
                <w:rFonts w:ascii="仿宋_GB2312" w:hAnsi="仿宋_GB2312" w:cs="仿宋_GB2312" w:eastAsia="仿宋_GB2312"/>
                <w:sz w:val="20"/>
                <w:color w:val="000000"/>
              </w:rPr>
              <w:t>绩效评估提供支撑，提升基金管理与监管</w:t>
            </w:r>
            <w:r>
              <w:rPr>
                <w:rFonts w:ascii="仿宋_GB2312" w:hAnsi="仿宋_GB2312" w:cs="仿宋_GB2312" w:eastAsia="仿宋_GB2312"/>
                <w:sz w:val="20"/>
                <w:color w:val="000000"/>
              </w:rPr>
              <w:t>能力</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2.业务流程描述</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1）财力评估服务</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业务数据处理</w:t>
            </w:r>
          </w:p>
          <w:p>
            <w:pPr>
              <w:pStyle w:val="null3"/>
              <w:ind w:firstLine="402"/>
              <w:jc w:val="left"/>
            </w:pPr>
            <w:r>
              <w:rPr>
                <w:rFonts w:ascii="仿宋_GB2312" w:hAnsi="仿宋_GB2312" w:cs="仿宋_GB2312" w:eastAsia="仿宋_GB2312"/>
                <w:sz w:val="20"/>
                <w:b/>
                <w:color w:val="000000"/>
              </w:rPr>
              <w:t>一是</w:t>
            </w:r>
            <w:r>
              <w:rPr>
                <w:rFonts w:ascii="仿宋_GB2312" w:hAnsi="仿宋_GB2312" w:cs="仿宋_GB2312" w:eastAsia="仿宋_GB2312"/>
                <w:sz w:val="20"/>
                <w:color w:val="000000"/>
              </w:rPr>
              <w:t>业务数据采集。数据来源于预算管理一体化系统</w:t>
            </w:r>
            <w:r>
              <w:rPr>
                <w:rFonts w:ascii="仿宋_GB2312" w:hAnsi="仿宋_GB2312" w:cs="仿宋_GB2312" w:eastAsia="仿宋_GB2312"/>
                <w:sz w:val="20"/>
                <w:color w:val="000000"/>
              </w:rPr>
              <w:t>，按照财力评估业务需求，采集</w:t>
            </w:r>
            <w:r>
              <w:rPr>
                <w:rFonts w:ascii="仿宋_GB2312" w:hAnsi="仿宋_GB2312" w:cs="仿宋_GB2312" w:eastAsia="仿宋_GB2312"/>
                <w:sz w:val="20"/>
                <w:color w:val="000000"/>
              </w:rPr>
              <w:t>预算、总账</w:t>
            </w:r>
            <w:r>
              <w:rPr>
                <w:rFonts w:ascii="仿宋_GB2312" w:hAnsi="仿宋_GB2312" w:cs="仿宋_GB2312" w:eastAsia="仿宋_GB2312"/>
                <w:sz w:val="20"/>
                <w:color w:val="000000"/>
              </w:rPr>
              <w:t>、</w:t>
            </w:r>
            <w:r>
              <w:rPr>
                <w:rFonts w:ascii="仿宋_GB2312" w:hAnsi="仿宋_GB2312" w:cs="仿宋_GB2312" w:eastAsia="仿宋_GB2312"/>
                <w:sz w:val="20"/>
                <w:color w:val="000000"/>
              </w:rPr>
              <w:t>财力等</w:t>
            </w:r>
            <w:r>
              <w:rPr>
                <w:rFonts w:ascii="仿宋_GB2312" w:hAnsi="仿宋_GB2312" w:cs="仿宋_GB2312" w:eastAsia="仿宋_GB2312"/>
                <w:sz w:val="20"/>
                <w:color w:val="000000"/>
              </w:rPr>
              <w:t>数据</w:t>
            </w:r>
            <w:r>
              <w:rPr>
                <w:rFonts w:ascii="仿宋_GB2312" w:hAnsi="仿宋_GB2312" w:cs="仿宋_GB2312" w:eastAsia="仿宋_GB2312"/>
                <w:sz w:val="20"/>
                <w:color w:val="000000"/>
              </w:rPr>
              <w:t>。</w:t>
            </w:r>
            <w:r>
              <w:rPr>
                <w:rFonts w:ascii="仿宋_GB2312" w:hAnsi="仿宋_GB2312" w:cs="仿宋_GB2312" w:eastAsia="仿宋_GB2312"/>
                <w:sz w:val="20"/>
                <w:b/>
                <w:color w:val="000000"/>
              </w:rPr>
              <w:t>二是</w:t>
            </w:r>
            <w:r>
              <w:rPr>
                <w:rFonts w:ascii="仿宋_GB2312" w:hAnsi="仿宋_GB2312" w:cs="仿宋_GB2312" w:eastAsia="仿宋_GB2312"/>
                <w:sz w:val="20"/>
                <w:color w:val="000000"/>
              </w:rPr>
              <w:t>数据质量检核。对采集到的数据进行分析</w:t>
            </w:r>
            <w:r>
              <w:rPr>
                <w:rFonts w:ascii="仿宋_GB2312" w:hAnsi="仿宋_GB2312" w:cs="仿宋_GB2312" w:eastAsia="仿宋_GB2312"/>
                <w:sz w:val="20"/>
                <w:color w:val="000000"/>
              </w:rPr>
              <w:t>和</w:t>
            </w:r>
            <w:r>
              <w:rPr>
                <w:rFonts w:ascii="仿宋_GB2312" w:hAnsi="仿宋_GB2312" w:cs="仿宋_GB2312" w:eastAsia="仿宋_GB2312"/>
                <w:sz w:val="20"/>
                <w:color w:val="000000"/>
              </w:rPr>
              <w:t>检核，</w:t>
            </w:r>
            <w:r>
              <w:rPr>
                <w:rFonts w:ascii="仿宋_GB2312" w:hAnsi="仿宋_GB2312" w:cs="仿宋_GB2312" w:eastAsia="仿宋_GB2312"/>
                <w:sz w:val="20"/>
                <w:color w:val="000000"/>
              </w:rPr>
              <w:t>确保数据质量符合财力评估要求。</w:t>
            </w:r>
            <w:r>
              <w:rPr>
                <w:rFonts w:ascii="仿宋_GB2312" w:hAnsi="仿宋_GB2312" w:cs="仿宋_GB2312" w:eastAsia="仿宋_GB2312"/>
                <w:sz w:val="20"/>
                <w:b/>
                <w:color w:val="000000"/>
              </w:rPr>
              <w:t>三是</w:t>
            </w:r>
            <w:r>
              <w:rPr>
                <w:rFonts w:ascii="仿宋_GB2312" w:hAnsi="仿宋_GB2312" w:cs="仿宋_GB2312" w:eastAsia="仿宋_GB2312"/>
                <w:sz w:val="20"/>
                <w:color w:val="000000"/>
              </w:rPr>
              <w:t>数据</w:t>
            </w:r>
            <w:r>
              <w:rPr>
                <w:rFonts w:ascii="仿宋_GB2312" w:hAnsi="仿宋_GB2312" w:cs="仿宋_GB2312" w:eastAsia="仿宋_GB2312"/>
                <w:sz w:val="20"/>
                <w:color w:val="000000"/>
              </w:rPr>
              <w:t>加工处理</w:t>
            </w:r>
            <w:r>
              <w:rPr>
                <w:rFonts w:ascii="仿宋_GB2312" w:hAnsi="仿宋_GB2312" w:cs="仿宋_GB2312" w:eastAsia="仿宋_GB2312"/>
                <w:sz w:val="20"/>
                <w:color w:val="000000"/>
              </w:rPr>
              <w:t>。按照财力评估办法，对数据过程、数据结果进行核对校验，定义业务要素、计算口径、计算规则，生成数据结果。</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政策或项目资金增支登记</w:t>
            </w:r>
          </w:p>
          <w:p>
            <w:pPr>
              <w:pStyle w:val="null3"/>
              <w:ind w:firstLine="400"/>
              <w:jc w:val="left"/>
            </w:pPr>
            <w:r>
              <w:rPr>
                <w:rFonts w:ascii="仿宋_GB2312" w:hAnsi="仿宋_GB2312" w:cs="仿宋_GB2312" w:eastAsia="仿宋_GB2312"/>
                <w:sz w:val="20"/>
                <w:color w:val="000000"/>
              </w:rPr>
              <w:t>对增支资金安排</w:t>
            </w:r>
            <w:r>
              <w:rPr>
                <w:rFonts w:ascii="仿宋_GB2312" w:hAnsi="仿宋_GB2312" w:cs="仿宋_GB2312" w:eastAsia="仿宋_GB2312"/>
                <w:sz w:val="20"/>
                <w:color w:val="000000"/>
              </w:rPr>
              <w:t>需</w:t>
            </w:r>
            <w:r>
              <w:rPr>
                <w:rFonts w:ascii="仿宋_GB2312" w:hAnsi="仿宋_GB2312" w:cs="仿宋_GB2312" w:eastAsia="仿宋_GB2312"/>
                <w:sz w:val="20"/>
                <w:color w:val="000000"/>
              </w:rPr>
              <w:t>进行财力评估，登记每项政策或项目增支资金需求，纳入统一评估管理。</w:t>
            </w:r>
          </w:p>
          <w:p>
            <w:pPr>
              <w:pStyle w:val="null3"/>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财政承受能力评估</w:t>
            </w:r>
          </w:p>
          <w:p>
            <w:pPr>
              <w:pStyle w:val="null3"/>
              <w:ind w:firstLine="400"/>
              <w:jc w:val="left"/>
            </w:pPr>
            <w:r>
              <w:rPr>
                <w:rFonts w:ascii="仿宋_GB2312" w:hAnsi="仿宋_GB2312" w:cs="仿宋_GB2312" w:eastAsia="仿宋_GB2312"/>
                <w:sz w:val="20"/>
                <w:color w:val="000000"/>
              </w:rPr>
              <w:t>结合现有财力情况，</w:t>
            </w:r>
            <w:r>
              <w:rPr>
                <w:rFonts w:ascii="仿宋_GB2312" w:hAnsi="仿宋_GB2312" w:cs="仿宋_GB2312" w:eastAsia="仿宋_GB2312"/>
                <w:sz w:val="20"/>
                <w:color w:val="000000"/>
              </w:rPr>
              <w:t>在增支项目资金安排前，按照评估规则</w:t>
            </w:r>
            <w:r>
              <w:rPr>
                <w:rFonts w:ascii="仿宋_GB2312" w:hAnsi="仿宋_GB2312" w:cs="仿宋_GB2312" w:eastAsia="仿宋_GB2312"/>
                <w:sz w:val="20"/>
                <w:color w:val="000000"/>
              </w:rPr>
              <w:t>和公式</w:t>
            </w:r>
            <w:r>
              <w:rPr>
                <w:rFonts w:ascii="仿宋_GB2312" w:hAnsi="仿宋_GB2312" w:cs="仿宋_GB2312" w:eastAsia="仿宋_GB2312"/>
                <w:sz w:val="20"/>
                <w:color w:val="000000"/>
              </w:rPr>
              <w:t>，</w:t>
            </w:r>
            <w:r>
              <w:rPr>
                <w:rFonts w:ascii="仿宋_GB2312" w:hAnsi="仿宋_GB2312" w:cs="仿宋_GB2312" w:eastAsia="仿宋_GB2312"/>
                <w:sz w:val="20"/>
                <w:color w:val="000000"/>
              </w:rPr>
              <w:t>测算财政可承受能力，支持当年及中长期评估。</w:t>
            </w:r>
            <w:r>
              <w:rPr>
                <w:rFonts w:ascii="仿宋_GB2312" w:hAnsi="仿宋_GB2312" w:cs="仿宋_GB2312" w:eastAsia="仿宋_GB2312"/>
                <w:sz w:val="20"/>
                <w:color w:val="000000"/>
              </w:rPr>
              <w:t>评估通过的增支资金</w:t>
            </w:r>
            <w:r>
              <w:rPr>
                <w:rFonts w:ascii="仿宋_GB2312" w:hAnsi="仿宋_GB2312" w:cs="仿宋_GB2312" w:eastAsia="仿宋_GB2312"/>
                <w:sz w:val="20"/>
                <w:color w:val="000000"/>
              </w:rPr>
              <w:t>需求</w:t>
            </w:r>
            <w:r>
              <w:rPr>
                <w:rFonts w:ascii="仿宋_GB2312" w:hAnsi="仿宋_GB2312" w:cs="仿宋_GB2312" w:eastAsia="仿宋_GB2312"/>
                <w:sz w:val="20"/>
                <w:color w:val="000000"/>
              </w:rPr>
              <w:t>，登记台账，以备查询。</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2）政府投资基金管理服务</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政府投资基金信息申报</w:t>
            </w:r>
            <w:r>
              <w:rPr>
                <w:rFonts w:ascii="仿宋_GB2312" w:hAnsi="仿宋_GB2312" w:cs="仿宋_GB2312" w:eastAsia="仿宋_GB2312"/>
                <w:sz w:val="20"/>
                <w:color w:val="000000"/>
              </w:rPr>
              <w:t>和</w:t>
            </w:r>
            <w:r>
              <w:rPr>
                <w:rFonts w:ascii="仿宋_GB2312" w:hAnsi="仿宋_GB2312" w:cs="仿宋_GB2312" w:eastAsia="仿宋_GB2312"/>
                <w:sz w:val="20"/>
                <w:color w:val="000000"/>
              </w:rPr>
              <w:t>审批管理</w:t>
            </w:r>
          </w:p>
          <w:p>
            <w:pPr>
              <w:pStyle w:val="null3"/>
              <w:ind w:firstLine="402"/>
              <w:jc w:val="left"/>
            </w:pPr>
            <w:r>
              <w:rPr>
                <w:rFonts w:ascii="仿宋_GB2312" w:hAnsi="仿宋_GB2312" w:cs="仿宋_GB2312" w:eastAsia="仿宋_GB2312"/>
                <w:sz w:val="20"/>
                <w:b/>
                <w:color w:val="000000"/>
              </w:rPr>
              <w:t>一是</w:t>
            </w:r>
            <w:r>
              <w:rPr>
                <w:rFonts w:ascii="仿宋_GB2312" w:hAnsi="仿宋_GB2312" w:cs="仿宋_GB2312" w:eastAsia="仿宋_GB2312"/>
                <w:sz w:val="20"/>
                <w:color w:val="000000"/>
              </w:rPr>
              <w:t>基金管理人填报</w:t>
            </w:r>
            <w:r>
              <w:rPr>
                <w:rFonts w:ascii="仿宋_GB2312" w:hAnsi="仿宋_GB2312" w:cs="仿宋_GB2312" w:eastAsia="仿宋_GB2312"/>
                <w:sz w:val="20"/>
                <w:color w:val="000000"/>
              </w:rPr>
              <w:t>并提交</w:t>
            </w:r>
            <w:r>
              <w:rPr>
                <w:rFonts w:ascii="仿宋_GB2312" w:hAnsi="仿宋_GB2312" w:cs="仿宋_GB2312" w:eastAsia="仿宋_GB2312"/>
                <w:sz w:val="20"/>
                <w:color w:val="000000"/>
              </w:rPr>
              <w:t>基金管理人基本信息、基金合伙人信息、投资项目信息、基金档案</w:t>
            </w:r>
            <w:r>
              <w:rPr>
                <w:rFonts w:ascii="仿宋_GB2312" w:hAnsi="仿宋_GB2312" w:cs="仿宋_GB2312" w:eastAsia="仿宋_GB2312"/>
                <w:sz w:val="20"/>
                <w:color w:val="000000"/>
              </w:rPr>
              <w:t>信息</w:t>
            </w:r>
            <w:r>
              <w:rPr>
                <w:rFonts w:ascii="仿宋_GB2312" w:hAnsi="仿宋_GB2312" w:cs="仿宋_GB2312" w:eastAsia="仿宋_GB2312"/>
                <w:sz w:val="20"/>
                <w:color w:val="000000"/>
              </w:rPr>
              <w:t>等，按期次进行管理</w:t>
            </w:r>
            <w:r>
              <w:rPr>
                <w:rFonts w:ascii="仿宋_GB2312" w:hAnsi="仿宋_GB2312" w:cs="仿宋_GB2312" w:eastAsia="仿宋_GB2312"/>
                <w:sz w:val="20"/>
                <w:color w:val="000000"/>
              </w:rPr>
              <w:t>。</w:t>
            </w:r>
            <w:r>
              <w:rPr>
                <w:rFonts w:ascii="仿宋_GB2312" w:hAnsi="仿宋_GB2312" w:cs="仿宋_GB2312" w:eastAsia="仿宋_GB2312"/>
                <w:sz w:val="20"/>
                <w:b/>
                <w:color w:val="000000"/>
              </w:rPr>
              <w:t>二是</w:t>
            </w:r>
            <w:r>
              <w:rPr>
                <w:rFonts w:ascii="仿宋_GB2312" w:hAnsi="仿宋_GB2312" w:cs="仿宋_GB2312" w:eastAsia="仿宋_GB2312"/>
                <w:sz w:val="20"/>
                <w:color w:val="000000"/>
              </w:rPr>
              <w:t>基金管理部门</w:t>
            </w:r>
            <w:r>
              <w:rPr>
                <w:rFonts w:ascii="仿宋_GB2312" w:hAnsi="仿宋_GB2312" w:cs="仿宋_GB2312" w:eastAsia="仿宋_GB2312"/>
                <w:sz w:val="20"/>
                <w:color w:val="000000"/>
              </w:rPr>
              <w:t>对基金管理信息进行审核</w:t>
            </w:r>
            <w:r>
              <w:rPr>
                <w:rFonts w:ascii="仿宋_GB2312" w:hAnsi="仿宋_GB2312" w:cs="仿宋_GB2312" w:eastAsia="仿宋_GB2312"/>
                <w:sz w:val="20"/>
                <w:color w:val="000000"/>
              </w:rPr>
              <w:t>，</w:t>
            </w:r>
            <w:r>
              <w:rPr>
                <w:rFonts w:ascii="仿宋_GB2312" w:hAnsi="仿宋_GB2312" w:cs="仿宋_GB2312" w:eastAsia="仿宋_GB2312"/>
                <w:sz w:val="20"/>
                <w:color w:val="000000"/>
              </w:rPr>
              <w:t>并</w:t>
            </w:r>
            <w:r>
              <w:rPr>
                <w:rFonts w:ascii="仿宋_GB2312" w:hAnsi="仿宋_GB2312" w:cs="仿宋_GB2312" w:eastAsia="仿宋_GB2312"/>
                <w:sz w:val="20"/>
                <w:color w:val="000000"/>
              </w:rPr>
              <w:t>及时</w:t>
            </w:r>
            <w:r>
              <w:rPr>
                <w:rFonts w:ascii="仿宋_GB2312" w:hAnsi="仿宋_GB2312" w:cs="仿宋_GB2312" w:eastAsia="仿宋_GB2312"/>
                <w:sz w:val="20"/>
                <w:color w:val="000000"/>
              </w:rPr>
              <w:t>将</w:t>
            </w:r>
            <w:r>
              <w:rPr>
                <w:rFonts w:ascii="仿宋_GB2312" w:hAnsi="仿宋_GB2312" w:cs="仿宋_GB2312" w:eastAsia="仿宋_GB2312"/>
                <w:sz w:val="20"/>
                <w:color w:val="000000"/>
              </w:rPr>
              <w:t>审核结果</w:t>
            </w:r>
            <w:r>
              <w:rPr>
                <w:rFonts w:ascii="仿宋_GB2312" w:hAnsi="仿宋_GB2312" w:cs="仿宋_GB2312" w:eastAsia="仿宋_GB2312"/>
                <w:sz w:val="20"/>
                <w:color w:val="000000"/>
              </w:rPr>
              <w:t>和</w:t>
            </w:r>
            <w:r>
              <w:rPr>
                <w:rFonts w:ascii="仿宋_GB2312" w:hAnsi="仿宋_GB2312" w:cs="仿宋_GB2312" w:eastAsia="仿宋_GB2312"/>
                <w:sz w:val="20"/>
                <w:color w:val="000000"/>
              </w:rPr>
              <w:t>修改意见</w:t>
            </w:r>
            <w:r>
              <w:rPr>
                <w:rFonts w:ascii="仿宋_GB2312" w:hAnsi="仿宋_GB2312" w:cs="仿宋_GB2312" w:eastAsia="仿宋_GB2312"/>
                <w:sz w:val="20"/>
                <w:color w:val="000000"/>
              </w:rPr>
              <w:t>予以</w:t>
            </w:r>
            <w:r>
              <w:rPr>
                <w:rFonts w:ascii="仿宋_GB2312" w:hAnsi="仿宋_GB2312" w:cs="仿宋_GB2312" w:eastAsia="仿宋_GB2312"/>
                <w:sz w:val="20"/>
                <w:color w:val="000000"/>
              </w:rPr>
              <w:t>反馈</w:t>
            </w:r>
            <w:r>
              <w:rPr>
                <w:rFonts w:ascii="仿宋_GB2312" w:hAnsi="仿宋_GB2312" w:cs="仿宋_GB2312" w:eastAsia="仿宋_GB2312"/>
                <w:sz w:val="20"/>
                <w:color w:val="000000"/>
              </w:rPr>
              <w:t>。</w:t>
            </w:r>
            <w:r>
              <w:rPr>
                <w:rFonts w:ascii="仿宋_GB2312" w:hAnsi="仿宋_GB2312" w:cs="仿宋_GB2312" w:eastAsia="仿宋_GB2312"/>
                <w:sz w:val="20"/>
                <w:b/>
                <w:color w:val="000000"/>
              </w:rPr>
              <w:t>三是</w:t>
            </w:r>
            <w:r>
              <w:rPr>
                <w:rFonts w:ascii="仿宋_GB2312" w:hAnsi="仿宋_GB2312" w:cs="仿宋_GB2312" w:eastAsia="仿宋_GB2312"/>
                <w:sz w:val="20"/>
                <w:color w:val="000000"/>
              </w:rPr>
              <w:t>基金管理人根据反馈意见</w:t>
            </w:r>
            <w:r>
              <w:rPr>
                <w:rFonts w:ascii="仿宋_GB2312" w:hAnsi="仿宋_GB2312" w:cs="仿宋_GB2312" w:eastAsia="仿宋_GB2312"/>
                <w:sz w:val="20"/>
                <w:color w:val="000000"/>
              </w:rPr>
              <w:t>，进行</w:t>
            </w:r>
            <w:r>
              <w:rPr>
                <w:rFonts w:ascii="仿宋_GB2312" w:hAnsi="仿宋_GB2312" w:cs="仿宋_GB2312" w:eastAsia="仿宋_GB2312"/>
                <w:sz w:val="20"/>
                <w:color w:val="000000"/>
              </w:rPr>
              <w:t>修改</w:t>
            </w:r>
            <w:r>
              <w:rPr>
                <w:rFonts w:ascii="仿宋_GB2312" w:hAnsi="仿宋_GB2312" w:cs="仿宋_GB2312" w:eastAsia="仿宋_GB2312"/>
                <w:sz w:val="20"/>
                <w:color w:val="000000"/>
              </w:rPr>
              <w:t>并重新送审</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政府投资基金运行数据报送汇总</w:t>
            </w:r>
          </w:p>
          <w:p>
            <w:pPr>
              <w:pStyle w:val="null3"/>
              <w:ind w:firstLine="402"/>
              <w:jc w:val="left"/>
            </w:pPr>
            <w:r>
              <w:rPr>
                <w:rFonts w:ascii="仿宋_GB2312" w:hAnsi="仿宋_GB2312" w:cs="仿宋_GB2312" w:eastAsia="仿宋_GB2312"/>
                <w:sz w:val="20"/>
                <w:b/>
                <w:color w:val="000000"/>
              </w:rPr>
              <w:t>一是</w:t>
            </w:r>
            <w:r>
              <w:rPr>
                <w:rFonts w:ascii="仿宋_GB2312" w:hAnsi="仿宋_GB2312" w:cs="仿宋_GB2312" w:eastAsia="仿宋_GB2312"/>
                <w:sz w:val="20"/>
                <w:color w:val="000000"/>
              </w:rPr>
              <w:t>数据报送任务</w:t>
            </w:r>
            <w:r>
              <w:rPr>
                <w:rFonts w:ascii="仿宋_GB2312" w:hAnsi="仿宋_GB2312" w:cs="仿宋_GB2312" w:eastAsia="仿宋_GB2312"/>
                <w:sz w:val="20"/>
                <w:color w:val="000000"/>
              </w:rPr>
              <w:t>管理</w:t>
            </w:r>
            <w:r>
              <w:rPr>
                <w:rFonts w:ascii="仿宋_GB2312" w:hAnsi="仿宋_GB2312" w:cs="仿宋_GB2312" w:eastAsia="仿宋_GB2312"/>
                <w:sz w:val="20"/>
                <w:color w:val="000000"/>
              </w:rPr>
              <w:t>。基金管理部门创建</w:t>
            </w:r>
            <w:r>
              <w:rPr>
                <w:rFonts w:ascii="仿宋_GB2312" w:hAnsi="仿宋_GB2312" w:cs="仿宋_GB2312" w:eastAsia="仿宋_GB2312"/>
                <w:sz w:val="20"/>
                <w:color w:val="000000"/>
              </w:rPr>
              <w:t>和</w:t>
            </w:r>
            <w:r>
              <w:rPr>
                <w:rFonts w:ascii="仿宋_GB2312" w:hAnsi="仿宋_GB2312" w:cs="仿宋_GB2312" w:eastAsia="仿宋_GB2312"/>
                <w:sz w:val="20"/>
                <w:color w:val="000000"/>
              </w:rPr>
              <w:t>下发基金数据报送任务，基金管理人收到待办任务后，</w:t>
            </w:r>
            <w:r>
              <w:rPr>
                <w:rFonts w:ascii="仿宋_GB2312" w:hAnsi="仿宋_GB2312" w:cs="仿宋_GB2312" w:eastAsia="仿宋_GB2312"/>
                <w:sz w:val="20"/>
                <w:color w:val="000000"/>
              </w:rPr>
              <w:t>开展</w:t>
            </w:r>
            <w:r>
              <w:rPr>
                <w:rFonts w:ascii="仿宋_GB2312" w:hAnsi="仿宋_GB2312" w:cs="仿宋_GB2312" w:eastAsia="仿宋_GB2312"/>
                <w:sz w:val="20"/>
                <w:color w:val="000000"/>
              </w:rPr>
              <w:t>数据填报和提交。</w:t>
            </w:r>
            <w:r>
              <w:rPr>
                <w:rFonts w:ascii="仿宋_GB2312" w:hAnsi="仿宋_GB2312" w:cs="仿宋_GB2312" w:eastAsia="仿宋_GB2312"/>
                <w:sz w:val="20"/>
                <w:b/>
                <w:color w:val="000000"/>
              </w:rPr>
              <w:t>二是</w:t>
            </w:r>
            <w:r>
              <w:rPr>
                <w:rFonts w:ascii="仿宋_GB2312" w:hAnsi="仿宋_GB2312" w:cs="仿宋_GB2312" w:eastAsia="仿宋_GB2312"/>
                <w:sz w:val="20"/>
                <w:color w:val="000000"/>
              </w:rPr>
              <w:t>在线审批。</w:t>
            </w:r>
            <w:r>
              <w:rPr>
                <w:rFonts w:ascii="仿宋_GB2312" w:hAnsi="仿宋_GB2312" w:cs="仿宋_GB2312" w:eastAsia="仿宋_GB2312"/>
                <w:sz w:val="20"/>
                <w:color w:val="000000"/>
              </w:rPr>
              <w:t>按照审批要求，</w:t>
            </w:r>
            <w:r>
              <w:rPr>
                <w:rFonts w:ascii="仿宋_GB2312" w:hAnsi="仿宋_GB2312" w:cs="仿宋_GB2312" w:eastAsia="仿宋_GB2312"/>
                <w:sz w:val="20"/>
                <w:color w:val="000000"/>
              </w:rPr>
              <w:t>基金管理部门对提交的数据进行审批和反馈。</w:t>
            </w:r>
            <w:r>
              <w:rPr>
                <w:rFonts w:ascii="仿宋_GB2312" w:hAnsi="仿宋_GB2312" w:cs="仿宋_GB2312" w:eastAsia="仿宋_GB2312"/>
                <w:sz w:val="20"/>
                <w:b/>
                <w:color w:val="000000"/>
              </w:rPr>
              <w:t>三是</w:t>
            </w:r>
            <w:r>
              <w:rPr>
                <w:rFonts w:ascii="仿宋_GB2312" w:hAnsi="仿宋_GB2312" w:cs="仿宋_GB2312" w:eastAsia="仿宋_GB2312"/>
                <w:sz w:val="20"/>
                <w:color w:val="000000"/>
              </w:rPr>
              <w:t>数据</w:t>
            </w:r>
            <w:r>
              <w:rPr>
                <w:rFonts w:ascii="仿宋_GB2312" w:hAnsi="仿宋_GB2312" w:cs="仿宋_GB2312" w:eastAsia="仿宋_GB2312"/>
                <w:sz w:val="20"/>
                <w:color w:val="000000"/>
              </w:rPr>
              <w:t>汇总。根据预设</w:t>
            </w:r>
            <w:r>
              <w:rPr>
                <w:rFonts w:ascii="仿宋_GB2312" w:hAnsi="仿宋_GB2312" w:cs="仿宋_GB2312" w:eastAsia="仿宋_GB2312"/>
                <w:sz w:val="20"/>
                <w:color w:val="000000"/>
              </w:rPr>
              <w:t>的</w:t>
            </w:r>
            <w:r>
              <w:rPr>
                <w:rFonts w:ascii="仿宋_GB2312" w:hAnsi="仿宋_GB2312" w:cs="仿宋_GB2312" w:eastAsia="仿宋_GB2312"/>
                <w:sz w:val="20"/>
                <w:color w:val="000000"/>
              </w:rPr>
              <w:t>汇总规则</w:t>
            </w:r>
            <w:r>
              <w:rPr>
                <w:rFonts w:ascii="仿宋_GB2312" w:hAnsi="仿宋_GB2312" w:cs="仿宋_GB2312" w:eastAsia="仿宋_GB2312"/>
                <w:sz w:val="20"/>
                <w:color w:val="000000"/>
              </w:rPr>
              <w:t>，</w:t>
            </w:r>
            <w:r>
              <w:rPr>
                <w:rFonts w:ascii="仿宋_GB2312" w:hAnsi="仿宋_GB2312" w:cs="仿宋_GB2312" w:eastAsia="仿宋_GB2312"/>
                <w:sz w:val="20"/>
                <w:color w:val="000000"/>
              </w:rPr>
              <w:t>对提交的数据进行汇总和整理，生成相应的报表</w:t>
            </w:r>
            <w:r>
              <w:rPr>
                <w:rFonts w:ascii="仿宋_GB2312" w:hAnsi="仿宋_GB2312" w:cs="仿宋_GB2312" w:eastAsia="仿宋_GB2312"/>
                <w:sz w:val="20"/>
                <w:color w:val="000000"/>
              </w:rPr>
              <w:t>和</w:t>
            </w:r>
            <w:r>
              <w:rPr>
                <w:rFonts w:ascii="仿宋_GB2312" w:hAnsi="仿宋_GB2312" w:cs="仿宋_GB2312" w:eastAsia="仿宋_GB2312"/>
                <w:sz w:val="20"/>
                <w:color w:val="000000"/>
              </w:rPr>
              <w:t>数据视图。</w:t>
            </w:r>
            <w:r>
              <w:rPr>
                <w:rFonts w:ascii="仿宋_GB2312" w:hAnsi="仿宋_GB2312" w:cs="仿宋_GB2312" w:eastAsia="仿宋_GB2312"/>
                <w:sz w:val="20"/>
                <w:b/>
                <w:color w:val="000000"/>
              </w:rPr>
              <w:t>四是</w:t>
            </w:r>
            <w:r>
              <w:rPr>
                <w:rFonts w:ascii="仿宋_GB2312" w:hAnsi="仿宋_GB2312" w:cs="仿宋_GB2312" w:eastAsia="仿宋_GB2312"/>
                <w:sz w:val="20"/>
                <w:color w:val="000000"/>
              </w:rPr>
              <w:t>汇总基金数据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财政部门对</w:t>
            </w:r>
            <w:r>
              <w:rPr>
                <w:rFonts w:ascii="仿宋_GB2312" w:hAnsi="仿宋_GB2312" w:cs="仿宋_GB2312" w:eastAsia="仿宋_GB2312"/>
                <w:sz w:val="20"/>
                <w:color w:val="000000"/>
              </w:rPr>
              <w:t>基金管理部门</w:t>
            </w:r>
            <w:r>
              <w:rPr>
                <w:rFonts w:ascii="仿宋_GB2312" w:hAnsi="仿宋_GB2312" w:cs="仿宋_GB2312" w:eastAsia="仿宋_GB2312"/>
                <w:sz w:val="20"/>
                <w:color w:val="000000"/>
              </w:rPr>
              <w:t>报送的</w:t>
            </w:r>
            <w:r>
              <w:rPr>
                <w:rFonts w:ascii="仿宋_GB2312" w:hAnsi="仿宋_GB2312" w:cs="仿宋_GB2312" w:eastAsia="仿宋_GB2312"/>
                <w:sz w:val="20"/>
                <w:color w:val="000000"/>
              </w:rPr>
              <w:t>基金数据</w:t>
            </w:r>
            <w:r>
              <w:rPr>
                <w:rFonts w:ascii="仿宋_GB2312" w:hAnsi="仿宋_GB2312" w:cs="仿宋_GB2312" w:eastAsia="仿宋_GB2312"/>
                <w:sz w:val="20"/>
                <w:color w:val="000000"/>
              </w:rPr>
              <w:t>进行汇总</w:t>
            </w:r>
            <w:r>
              <w:rPr>
                <w:rFonts w:ascii="仿宋_GB2312" w:hAnsi="仿宋_GB2312" w:cs="仿宋_GB2312" w:eastAsia="仿宋_GB2312"/>
                <w:sz w:val="20"/>
                <w:color w:val="000000"/>
              </w:rPr>
              <w:t>，形成基金数据库。</w:t>
            </w:r>
          </w:p>
          <w:p>
            <w:pPr>
              <w:pStyle w:val="null3"/>
              <w:ind w:firstLine="400"/>
              <w:jc w:val="left"/>
            </w:pPr>
            <w:r>
              <w:rPr>
                <w:rFonts w:ascii="仿宋_GB2312" w:hAnsi="仿宋_GB2312" w:cs="仿宋_GB2312" w:eastAsia="仿宋_GB2312"/>
                <w:sz w:val="20"/>
                <w:color w:val="000000"/>
              </w:rPr>
              <w:t>3.业务覆盖范围</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1）财力评估服务</w:t>
            </w:r>
          </w:p>
          <w:p>
            <w:pPr>
              <w:pStyle w:val="null3"/>
              <w:ind w:firstLine="400"/>
              <w:jc w:val="left"/>
            </w:pPr>
            <w:r>
              <w:rPr>
                <w:rFonts w:ascii="仿宋_GB2312" w:hAnsi="仿宋_GB2312" w:cs="仿宋_GB2312" w:eastAsia="仿宋_GB2312"/>
                <w:sz w:val="20"/>
                <w:color w:val="000000"/>
              </w:rPr>
              <w:t>财力评估使用数据来源范围覆盖省、市、县三级，为预算处提供的业务服务主要包括：</w:t>
            </w:r>
            <w:r>
              <w:rPr>
                <w:rFonts w:ascii="仿宋_GB2312" w:hAnsi="仿宋_GB2312" w:cs="仿宋_GB2312" w:eastAsia="仿宋_GB2312"/>
                <w:sz w:val="20"/>
                <w:color w:val="000000"/>
              </w:rPr>
              <w:t>全省财力数据分析、财力整体情况概览、财政承受能力评估管理、财力变动查询等。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2）政府投资基金管理服务</w:t>
            </w:r>
          </w:p>
          <w:p>
            <w:pPr>
              <w:pStyle w:val="null3"/>
              <w:ind w:firstLine="400"/>
              <w:jc w:val="left"/>
            </w:pPr>
            <w:r>
              <w:rPr>
                <w:rFonts w:ascii="仿宋_GB2312" w:hAnsi="仿宋_GB2312" w:cs="仿宋_GB2312" w:eastAsia="仿宋_GB2312"/>
                <w:sz w:val="20"/>
                <w:color w:val="000000"/>
              </w:rPr>
              <w:t>政府投资基金管理</w:t>
            </w:r>
            <w:r>
              <w:rPr>
                <w:rFonts w:ascii="仿宋_GB2312" w:hAnsi="仿宋_GB2312" w:cs="仿宋_GB2312" w:eastAsia="仿宋_GB2312"/>
                <w:sz w:val="20"/>
                <w:color w:val="000000"/>
              </w:rPr>
              <w:t>业务覆盖范围为</w:t>
            </w:r>
            <w:r>
              <w:rPr>
                <w:rFonts w:ascii="仿宋_GB2312" w:hAnsi="仿宋_GB2312" w:cs="仿宋_GB2312" w:eastAsia="仿宋_GB2312"/>
                <w:sz w:val="20"/>
                <w:color w:val="000000"/>
              </w:rPr>
              <w:t>基金办</w:t>
            </w:r>
            <w:r>
              <w:rPr>
                <w:rFonts w:ascii="仿宋_GB2312" w:hAnsi="仿宋_GB2312" w:cs="仿宋_GB2312" w:eastAsia="仿宋_GB2312"/>
                <w:sz w:val="20"/>
                <w:color w:val="000000"/>
              </w:rPr>
              <w:t>和相关</w:t>
            </w:r>
            <w:r>
              <w:rPr>
                <w:rFonts w:ascii="仿宋_GB2312" w:hAnsi="仿宋_GB2312" w:cs="仿宋_GB2312" w:eastAsia="仿宋_GB2312"/>
                <w:sz w:val="20"/>
                <w:color w:val="000000"/>
              </w:rPr>
              <w:t>基金公司。</w:t>
            </w:r>
            <w:r>
              <w:rPr>
                <w:rFonts w:ascii="仿宋_GB2312" w:hAnsi="仿宋_GB2312" w:cs="仿宋_GB2312" w:eastAsia="仿宋_GB2312"/>
                <w:sz w:val="20"/>
                <w:color w:val="000000"/>
              </w:rPr>
              <w:t>业务服务主要包括：</w:t>
            </w:r>
            <w:r>
              <w:rPr>
                <w:rFonts w:ascii="仿宋_GB2312" w:hAnsi="仿宋_GB2312" w:cs="仿宋_GB2312" w:eastAsia="仿宋_GB2312"/>
                <w:sz w:val="20"/>
                <w:color w:val="000000"/>
              </w:rPr>
              <w:t>政府投资基金信息申报</w:t>
            </w:r>
            <w:r>
              <w:rPr>
                <w:rFonts w:ascii="仿宋_GB2312" w:hAnsi="仿宋_GB2312" w:cs="仿宋_GB2312" w:eastAsia="仿宋_GB2312"/>
                <w:sz w:val="20"/>
                <w:color w:val="000000"/>
              </w:rPr>
              <w:t>和</w:t>
            </w:r>
            <w:r>
              <w:rPr>
                <w:rFonts w:ascii="仿宋_GB2312" w:hAnsi="仿宋_GB2312" w:cs="仿宋_GB2312" w:eastAsia="仿宋_GB2312"/>
                <w:sz w:val="20"/>
                <w:color w:val="000000"/>
              </w:rPr>
              <w:t>审批管理、政府投资基金数据、构建政府投资基金数据分析指标体系、政府投资基金运行数据报送汇总、政府投资基金数据查询、政府投资基金大屏等。</w:t>
            </w:r>
          </w:p>
          <w:p>
            <w:pPr>
              <w:pStyle w:val="null3"/>
              <w:ind w:firstLine="400"/>
              <w:jc w:val="left"/>
            </w:pPr>
            <w:r>
              <w:rPr>
                <w:rFonts w:ascii="仿宋_GB2312" w:hAnsi="仿宋_GB2312" w:cs="仿宋_GB2312" w:eastAsia="仿宋_GB2312"/>
                <w:sz w:val="20"/>
                <w:color w:val="000000"/>
              </w:rPr>
              <w:t>4.用户类型</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1）财力评估服务</w:t>
            </w:r>
          </w:p>
          <w:p>
            <w:pPr>
              <w:pStyle w:val="null3"/>
              <w:ind w:firstLine="400"/>
              <w:jc w:val="left"/>
            </w:pPr>
            <w:r>
              <w:rPr>
                <w:rFonts w:ascii="仿宋_GB2312" w:hAnsi="仿宋_GB2312" w:cs="仿宋_GB2312" w:eastAsia="仿宋_GB2312"/>
                <w:sz w:val="20"/>
                <w:color w:val="000000"/>
              </w:rPr>
              <w:t>陕西省财政厅预算处。</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2）政府投资基金管理服务</w:t>
            </w:r>
          </w:p>
          <w:p>
            <w:pPr>
              <w:pStyle w:val="null3"/>
              <w:ind w:firstLine="400"/>
              <w:jc w:val="left"/>
            </w:pPr>
            <w:r>
              <w:rPr>
                <w:rFonts w:ascii="仿宋_GB2312" w:hAnsi="仿宋_GB2312" w:cs="仿宋_GB2312" w:eastAsia="仿宋_GB2312"/>
                <w:sz w:val="20"/>
                <w:color w:val="000000"/>
              </w:rPr>
              <w:t>陕西省财政厅基金办</w:t>
            </w:r>
            <w:r>
              <w:rPr>
                <w:rFonts w:ascii="仿宋_GB2312" w:hAnsi="仿宋_GB2312" w:cs="仿宋_GB2312" w:eastAsia="仿宋_GB2312"/>
                <w:sz w:val="20"/>
                <w:color w:val="000000"/>
              </w:rPr>
              <w:t>（省产业发展基金管理办公室）</w:t>
            </w:r>
            <w:r>
              <w:rPr>
                <w:rFonts w:ascii="仿宋_GB2312" w:hAnsi="仿宋_GB2312" w:cs="仿宋_GB2312" w:eastAsia="仿宋_GB2312"/>
                <w:sz w:val="20"/>
                <w:color w:val="000000"/>
              </w:rPr>
              <w:t>、基金公司。</w:t>
            </w:r>
          </w:p>
          <w:p>
            <w:pPr>
              <w:pStyle w:val="null3"/>
              <w:jc w:val="left"/>
            </w:pPr>
            <w:r>
              <w:rPr>
                <w:rFonts w:ascii="仿宋_GB2312" w:hAnsi="仿宋_GB2312" w:cs="仿宋_GB2312" w:eastAsia="仿宋_GB2312"/>
                <w:sz w:val="20"/>
                <w:b/>
                <w:color w:val="000000"/>
              </w:rPr>
              <w:t>（二）数据需求</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1）财力评估服务</w:t>
            </w:r>
          </w:p>
          <w:tbl>
            <w:tblPr>
              <w:tblInd w:type="dxa" w:w="120"/>
              <w:tblBorders>
                <w:top w:val="none" w:color="000000" w:sz="4"/>
                <w:left w:val="none" w:color="000000" w:sz="4"/>
                <w:bottom w:val="none" w:color="000000" w:sz="4"/>
                <w:right w:val="none" w:color="000000" w:sz="4"/>
                <w:insideH w:val="none"/>
                <w:insideV w:val="none"/>
              </w:tblBorders>
            </w:tblPr>
            <w:tblGrid>
              <w:gridCol w:w="428"/>
              <w:gridCol w:w="418"/>
              <w:gridCol w:w="418"/>
              <w:gridCol w:w="428"/>
              <w:gridCol w:w="418"/>
              <w:gridCol w:w="418"/>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数据名称</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提供单位</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业务名称</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应用场景</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用数系统</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共享方式</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全省财政预算、总账、财力等数据</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财政厅</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财力评估</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财力概览、财政承受能力评估、动态查询等</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财力评估</w:t>
                  </w:r>
                </w:p>
                <w:p>
                  <w:pPr>
                    <w:pStyle w:val="null3"/>
                    <w:jc w:val="center"/>
                  </w:pPr>
                  <w:r>
                    <w:rPr>
                      <w:rFonts w:ascii="仿宋_GB2312" w:hAnsi="仿宋_GB2312" w:cs="仿宋_GB2312" w:eastAsia="仿宋_GB2312"/>
                      <w:sz w:val="20"/>
                      <w:color w:val="000000"/>
                    </w:rPr>
                    <w:t>平台</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数据接口</w:t>
                  </w:r>
                </w:p>
              </w:tc>
            </w:tr>
          </w:tbl>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2）政府投资基金管理服务</w:t>
            </w:r>
          </w:p>
          <w:tbl>
            <w:tblPr>
              <w:tblInd w:type="dxa" w:w="120"/>
              <w:tblBorders>
                <w:top w:val="none" w:color="000000" w:sz="4"/>
                <w:left w:val="none" w:color="000000" w:sz="4"/>
                <w:bottom w:val="none" w:color="000000" w:sz="4"/>
                <w:right w:val="none" w:color="000000" w:sz="4"/>
                <w:insideH w:val="none"/>
                <w:insideV w:val="none"/>
              </w:tblBorders>
            </w:tblPr>
            <w:tblGrid>
              <w:gridCol w:w="418"/>
              <w:gridCol w:w="428"/>
              <w:gridCol w:w="418"/>
              <w:gridCol w:w="428"/>
              <w:gridCol w:w="423"/>
              <w:gridCol w:w="418"/>
            </w:tblGrid>
            <w:tr>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数据名称</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提供单位</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业务名称</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应用场景</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用数系统</w:t>
                  </w:r>
                </w:p>
              </w:tc>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共享方式</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投资项目信息、基金基本信息、基金公司信息、合伙人信息等数据</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基金办、</w:t>
                  </w:r>
                  <w:r>
                    <w:rPr>
                      <w:rFonts w:ascii="仿宋_GB2312" w:hAnsi="仿宋_GB2312" w:cs="仿宋_GB2312" w:eastAsia="仿宋_GB2312"/>
                      <w:sz w:val="20"/>
                      <w:color w:val="000000"/>
                    </w:rPr>
                    <w:t>基金公司</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申报、报送</w:t>
                  </w:r>
                  <w:r>
                    <w:rPr>
                      <w:rFonts w:ascii="仿宋_GB2312" w:hAnsi="仿宋_GB2312" w:cs="仿宋_GB2312" w:eastAsia="仿宋_GB2312"/>
                      <w:sz w:val="20"/>
                      <w:color w:val="000000"/>
                    </w:rPr>
                    <w:t>、</w:t>
                  </w:r>
                  <w:r>
                    <w:rPr>
                      <w:rFonts w:ascii="仿宋_GB2312" w:hAnsi="仿宋_GB2312" w:cs="仿宋_GB2312" w:eastAsia="仿宋_GB2312"/>
                      <w:sz w:val="20"/>
                      <w:color w:val="000000"/>
                    </w:rPr>
                    <w:t>汇总、查询等</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基金信息申报、审核；基金数据汇总</w:t>
                  </w:r>
                  <w:r>
                    <w:rPr>
                      <w:rFonts w:ascii="仿宋_GB2312" w:hAnsi="仿宋_GB2312" w:cs="仿宋_GB2312" w:eastAsia="仿宋_GB2312"/>
                      <w:sz w:val="20"/>
                      <w:color w:val="000000"/>
                    </w:rPr>
                    <w:t>和</w:t>
                  </w:r>
                  <w:r>
                    <w:rPr>
                      <w:rFonts w:ascii="仿宋_GB2312" w:hAnsi="仿宋_GB2312" w:cs="仿宋_GB2312" w:eastAsia="仿宋_GB2312"/>
                      <w:sz w:val="20"/>
                      <w:color w:val="000000"/>
                    </w:rPr>
                    <w:t>报送；基金情况查询</w:t>
                  </w:r>
                  <w:r>
                    <w:rPr>
                      <w:rFonts w:ascii="仿宋_GB2312" w:hAnsi="仿宋_GB2312" w:cs="仿宋_GB2312" w:eastAsia="仿宋_GB2312"/>
                      <w:sz w:val="20"/>
                      <w:color w:val="000000"/>
                    </w:rPr>
                    <w:t>和</w:t>
                  </w:r>
                  <w:r>
                    <w:rPr>
                      <w:rFonts w:ascii="仿宋_GB2312" w:hAnsi="仿宋_GB2312" w:cs="仿宋_GB2312" w:eastAsia="仿宋_GB2312"/>
                      <w:sz w:val="20"/>
                      <w:color w:val="000000"/>
                    </w:rPr>
                    <w:t>分析等。</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政府投资基金管理平台</w:t>
                  </w:r>
                </w:p>
              </w:tc>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填报、报送</w:t>
                  </w:r>
                  <w:r>
                    <w:rPr>
                      <w:rFonts w:ascii="仿宋_GB2312" w:hAnsi="仿宋_GB2312" w:cs="仿宋_GB2312" w:eastAsia="仿宋_GB2312"/>
                      <w:sz w:val="20"/>
                      <w:color w:val="000000"/>
                    </w:rPr>
                    <w:t>或</w:t>
                  </w:r>
                  <w:r>
                    <w:rPr>
                      <w:rFonts w:ascii="仿宋_GB2312" w:hAnsi="仿宋_GB2312" w:cs="仿宋_GB2312" w:eastAsia="仿宋_GB2312"/>
                      <w:sz w:val="20"/>
                      <w:color w:val="000000"/>
                    </w:rPr>
                    <w:t>数据</w:t>
                  </w:r>
                  <w:r>
                    <w:rPr>
                      <w:rFonts w:ascii="仿宋_GB2312" w:hAnsi="仿宋_GB2312" w:cs="仿宋_GB2312" w:eastAsia="仿宋_GB2312"/>
                      <w:sz w:val="20"/>
                      <w:color w:val="000000"/>
                    </w:rPr>
                    <w:t>接口</w:t>
                  </w:r>
                </w:p>
              </w:tc>
            </w:tr>
          </w:tbl>
          <w:p>
            <w:pPr>
              <w:pStyle w:val="null3"/>
              <w:jc w:val="left"/>
            </w:pPr>
            <w:r>
              <w:rPr>
                <w:rFonts w:ascii="仿宋_GB2312" w:hAnsi="仿宋_GB2312" w:cs="仿宋_GB2312" w:eastAsia="仿宋_GB2312"/>
                <w:sz w:val="20"/>
                <w:b/>
                <w:color w:val="000000"/>
              </w:rPr>
              <w:t>（三）功能需求</w:t>
            </w:r>
          </w:p>
          <w:p>
            <w:pPr>
              <w:pStyle w:val="null3"/>
              <w:ind w:firstLine="400"/>
              <w:jc w:val="left"/>
            </w:pPr>
            <w:r>
              <w:rPr>
                <w:rFonts w:ascii="仿宋_GB2312" w:hAnsi="仿宋_GB2312" w:cs="仿宋_GB2312" w:eastAsia="仿宋_GB2312"/>
                <w:sz w:val="20"/>
                <w:color w:val="000000"/>
              </w:rPr>
              <w:t>1.建设类型</w:t>
            </w:r>
          </w:p>
          <w:p>
            <w:pPr>
              <w:pStyle w:val="null3"/>
              <w:ind w:firstLine="400"/>
              <w:jc w:val="left"/>
            </w:pPr>
            <w:r>
              <w:rPr>
                <w:rFonts w:ascii="仿宋_GB2312" w:hAnsi="仿宋_GB2312" w:cs="仿宋_GB2312" w:eastAsia="仿宋_GB2312"/>
                <w:sz w:val="20"/>
                <w:color w:val="000000"/>
              </w:rPr>
              <w:t>本项目为</w:t>
            </w:r>
            <w:r>
              <w:rPr>
                <w:rFonts w:ascii="仿宋_GB2312" w:hAnsi="仿宋_GB2312" w:cs="仿宋_GB2312" w:eastAsia="仿宋_GB2312"/>
                <w:sz w:val="20"/>
                <w:color w:val="000000"/>
              </w:rPr>
              <w:t>财政大</w:t>
            </w:r>
            <w:r>
              <w:rPr>
                <w:rFonts w:ascii="仿宋_GB2312" w:hAnsi="仿宋_GB2312" w:cs="仿宋_GB2312" w:eastAsia="仿宋_GB2312"/>
                <w:sz w:val="20"/>
                <w:color w:val="000000"/>
              </w:rPr>
              <w:t>数据技术支撑服务。</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1）数据采集服务：</w:t>
            </w:r>
            <w:r>
              <w:rPr>
                <w:rFonts w:ascii="仿宋_GB2312" w:hAnsi="仿宋_GB2312" w:cs="仿宋_GB2312" w:eastAsia="仿宋_GB2312"/>
                <w:sz w:val="20"/>
                <w:color w:val="000000"/>
              </w:rPr>
              <w:t>从预算管理一体化系统中</w:t>
            </w:r>
            <w:r>
              <w:rPr>
                <w:rFonts w:ascii="仿宋_GB2312" w:hAnsi="仿宋_GB2312" w:cs="仿宋_GB2312" w:eastAsia="仿宋_GB2312"/>
                <w:sz w:val="20"/>
                <w:color w:val="000000"/>
              </w:rPr>
              <w:t>采集全省财政预算、总账、财力等数据，</w:t>
            </w:r>
            <w:r>
              <w:rPr>
                <w:rFonts w:ascii="仿宋_GB2312" w:hAnsi="仿宋_GB2312" w:cs="仿宋_GB2312" w:eastAsia="仿宋_GB2312"/>
                <w:sz w:val="20"/>
                <w:color w:val="000000"/>
              </w:rPr>
              <w:t>按需求进行</w:t>
            </w:r>
            <w:r>
              <w:rPr>
                <w:rFonts w:ascii="仿宋_GB2312" w:hAnsi="仿宋_GB2312" w:cs="仿宋_GB2312" w:eastAsia="仿宋_GB2312"/>
                <w:sz w:val="20"/>
                <w:color w:val="000000"/>
              </w:rPr>
              <w:t>整理</w:t>
            </w:r>
            <w:r>
              <w:rPr>
                <w:rFonts w:ascii="仿宋_GB2312" w:hAnsi="仿宋_GB2312" w:cs="仿宋_GB2312" w:eastAsia="仿宋_GB2312"/>
                <w:sz w:val="20"/>
                <w:color w:val="000000"/>
              </w:rPr>
              <w:t>和</w:t>
            </w:r>
            <w:r>
              <w:rPr>
                <w:rFonts w:ascii="仿宋_GB2312" w:hAnsi="仿宋_GB2312" w:cs="仿宋_GB2312" w:eastAsia="仿宋_GB2312"/>
                <w:sz w:val="20"/>
                <w:color w:val="000000"/>
              </w:rPr>
              <w:t>加工。</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2）应用部署服务：</w:t>
            </w:r>
            <w:r>
              <w:rPr>
                <w:rFonts w:ascii="仿宋_GB2312" w:hAnsi="仿宋_GB2312" w:cs="仿宋_GB2312" w:eastAsia="仿宋_GB2312"/>
                <w:sz w:val="20"/>
                <w:color w:val="000000"/>
              </w:rPr>
              <w:t>按照国产化要求，</w:t>
            </w:r>
            <w:r>
              <w:rPr>
                <w:rFonts w:ascii="仿宋_GB2312" w:hAnsi="仿宋_GB2312" w:cs="仿宋_GB2312" w:eastAsia="仿宋_GB2312"/>
                <w:sz w:val="20"/>
                <w:color w:val="000000"/>
              </w:rPr>
              <w:t>部署</w:t>
            </w:r>
            <w:r>
              <w:rPr>
                <w:rFonts w:ascii="仿宋_GB2312" w:hAnsi="仿宋_GB2312" w:cs="仿宋_GB2312" w:eastAsia="仿宋_GB2312"/>
                <w:sz w:val="20"/>
                <w:color w:val="000000"/>
              </w:rPr>
              <w:t>、适配</w:t>
            </w:r>
            <w:r>
              <w:rPr>
                <w:rFonts w:ascii="仿宋_GB2312" w:hAnsi="仿宋_GB2312" w:cs="仿宋_GB2312" w:eastAsia="仿宋_GB2312"/>
                <w:sz w:val="20"/>
                <w:color w:val="000000"/>
              </w:rPr>
              <w:t>财力评估平台</w:t>
            </w:r>
            <w:r>
              <w:rPr>
                <w:rFonts w:ascii="仿宋_GB2312" w:hAnsi="仿宋_GB2312" w:cs="仿宋_GB2312" w:eastAsia="仿宋_GB2312"/>
                <w:sz w:val="20"/>
                <w:color w:val="000000"/>
              </w:rPr>
              <w:t>和</w:t>
            </w:r>
            <w:r>
              <w:rPr>
                <w:rFonts w:ascii="仿宋_GB2312" w:hAnsi="仿宋_GB2312" w:cs="仿宋_GB2312" w:eastAsia="仿宋_GB2312"/>
                <w:sz w:val="20"/>
                <w:color w:val="000000"/>
              </w:rPr>
              <w:t>政府投资基金管理平台。</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3）数据分析展示服务：对财力评估、政府投资基金相关</w:t>
            </w:r>
            <w:r>
              <w:rPr>
                <w:rFonts w:ascii="仿宋_GB2312" w:hAnsi="仿宋_GB2312" w:cs="仿宋_GB2312" w:eastAsia="仿宋_GB2312"/>
                <w:sz w:val="20"/>
                <w:color w:val="000000"/>
              </w:rPr>
              <w:t>业务</w:t>
            </w:r>
            <w:r>
              <w:rPr>
                <w:rFonts w:ascii="仿宋_GB2312" w:hAnsi="仿宋_GB2312" w:cs="仿宋_GB2312" w:eastAsia="仿宋_GB2312"/>
                <w:sz w:val="20"/>
                <w:color w:val="000000"/>
              </w:rPr>
              <w:t>数据进行分析</w:t>
            </w:r>
            <w:r>
              <w:rPr>
                <w:rFonts w:ascii="仿宋_GB2312" w:hAnsi="仿宋_GB2312" w:cs="仿宋_GB2312" w:eastAsia="仿宋_GB2312"/>
                <w:sz w:val="20"/>
                <w:color w:val="000000"/>
              </w:rPr>
              <w:t>，</w:t>
            </w:r>
            <w:r>
              <w:rPr>
                <w:rFonts w:ascii="仿宋_GB2312" w:hAnsi="仿宋_GB2312" w:cs="仿宋_GB2312" w:eastAsia="仿宋_GB2312"/>
                <w:sz w:val="20"/>
                <w:color w:val="000000"/>
              </w:rPr>
              <w:t>并以图表</w:t>
            </w:r>
            <w:r>
              <w:rPr>
                <w:rFonts w:ascii="仿宋_GB2312" w:hAnsi="仿宋_GB2312" w:cs="仿宋_GB2312" w:eastAsia="仿宋_GB2312"/>
                <w:sz w:val="20"/>
                <w:color w:val="000000"/>
              </w:rPr>
              <w:t>等</w:t>
            </w:r>
            <w:r>
              <w:rPr>
                <w:rFonts w:ascii="仿宋_GB2312" w:hAnsi="仿宋_GB2312" w:cs="仿宋_GB2312" w:eastAsia="仿宋_GB2312"/>
                <w:sz w:val="20"/>
                <w:color w:val="000000"/>
              </w:rPr>
              <w:t>形式展示。</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4）数据安全保障：</w:t>
            </w:r>
            <w:r>
              <w:rPr>
                <w:rFonts w:ascii="仿宋_GB2312" w:hAnsi="仿宋_GB2312" w:cs="仿宋_GB2312" w:eastAsia="仿宋_GB2312"/>
                <w:sz w:val="20"/>
                <w:color w:val="000000"/>
              </w:rPr>
              <w:t>在</w:t>
            </w:r>
            <w:r>
              <w:rPr>
                <w:rFonts w:ascii="仿宋_GB2312" w:hAnsi="仿宋_GB2312" w:cs="仿宋_GB2312" w:eastAsia="仿宋_GB2312"/>
                <w:sz w:val="20"/>
                <w:color w:val="000000"/>
              </w:rPr>
              <w:t>项目各个环节通过密码管理、身份认证管理、权限管理、数据加密等方式</w:t>
            </w:r>
            <w:r>
              <w:rPr>
                <w:rFonts w:ascii="仿宋_GB2312" w:hAnsi="仿宋_GB2312" w:cs="仿宋_GB2312" w:eastAsia="仿宋_GB2312"/>
                <w:sz w:val="20"/>
                <w:color w:val="000000"/>
              </w:rPr>
              <w:t>进行数据</w:t>
            </w:r>
            <w:r>
              <w:rPr>
                <w:rFonts w:ascii="仿宋_GB2312" w:hAnsi="仿宋_GB2312" w:cs="仿宋_GB2312" w:eastAsia="仿宋_GB2312"/>
                <w:sz w:val="20"/>
                <w:color w:val="000000"/>
              </w:rPr>
              <w:t>安全</w:t>
            </w:r>
            <w:r>
              <w:rPr>
                <w:rFonts w:ascii="仿宋_GB2312" w:hAnsi="仿宋_GB2312" w:cs="仿宋_GB2312" w:eastAsia="仿宋_GB2312"/>
                <w:sz w:val="20"/>
                <w:color w:val="000000"/>
              </w:rPr>
              <w:t>管理</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2.功能模块</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1）财力评估服务</w:t>
            </w:r>
          </w:p>
          <w:p>
            <w:pPr>
              <w:pStyle w:val="null3"/>
              <w:ind w:firstLine="400"/>
              <w:jc w:val="left"/>
            </w:pPr>
            <w:r>
              <w:rPr>
                <w:rFonts w:ascii="仿宋_GB2312" w:hAnsi="仿宋_GB2312" w:cs="仿宋_GB2312" w:eastAsia="仿宋_GB2312"/>
                <w:sz w:val="20"/>
                <w:color w:val="000000"/>
              </w:rPr>
              <w:t>1）全省财力数据分析</w:t>
            </w:r>
            <w:r>
              <w:rPr>
                <w:rFonts w:ascii="仿宋_GB2312" w:hAnsi="仿宋_GB2312" w:cs="仿宋_GB2312" w:eastAsia="仿宋_GB2312"/>
                <w:sz w:val="20"/>
                <w:color w:val="000000"/>
              </w:rPr>
              <w:t>。</w:t>
            </w:r>
            <w:r>
              <w:rPr>
                <w:rFonts w:ascii="仿宋_GB2312" w:hAnsi="仿宋_GB2312" w:cs="仿宋_GB2312" w:eastAsia="仿宋_GB2312"/>
                <w:sz w:val="20"/>
                <w:color w:val="000000"/>
              </w:rPr>
              <w:t>采集全省财政预算</w:t>
            </w:r>
            <w:r>
              <w:rPr>
                <w:rFonts w:ascii="仿宋_GB2312" w:hAnsi="仿宋_GB2312" w:cs="仿宋_GB2312" w:eastAsia="仿宋_GB2312"/>
                <w:sz w:val="20"/>
                <w:color w:val="000000"/>
              </w:rPr>
              <w:t>、总账、财力等</w:t>
            </w:r>
            <w:r>
              <w:rPr>
                <w:rFonts w:ascii="仿宋_GB2312" w:hAnsi="仿宋_GB2312" w:cs="仿宋_GB2312" w:eastAsia="仿宋_GB2312"/>
                <w:sz w:val="20"/>
                <w:color w:val="000000"/>
              </w:rPr>
              <w:t>数据，</w:t>
            </w:r>
            <w:r>
              <w:rPr>
                <w:rFonts w:ascii="仿宋_GB2312" w:hAnsi="仿宋_GB2312" w:cs="仿宋_GB2312" w:eastAsia="仿宋_GB2312"/>
                <w:sz w:val="20"/>
                <w:color w:val="000000"/>
              </w:rPr>
              <w:t>对采集到的数据进行分析和核验</w:t>
            </w:r>
            <w:r>
              <w:rPr>
                <w:rFonts w:ascii="仿宋_GB2312" w:hAnsi="仿宋_GB2312" w:cs="仿宋_GB2312" w:eastAsia="仿宋_GB2312"/>
                <w:sz w:val="20"/>
                <w:color w:val="000000"/>
              </w:rPr>
              <w:t>，</w:t>
            </w:r>
            <w:r>
              <w:rPr>
                <w:rFonts w:ascii="仿宋_GB2312" w:hAnsi="仿宋_GB2312" w:cs="仿宋_GB2312" w:eastAsia="仿宋_GB2312"/>
                <w:sz w:val="20"/>
                <w:color w:val="000000"/>
              </w:rPr>
              <w:t>确保数据质量符合财力评估要求</w:t>
            </w:r>
            <w:r>
              <w:rPr>
                <w:rFonts w:ascii="仿宋_GB2312" w:hAnsi="仿宋_GB2312" w:cs="仿宋_GB2312" w:eastAsia="仿宋_GB2312"/>
                <w:sz w:val="20"/>
                <w:color w:val="000000"/>
              </w:rPr>
              <w:t>，按照业务需要建立财力分析数据库，</w:t>
            </w:r>
            <w:r>
              <w:rPr>
                <w:rFonts w:ascii="仿宋_GB2312" w:hAnsi="仿宋_GB2312" w:cs="仿宋_GB2312" w:eastAsia="仿宋_GB2312"/>
                <w:sz w:val="20"/>
                <w:color w:val="000000"/>
              </w:rPr>
              <w:t>并</w:t>
            </w:r>
            <w:r>
              <w:rPr>
                <w:rFonts w:ascii="仿宋_GB2312" w:hAnsi="仿宋_GB2312" w:cs="仿宋_GB2312" w:eastAsia="仿宋_GB2312"/>
                <w:sz w:val="20"/>
                <w:color w:val="000000"/>
              </w:rPr>
              <w:t>设定财力数据分析指标。</w:t>
            </w:r>
          </w:p>
          <w:p>
            <w:pPr>
              <w:pStyle w:val="null3"/>
              <w:ind w:firstLine="400"/>
              <w:jc w:val="left"/>
            </w:pPr>
            <w:r>
              <w:rPr>
                <w:rFonts w:ascii="仿宋_GB2312" w:hAnsi="仿宋_GB2312" w:cs="仿宋_GB2312" w:eastAsia="仿宋_GB2312"/>
                <w:sz w:val="20"/>
                <w:color w:val="000000"/>
              </w:rPr>
              <w:t>2）财力整体情况概览</w:t>
            </w:r>
            <w:r>
              <w:rPr>
                <w:rFonts w:ascii="仿宋_GB2312" w:hAnsi="仿宋_GB2312" w:cs="仿宋_GB2312" w:eastAsia="仿宋_GB2312"/>
                <w:sz w:val="20"/>
                <w:color w:val="000000"/>
              </w:rPr>
              <w:t>。</w:t>
            </w:r>
            <w:r>
              <w:rPr>
                <w:rFonts w:ascii="仿宋_GB2312" w:hAnsi="仿宋_GB2312" w:cs="仿宋_GB2312" w:eastAsia="仿宋_GB2312"/>
                <w:sz w:val="20"/>
                <w:color w:val="000000"/>
              </w:rPr>
              <w:t>反映</w:t>
            </w:r>
            <w:r>
              <w:rPr>
                <w:rFonts w:ascii="仿宋_GB2312" w:hAnsi="仿宋_GB2312" w:cs="仿宋_GB2312" w:eastAsia="仿宋_GB2312"/>
                <w:sz w:val="20"/>
                <w:color w:val="000000"/>
              </w:rPr>
              <w:t>省、市、县三级</w:t>
            </w:r>
            <w:r>
              <w:rPr>
                <w:rFonts w:ascii="仿宋_GB2312" w:hAnsi="仿宋_GB2312" w:cs="仿宋_GB2312" w:eastAsia="仿宋_GB2312"/>
                <w:sz w:val="20"/>
                <w:color w:val="000000"/>
              </w:rPr>
              <w:t>财政财力现状，涵盖财力规模、财力变动情况、政策或项目执行情况、财政可承受能力</w:t>
            </w:r>
            <w:r>
              <w:rPr>
                <w:rFonts w:ascii="仿宋_GB2312" w:hAnsi="仿宋_GB2312" w:cs="仿宋_GB2312" w:eastAsia="仿宋_GB2312"/>
                <w:sz w:val="20"/>
                <w:color w:val="000000"/>
              </w:rPr>
              <w:t>空间</w:t>
            </w:r>
            <w:r>
              <w:rPr>
                <w:rFonts w:ascii="仿宋_GB2312" w:hAnsi="仿宋_GB2312" w:cs="仿宋_GB2312" w:eastAsia="仿宋_GB2312"/>
                <w:sz w:val="20"/>
                <w:color w:val="000000"/>
              </w:rPr>
              <w:t>等信息。</w:t>
            </w:r>
          </w:p>
          <w:p>
            <w:pPr>
              <w:pStyle w:val="null3"/>
              <w:ind w:firstLine="400"/>
              <w:jc w:val="left"/>
            </w:pPr>
            <w:r>
              <w:rPr>
                <w:rFonts w:ascii="仿宋_GB2312" w:hAnsi="仿宋_GB2312" w:cs="仿宋_GB2312" w:eastAsia="仿宋_GB2312"/>
                <w:sz w:val="20"/>
                <w:color w:val="000000"/>
              </w:rPr>
              <w:t>3）财政承受能力评估管理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对</w:t>
            </w:r>
            <w:r>
              <w:rPr>
                <w:rFonts w:ascii="仿宋_GB2312" w:hAnsi="仿宋_GB2312" w:cs="仿宋_GB2312" w:eastAsia="仿宋_GB2312"/>
                <w:sz w:val="20"/>
                <w:color w:val="000000"/>
              </w:rPr>
              <w:t>政策和项目增支数据，统一纳入评估管理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依据财力评估办法，按照地区、政策、项目、当年和未来年度等评估维度，对比每项资金需求和现有财力，计算财力是否可承受</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4）财力变动查询</w:t>
            </w:r>
            <w:r>
              <w:rPr>
                <w:rFonts w:ascii="仿宋_GB2312" w:hAnsi="仿宋_GB2312" w:cs="仿宋_GB2312" w:eastAsia="仿宋_GB2312"/>
                <w:sz w:val="20"/>
                <w:color w:val="000000"/>
              </w:rPr>
              <w:t>。</w:t>
            </w:r>
            <w:r>
              <w:rPr>
                <w:rFonts w:ascii="仿宋_GB2312" w:hAnsi="仿宋_GB2312" w:cs="仿宋_GB2312" w:eastAsia="仿宋_GB2312"/>
                <w:sz w:val="20"/>
                <w:color w:val="000000"/>
              </w:rPr>
              <w:t>提供综合性统计分析功能，包括地区财政承受能力规模情况、综合财力情况、政策或项目数量</w:t>
            </w:r>
            <w:r>
              <w:rPr>
                <w:rFonts w:ascii="仿宋_GB2312" w:hAnsi="仿宋_GB2312" w:cs="仿宋_GB2312" w:eastAsia="仿宋_GB2312"/>
                <w:sz w:val="20"/>
                <w:color w:val="000000"/>
              </w:rPr>
              <w:t>和</w:t>
            </w:r>
            <w:r>
              <w:rPr>
                <w:rFonts w:ascii="仿宋_GB2312" w:hAnsi="仿宋_GB2312" w:cs="仿宋_GB2312" w:eastAsia="仿宋_GB2312"/>
                <w:sz w:val="20"/>
                <w:color w:val="000000"/>
              </w:rPr>
              <w:t>资金需求增长情况、中长期资金需求分布规模情况、</w:t>
            </w:r>
            <w:r>
              <w:rPr>
                <w:rFonts w:ascii="仿宋_GB2312" w:hAnsi="仿宋_GB2312" w:cs="仿宋_GB2312" w:eastAsia="仿宋_GB2312"/>
                <w:sz w:val="20"/>
                <w:color w:val="000000"/>
              </w:rPr>
              <w:t>因</w:t>
            </w:r>
            <w:r>
              <w:rPr>
                <w:rFonts w:ascii="仿宋_GB2312" w:hAnsi="仿宋_GB2312" w:cs="仿宋_GB2312" w:eastAsia="仿宋_GB2312"/>
                <w:sz w:val="20"/>
                <w:color w:val="000000"/>
              </w:rPr>
              <w:t>财政承受能力不足</w:t>
            </w:r>
            <w:r>
              <w:rPr>
                <w:rFonts w:ascii="仿宋_GB2312" w:hAnsi="仿宋_GB2312" w:cs="仿宋_GB2312" w:eastAsia="仿宋_GB2312"/>
                <w:sz w:val="20"/>
                <w:color w:val="000000"/>
              </w:rPr>
              <w:t>导致</w:t>
            </w:r>
            <w:r>
              <w:rPr>
                <w:rFonts w:ascii="仿宋_GB2312" w:hAnsi="仿宋_GB2312" w:cs="仿宋_GB2312" w:eastAsia="仿宋_GB2312"/>
                <w:sz w:val="20"/>
                <w:color w:val="000000"/>
              </w:rPr>
              <w:t>未通过的政策或项目数量</w:t>
            </w:r>
            <w:r>
              <w:rPr>
                <w:rFonts w:ascii="仿宋_GB2312" w:hAnsi="仿宋_GB2312" w:cs="仿宋_GB2312" w:eastAsia="仿宋_GB2312"/>
                <w:sz w:val="20"/>
                <w:color w:val="000000"/>
              </w:rPr>
              <w:t>以及</w:t>
            </w:r>
            <w:r>
              <w:rPr>
                <w:rFonts w:ascii="仿宋_GB2312" w:hAnsi="仿宋_GB2312" w:cs="仿宋_GB2312" w:eastAsia="仿宋_GB2312"/>
                <w:sz w:val="20"/>
                <w:color w:val="000000"/>
              </w:rPr>
              <w:t>资金需求情况等。</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2）政府投资基金管理服务</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政府投资基金信息申报</w:t>
            </w:r>
            <w:r>
              <w:rPr>
                <w:rFonts w:ascii="仿宋_GB2312" w:hAnsi="仿宋_GB2312" w:cs="仿宋_GB2312" w:eastAsia="仿宋_GB2312"/>
                <w:sz w:val="20"/>
                <w:color w:val="000000"/>
              </w:rPr>
              <w:t>和</w:t>
            </w:r>
            <w:r>
              <w:rPr>
                <w:rFonts w:ascii="仿宋_GB2312" w:hAnsi="仿宋_GB2312" w:cs="仿宋_GB2312" w:eastAsia="仿宋_GB2312"/>
                <w:sz w:val="20"/>
                <w:color w:val="000000"/>
              </w:rPr>
              <w:t>审批管理</w:t>
            </w:r>
            <w:r>
              <w:rPr>
                <w:rFonts w:ascii="仿宋_GB2312" w:hAnsi="仿宋_GB2312" w:cs="仿宋_GB2312" w:eastAsia="仿宋_GB2312"/>
                <w:sz w:val="20"/>
                <w:color w:val="000000"/>
              </w:rPr>
              <w:t>。</w:t>
            </w:r>
            <w:r>
              <w:rPr>
                <w:rFonts w:ascii="仿宋_GB2312" w:hAnsi="仿宋_GB2312" w:cs="仿宋_GB2312" w:eastAsia="仿宋_GB2312"/>
                <w:sz w:val="20"/>
                <w:color w:val="000000"/>
              </w:rPr>
              <w:t>实现基金管理人、合伙人、投资项目、基金档案数据按期次在线申报</w:t>
            </w:r>
            <w:r>
              <w:rPr>
                <w:rFonts w:ascii="仿宋_GB2312" w:hAnsi="仿宋_GB2312" w:cs="仿宋_GB2312" w:eastAsia="仿宋_GB2312"/>
                <w:sz w:val="20"/>
                <w:color w:val="000000"/>
              </w:rPr>
              <w:t>和</w:t>
            </w:r>
            <w:r>
              <w:rPr>
                <w:rFonts w:ascii="仿宋_GB2312" w:hAnsi="仿宋_GB2312" w:cs="仿宋_GB2312" w:eastAsia="仿宋_GB2312"/>
                <w:sz w:val="20"/>
                <w:color w:val="000000"/>
              </w:rPr>
              <w:t>财政业务审批</w:t>
            </w:r>
            <w:r>
              <w:rPr>
                <w:rFonts w:ascii="仿宋_GB2312" w:hAnsi="仿宋_GB2312" w:cs="仿宋_GB2312" w:eastAsia="仿宋_GB2312"/>
                <w:sz w:val="20"/>
                <w:color w:val="000000"/>
              </w:rPr>
              <w:t>，包括</w:t>
            </w:r>
            <w:r>
              <w:rPr>
                <w:rFonts w:ascii="仿宋_GB2312" w:hAnsi="仿宋_GB2312" w:cs="仿宋_GB2312" w:eastAsia="仿宋_GB2312"/>
                <w:sz w:val="20"/>
                <w:color w:val="000000"/>
              </w:rPr>
              <w:t>申报流程、申报规则、审批条件等内容。</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政府投资基金数据库</w:t>
            </w:r>
            <w:r>
              <w:rPr>
                <w:rFonts w:ascii="仿宋_GB2312" w:hAnsi="仿宋_GB2312" w:cs="仿宋_GB2312" w:eastAsia="仿宋_GB2312"/>
                <w:sz w:val="20"/>
                <w:color w:val="000000"/>
              </w:rPr>
              <w:t>。</w:t>
            </w:r>
            <w:r>
              <w:rPr>
                <w:rFonts w:ascii="仿宋_GB2312" w:hAnsi="仿宋_GB2312" w:cs="仿宋_GB2312" w:eastAsia="仿宋_GB2312"/>
                <w:sz w:val="20"/>
                <w:color w:val="000000"/>
              </w:rPr>
              <w:t>满足基金</w:t>
            </w:r>
            <w:r>
              <w:rPr>
                <w:rFonts w:ascii="仿宋_GB2312" w:hAnsi="仿宋_GB2312" w:cs="仿宋_GB2312" w:eastAsia="仿宋_GB2312"/>
                <w:sz w:val="20"/>
                <w:color w:val="000000"/>
              </w:rPr>
              <w:t>公司</w:t>
            </w:r>
            <w:r>
              <w:rPr>
                <w:rFonts w:ascii="仿宋_GB2312" w:hAnsi="仿宋_GB2312" w:cs="仿宋_GB2312" w:eastAsia="仿宋_GB2312"/>
                <w:sz w:val="20"/>
                <w:color w:val="000000"/>
              </w:rPr>
              <w:t>向财政报送基金数据，财政</w:t>
            </w:r>
            <w:r>
              <w:rPr>
                <w:rFonts w:ascii="仿宋_GB2312" w:hAnsi="仿宋_GB2312" w:cs="仿宋_GB2312" w:eastAsia="仿宋_GB2312"/>
                <w:sz w:val="20"/>
                <w:color w:val="000000"/>
              </w:rPr>
              <w:t>部门</w:t>
            </w:r>
            <w:r>
              <w:rPr>
                <w:rFonts w:ascii="仿宋_GB2312" w:hAnsi="仿宋_GB2312" w:cs="仿宋_GB2312" w:eastAsia="仿宋_GB2312"/>
                <w:sz w:val="20"/>
                <w:color w:val="000000"/>
              </w:rPr>
              <w:t>汇总基金数据</w:t>
            </w:r>
            <w:r>
              <w:rPr>
                <w:rFonts w:ascii="仿宋_GB2312" w:hAnsi="仿宋_GB2312" w:cs="仿宋_GB2312" w:eastAsia="仿宋_GB2312"/>
                <w:sz w:val="20"/>
                <w:color w:val="000000"/>
              </w:rPr>
              <w:t>，</w:t>
            </w:r>
            <w:r>
              <w:rPr>
                <w:rFonts w:ascii="仿宋_GB2312" w:hAnsi="仿宋_GB2312" w:cs="仿宋_GB2312" w:eastAsia="仿宋_GB2312"/>
                <w:sz w:val="20"/>
                <w:color w:val="000000"/>
              </w:rPr>
              <w:t>形成基金数据库</w:t>
            </w:r>
            <w:r>
              <w:rPr>
                <w:rFonts w:ascii="仿宋_GB2312" w:hAnsi="仿宋_GB2312" w:cs="仿宋_GB2312" w:eastAsia="仿宋_GB2312"/>
                <w:sz w:val="20"/>
                <w:color w:val="000000"/>
              </w:rPr>
              <w:t>；或通过开放端口接入相关基金业务管理系统，实现与基金公司自有数据系统对接，畅通数据报送渠道。</w:t>
            </w:r>
          </w:p>
          <w:p>
            <w:pPr>
              <w:pStyle w:val="null3"/>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政府投资基金数据分析指标体系</w:t>
            </w:r>
            <w:r>
              <w:rPr>
                <w:rFonts w:ascii="仿宋_GB2312" w:hAnsi="仿宋_GB2312" w:cs="仿宋_GB2312" w:eastAsia="仿宋_GB2312"/>
                <w:sz w:val="20"/>
                <w:color w:val="000000"/>
              </w:rPr>
              <w:t>。</w:t>
            </w:r>
            <w:r>
              <w:rPr>
                <w:rFonts w:ascii="仿宋_GB2312" w:hAnsi="仿宋_GB2312" w:cs="仿宋_GB2312" w:eastAsia="仿宋_GB2312"/>
                <w:sz w:val="20"/>
                <w:color w:val="000000"/>
              </w:rPr>
              <w:t>通过梳理基金规模、基金变化情况、基金估值等业务指标，形成基金数据分析指标体系。</w:t>
            </w:r>
          </w:p>
          <w:p>
            <w:pPr>
              <w:pStyle w:val="null3"/>
              <w:ind w:firstLine="4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政府投资基金运行数据报送汇总</w:t>
            </w:r>
            <w:r>
              <w:rPr>
                <w:rFonts w:ascii="仿宋_GB2312" w:hAnsi="仿宋_GB2312" w:cs="仿宋_GB2312" w:eastAsia="仿宋_GB2312"/>
                <w:sz w:val="20"/>
                <w:color w:val="000000"/>
              </w:rPr>
              <w:t>。</w:t>
            </w:r>
            <w:r>
              <w:rPr>
                <w:rFonts w:ascii="仿宋_GB2312" w:hAnsi="仿宋_GB2312" w:cs="仿宋_GB2312" w:eastAsia="仿宋_GB2312"/>
                <w:sz w:val="20"/>
                <w:color w:val="000000"/>
              </w:rPr>
              <w:t>实现数据报送管理，支持任务下发、任务填报、自动汇总、在线审批等。</w:t>
            </w:r>
          </w:p>
          <w:p>
            <w:pPr>
              <w:pStyle w:val="null3"/>
              <w:ind w:firstLine="400"/>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政府投资基金数据查询</w:t>
            </w:r>
            <w:r>
              <w:rPr>
                <w:rFonts w:ascii="仿宋_GB2312" w:hAnsi="仿宋_GB2312" w:cs="仿宋_GB2312" w:eastAsia="仿宋_GB2312"/>
                <w:sz w:val="20"/>
                <w:color w:val="000000"/>
              </w:rPr>
              <w:t>:基金基本情况查询，支持政府投资基金数据按地区、基金管理人、基金分类、出资明细等汇总分析查询。</w:t>
            </w:r>
          </w:p>
          <w:p>
            <w:pPr>
              <w:pStyle w:val="null3"/>
              <w:ind w:firstLine="40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政府投资基金大屏</w:t>
            </w:r>
            <w:r>
              <w:rPr>
                <w:rFonts w:ascii="仿宋_GB2312" w:hAnsi="仿宋_GB2312" w:cs="仿宋_GB2312" w:eastAsia="仿宋_GB2312"/>
                <w:sz w:val="20"/>
                <w:color w:val="000000"/>
              </w:rPr>
              <w:t>。</w:t>
            </w:r>
            <w:r>
              <w:rPr>
                <w:rFonts w:ascii="仿宋_GB2312" w:hAnsi="仿宋_GB2312" w:cs="仿宋_GB2312" w:eastAsia="仿宋_GB2312"/>
                <w:sz w:val="20"/>
                <w:color w:val="000000"/>
              </w:rPr>
              <w:t>实现基金规模、基金公司运行情况、基金投向等基金</w:t>
            </w:r>
            <w:r>
              <w:rPr>
                <w:rFonts w:ascii="仿宋_GB2312" w:hAnsi="仿宋_GB2312" w:cs="仿宋_GB2312" w:eastAsia="仿宋_GB2312"/>
                <w:sz w:val="20"/>
                <w:color w:val="000000"/>
              </w:rPr>
              <w:t>情况</w:t>
            </w:r>
            <w:r>
              <w:rPr>
                <w:rFonts w:ascii="仿宋_GB2312" w:hAnsi="仿宋_GB2312" w:cs="仿宋_GB2312" w:eastAsia="仿宋_GB2312"/>
                <w:sz w:val="20"/>
                <w:color w:val="000000"/>
              </w:rPr>
              <w:t>大屏展示</w:t>
            </w:r>
            <w:r>
              <w:rPr>
                <w:rFonts w:ascii="仿宋_GB2312" w:hAnsi="仿宋_GB2312" w:cs="仿宋_GB2312" w:eastAsia="仿宋_GB2312"/>
                <w:sz w:val="20"/>
                <w:color w:val="000000"/>
              </w:rPr>
              <w:t>功能</w:t>
            </w:r>
            <w:r>
              <w:rPr>
                <w:rFonts w:ascii="仿宋_GB2312" w:hAnsi="仿宋_GB2312" w:cs="仿宋_GB2312" w:eastAsia="仿宋_GB2312"/>
                <w:sz w:val="20"/>
                <w:color w:val="000000"/>
              </w:rPr>
              <w:t>，满足基金管理部门实时、动态的掌握政府投资基金的整体情况。</w:t>
            </w:r>
          </w:p>
          <w:p>
            <w:pPr>
              <w:pStyle w:val="null3"/>
              <w:ind w:firstLine="400"/>
              <w:jc w:val="left"/>
            </w:pPr>
            <w:r>
              <w:rPr>
                <w:rFonts w:ascii="仿宋_GB2312" w:hAnsi="仿宋_GB2312" w:cs="仿宋_GB2312" w:eastAsia="仿宋_GB2312"/>
                <w:sz w:val="20"/>
                <w:color w:val="000000"/>
              </w:rPr>
              <w:t>财力评估服务</w:t>
            </w:r>
            <w:r>
              <w:rPr>
                <w:rFonts w:ascii="仿宋_GB2312" w:hAnsi="仿宋_GB2312" w:cs="仿宋_GB2312" w:eastAsia="仿宋_GB2312"/>
                <w:sz w:val="20"/>
                <w:color w:val="000000"/>
              </w:rPr>
              <w:t>和</w:t>
            </w:r>
            <w:r>
              <w:rPr>
                <w:rFonts w:ascii="仿宋_GB2312" w:hAnsi="仿宋_GB2312" w:cs="仿宋_GB2312" w:eastAsia="仿宋_GB2312"/>
                <w:sz w:val="20"/>
                <w:color w:val="000000"/>
              </w:rPr>
              <w:t>政府投资基金管理服务</w:t>
            </w:r>
            <w:r>
              <w:rPr>
                <w:rFonts w:ascii="仿宋_GB2312" w:hAnsi="仿宋_GB2312" w:cs="仿宋_GB2312" w:eastAsia="仿宋_GB2312"/>
                <w:sz w:val="20"/>
                <w:color w:val="000000"/>
              </w:rPr>
              <w:t>除需完成上述需求外，还需完成因业务变化和需要产生的其他需求。</w:t>
            </w:r>
          </w:p>
          <w:p>
            <w:pPr>
              <w:pStyle w:val="null3"/>
              <w:jc w:val="left"/>
            </w:pPr>
            <w:r>
              <w:rPr>
                <w:rFonts w:ascii="仿宋_GB2312" w:hAnsi="仿宋_GB2312" w:cs="仿宋_GB2312" w:eastAsia="仿宋_GB2312"/>
                <w:sz w:val="20"/>
                <w:b/>
                <w:color w:val="000000"/>
              </w:rPr>
              <w:t>（四）周期需求</w:t>
            </w:r>
          </w:p>
          <w:p>
            <w:pPr>
              <w:pStyle w:val="null3"/>
              <w:ind w:firstLine="402"/>
              <w:jc w:val="left"/>
            </w:pPr>
            <w:r>
              <w:rPr>
                <w:rFonts w:ascii="仿宋_GB2312" w:hAnsi="仿宋_GB2312" w:cs="仿宋_GB2312" w:eastAsia="仿宋_GB2312"/>
                <w:sz w:val="20"/>
                <w:b/>
              </w:rPr>
              <w:t>本项目的服务周期为</w:t>
            </w:r>
            <w:r>
              <w:rPr>
                <w:rFonts w:ascii="仿宋_GB2312" w:hAnsi="仿宋_GB2312" w:cs="仿宋_GB2312" w:eastAsia="仿宋_GB2312"/>
                <w:sz w:val="20"/>
                <w:b/>
              </w:rPr>
              <w:t>12个月</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b/>
                <w:color w:val="000000"/>
              </w:rPr>
              <w:t>第二部分：</w:t>
            </w:r>
          </w:p>
          <w:p>
            <w:pPr>
              <w:pStyle w:val="null3"/>
              <w:jc w:val="left"/>
            </w:pPr>
            <w:r>
              <w:rPr>
                <w:rFonts w:ascii="仿宋_GB2312" w:hAnsi="仿宋_GB2312" w:cs="仿宋_GB2312" w:eastAsia="仿宋_GB2312"/>
                <w:sz w:val="20"/>
                <w:b/>
                <w:color w:val="000000"/>
              </w:rPr>
              <w:t>省级机关</w:t>
            </w:r>
            <w:r>
              <w:rPr>
                <w:rFonts w:ascii="仿宋_GB2312" w:hAnsi="仿宋_GB2312" w:cs="仿宋_GB2312" w:eastAsia="仿宋_GB2312"/>
                <w:sz w:val="20"/>
                <w:b/>
                <w:color w:val="000000"/>
              </w:rPr>
              <w:t>“过紧日子”评估分析需求：</w:t>
            </w:r>
          </w:p>
          <w:p>
            <w:pPr>
              <w:pStyle w:val="null3"/>
              <w:jc w:val="left"/>
            </w:pPr>
            <w:r>
              <w:rPr>
                <w:rFonts w:ascii="仿宋_GB2312" w:hAnsi="仿宋_GB2312" w:cs="仿宋_GB2312" w:eastAsia="仿宋_GB2312"/>
                <w:sz w:val="20"/>
                <w:b/>
                <w:color w:val="000000"/>
              </w:rPr>
              <w:t>一、项目概述</w:t>
            </w:r>
          </w:p>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项目依据</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国家政策文件</w:t>
            </w:r>
          </w:p>
          <w:p>
            <w:pPr>
              <w:pStyle w:val="null3"/>
              <w:ind w:firstLine="400"/>
              <w:jc w:val="left"/>
            </w:pPr>
            <w:r>
              <w:rPr>
                <w:rFonts w:ascii="仿宋_GB2312" w:hAnsi="仿宋_GB2312" w:cs="仿宋_GB2312" w:eastAsia="仿宋_GB2312"/>
                <w:sz w:val="20"/>
                <w:color w:val="000000"/>
              </w:rPr>
              <w:t>《党政机关厉行节约反对浪费条例》提出：</w:t>
            </w:r>
            <w:r>
              <w:rPr>
                <w:rFonts w:ascii="仿宋_GB2312" w:hAnsi="仿宋_GB2312" w:cs="仿宋_GB2312" w:eastAsia="仿宋_GB2312"/>
                <w:sz w:val="20"/>
                <w:color w:val="000000"/>
              </w:rPr>
              <w:t>“财政部门应当加强对党政机关预算管理有关工作以及财务、政府采购和会计等事项的财会监督。”</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陕西省政策文件</w:t>
            </w:r>
          </w:p>
          <w:p>
            <w:pPr>
              <w:pStyle w:val="null3"/>
              <w:ind w:firstLine="400"/>
              <w:jc w:val="left"/>
            </w:pPr>
            <w:r>
              <w:rPr>
                <w:rFonts w:ascii="仿宋_GB2312" w:hAnsi="仿宋_GB2312" w:cs="仿宋_GB2312" w:eastAsia="仿宋_GB2312"/>
                <w:sz w:val="20"/>
                <w:color w:val="000000"/>
              </w:rPr>
              <w:t>《省级机关</w:t>
            </w:r>
            <w:r>
              <w:rPr>
                <w:rFonts w:ascii="仿宋_GB2312" w:hAnsi="仿宋_GB2312" w:cs="仿宋_GB2312" w:eastAsia="仿宋_GB2312"/>
                <w:sz w:val="20"/>
                <w:color w:val="000000"/>
              </w:rPr>
              <w:t>“过紧日子”评估暂行办法》（陕财办预〔2022〕106号）要求为贯彻落实党中央、国务院“坚持党政机关过紧日子”要求，进一步强化省级机关厉行节约、勤俭办一切事业，</w:t>
            </w:r>
            <w:r>
              <w:rPr>
                <w:rFonts w:ascii="仿宋_GB2312" w:hAnsi="仿宋_GB2312" w:cs="仿宋_GB2312" w:eastAsia="仿宋_GB2312"/>
                <w:sz w:val="20"/>
                <w:color w:val="000000"/>
              </w:rPr>
              <w:t>省级机关</w:t>
            </w:r>
            <w:r>
              <w:rPr>
                <w:rFonts w:ascii="仿宋_GB2312" w:hAnsi="仿宋_GB2312" w:cs="仿宋_GB2312" w:eastAsia="仿宋_GB2312"/>
                <w:sz w:val="20"/>
                <w:color w:val="000000"/>
              </w:rPr>
              <w:t>“过紧日子”按年度评估，由省财政厅运用相关评价指标组织实施。</w:t>
            </w:r>
          </w:p>
          <w:p>
            <w:pPr>
              <w:pStyle w:val="null3"/>
              <w:jc w:val="left"/>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项目</w:t>
            </w:r>
            <w:r>
              <w:rPr>
                <w:rFonts w:ascii="仿宋_GB2312" w:hAnsi="仿宋_GB2312" w:cs="仿宋_GB2312" w:eastAsia="仿宋_GB2312"/>
                <w:sz w:val="20"/>
                <w:b/>
                <w:color w:val="000000"/>
              </w:rPr>
              <w:t>必要性</w:t>
            </w:r>
          </w:p>
          <w:p>
            <w:pPr>
              <w:pStyle w:val="null3"/>
              <w:ind w:firstLine="400"/>
              <w:jc w:val="left"/>
            </w:pPr>
            <w:r>
              <w:rPr>
                <w:rFonts w:ascii="仿宋_GB2312" w:hAnsi="仿宋_GB2312" w:cs="仿宋_GB2312" w:eastAsia="仿宋_GB2312"/>
                <w:sz w:val="20"/>
                <w:color w:val="000000"/>
              </w:rPr>
              <w:t>为深入贯彻落实党中央、国务院</w:t>
            </w:r>
            <w:r>
              <w:rPr>
                <w:rFonts w:ascii="仿宋_GB2312" w:hAnsi="仿宋_GB2312" w:cs="仿宋_GB2312" w:eastAsia="仿宋_GB2312"/>
                <w:sz w:val="20"/>
                <w:color w:val="000000"/>
              </w:rPr>
              <w:t>“坚持党政机关过紧日子”要求，进一步强化省级机关厉行节约、勤俭办一切事业工作要求，开展省级机关“过紧日子”评估分析工作。该项工作可以</w:t>
            </w:r>
            <w:r>
              <w:rPr>
                <w:rFonts w:ascii="仿宋_GB2312" w:hAnsi="仿宋_GB2312" w:cs="仿宋_GB2312" w:eastAsia="仿宋_GB2312"/>
                <w:sz w:val="20"/>
                <w:color w:val="000000"/>
              </w:rPr>
              <w:t>强化评估指标对单位财务管理的约束，突出对省级机关</w:t>
            </w:r>
            <w:r>
              <w:rPr>
                <w:rFonts w:ascii="仿宋_GB2312" w:hAnsi="仿宋_GB2312" w:cs="仿宋_GB2312" w:eastAsia="仿宋_GB2312"/>
                <w:sz w:val="20"/>
                <w:color w:val="000000"/>
              </w:rPr>
              <w:t>“过紧日子”的正面引导，评估结果与预算安排挂钩，实现降低行政运行成本、建设节约型机关的目标。</w:t>
            </w:r>
          </w:p>
          <w:p>
            <w:pPr>
              <w:pStyle w:val="null3"/>
              <w:jc w:val="left"/>
            </w:pP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项目</w:t>
            </w:r>
            <w:r>
              <w:rPr>
                <w:rFonts w:ascii="仿宋_GB2312" w:hAnsi="仿宋_GB2312" w:cs="仿宋_GB2312" w:eastAsia="仿宋_GB2312"/>
                <w:sz w:val="20"/>
                <w:b/>
                <w:color w:val="000000"/>
              </w:rPr>
              <w:t>目标</w:t>
            </w:r>
          </w:p>
          <w:p>
            <w:pPr>
              <w:pStyle w:val="null3"/>
              <w:ind w:firstLine="402"/>
              <w:jc w:val="left"/>
            </w:pPr>
            <w:r>
              <w:rPr>
                <w:rFonts w:ascii="仿宋_GB2312" w:hAnsi="仿宋_GB2312" w:cs="仿宋_GB2312" w:eastAsia="仿宋_GB2312"/>
                <w:sz w:val="20"/>
                <w:b/>
                <w:color w:val="000000"/>
              </w:rPr>
              <w:t>一是</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过紧日子”评估自动计算与打分。通过开展省级机关“过紧日子”评估分析工作，重点围绕单位自有资金、一般性支出、非重点非刚性支出的使用情况及聘用人员管理、资产配置等方面实现自动化测算，减少人为干预误差，并以可视化图表形式直观呈现评估结果。</w:t>
            </w:r>
            <w:r>
              <w:rPr>
                <w:rFonts w:ascii="仿宋_GB2312" w:hAnsi="仿宋_GB2312" w:cs="仿宋_GB2312" w:eastAsia="仿宋_GB2312"/>
                <w:sz w:val="20"/>
                <w:b/>
                <w:color w:val="000000"/>
              </w:rPr>
              <w:t>二是</w:t>
            </w:r>
            <w:r>
              <w:rPr>
                <w:rFonts w:ascii="仿宋_GB2312" w:hAnsi="仿宋_GB2312" w:cs="仿宋_GB2312" w:eastAsia="仿宋_GB2312"/>
                <w:sz w:val="20"/>
                <w:color w:val="000000"/>
              </w:rPr>
              <w:t>强化评估指标对单位财务管理的约束。通过实施省级机关</w:t>
            </w:r>
            <w:r>
              <w:rPr>
                <w:rFonts w:ascii="仿宋_GB2312" w:hAnsi="仿宋_GB2312" w:cs="仿宋_GB2312" w:eastAsia="仿宋_GB2312"/>
                <w:sz w:val="20"/>
                <w:color w:val="000000"/>
              </w:rPr>
              <w:t>“过紧日子”评估分析，对各单位形成有效的激励与约束机制，将评估结果与预算安排相衔接，引导省级机关压减行政运行成本、推进节约型机关建设。</w:t>
            </w:r>
            <w:r>
              <w:rPr>
                <w:rFonts w:ascii="仿宋_GB2312" w:hAnsi="仿宋_GB2312" w:cs="仿宋_GB2312" w:eastAsia="仿宋_GB2312"/>
                <w:sz w:val="20"/>
                <w:b/>
                <w:color w:val="000000"/>
              </w:rPr>
              <w:t>三是</w:t>
            </w:r>
            <w:r>
              <w:rPr>
                <w:rFonts w:ascii="仿宋_GB2312" w:hAnsi="仿宋_GB2312" w:cs="仿宋_GB2312" w:eastAsia="仿宋_GB2312"/>
                <w:sz w:val="20"/>
                <w:color w:val="000000"/>
              </w:rPr>
              <w:t>提升预算分析研判能力。通过构建</w:t>
            </w:r>
            <w:r>
              <w:rPr>
                <w:rFonts w:ascii="仿宋_GB2312" w:hAnsi="仿宋_GB2312" w:cs="仿宋_GB2312" w:eastAsia="仿宋_GB2312"/>
                <w:sz w:val="20"/>
                <w:color w:val="000000"/>
              </w:rPr>
              <w:t>“过紧日子”数据分析体系，提升对</w:t>
            </w:r>
            <w:r>
              <w:rPr>
                <w:rFonts w:ascii="仿宋_GB2312" w:hAnsi="仿宋_GB2312" w:cs="仿宋_GB2312" w:eastAsia="仿宋_GB2312"/>
                <w:sz w:val="20"/>
                <w:color w:val="000000"/>
              </w:rPr>
              <w:t>财政</w:t>
            </w:r>
            <w:r>
              <w:rPr>
                <w:rFonts w:ascii="仿宋_GB2312" w:hAnsi="仿宋_GB2312" w:cs="仿宋_GB2312" w:eastAsia="仿宋_GB2312"/>
                <w:sz w:val="20"/>
                <w:color w:val="000000"/>
              </w:rPr>
              <w:t>资金使用效益的分析能力，为进一步优化预算管理，提高财政资源配置效率提供数据支撑。</w:t>
            </w:r>
          </w:p>
          <w:p>
            <w:pPr>
              <w:pStyle w:val="null3"/>
              <w:jc w:val="left"/>
            </w:pPr>
            <w:r>
              <w:rPr>
                <w:rFonts w:ascii="仿宋_GB2312" w:hAnsi="仿宋_GB2312" w:cs="仿宋_GB2312" w:eastAsia="仿宋_GB2312"/>
                <w:sz w:val="20"/>
                <w:b/>
                <w:color w:val="000000"/>
              </w:rPr>
              <w:t>二、需求分析</w:t>
            </w:r>
          </w:p>
          <w:p>
            <w:pPr>
              <w:pStyle w:val="null3"/>
              <w:jc w:val="left"/>
            </w:pPr>
            <w:r>
              <w:rPr>
                <w:rFonts w:ascii="仿宋_GB2312" w:hAnsi="仿宋_GB2312" w:cs="仿宋_GB2312" w:eastAsia="仿宋_GB2312"/>
                <w:sz w:val="20"/>
                <w:b/>
                <w:color w:val="000000"/>
              </w:rPr>
              <w:t>（一）业务需求</w:t>
            </w:r>
          </w:p>
          <w:p>
            <w:pPr>
              <w:pStyle w:val="null3"/>
              <w:ind w:firstLine="400"/>
              <w:jc w:val="left"/>
            </w:pPr>
            <w:r>
              <w:rPr>
                <w:rFonts w:ascii="仿宋_GB2312" w:hAnsi="仿宋_GB2312" w:cs="仿宋_GB2312" w:eastAsia="仿宋_GB2312"/>
                <w:sz w:val="20"/>
                <w:color w:val="000000"/>
              </w:rPr>
              <w:t>1.评估对象</w:t>
            </w:r>
          </w:p>
          <w:p>
            <w:pPr>
              <w:pStyle w:val="null3"/>
              <w:ind w:firstLine="400"/>
              <w:jc w:val="left"/>
            </w:pPr>
            <w:r>
              <w:rPr>
                <w:rFonts w:ascii="仿宋_GB2312" w:hAnsi="仿宋_GB2312" w:cs="仿宋_GB2312" w:eastAsia="仿宋_GB2312"/>
                <w:sz w:val="20"/>
                <w:color w:val="000000"/>
              </w:rPr>
              <w:t>省级机关</w:t>
            </w:r>
            <w:r>
              <w:rPr>
                <w:rFonts w:ascii="仿宋_GB2312" w:hAnsi="仿宋_GB2312" w:cs="仿宋_GB2312" w:eastAsia="仿宋_GB2312"/>
                <w:sz w:val="20"/>
                <w:color w:val="000000"/>
              </w:rPr>
              <w:t>(不含部门下属的事业单位等二级预算单位，包含作为省财政一级预算单位管理的事业单位，以下简称“省级机关”)。</w:t>
            </w:r>
          </w:p>
          <w:p>
            <w:pPr>
              <w:pStyle w:val="null3"/>
              <w:ind w:firstLine="400"/>
              <w:jc w:val="left"/>
            </w:pPr>
            <w:r>
              <w:rPr>
                <w:rFonts w:ascii="仿宋_GB2312" w:hAnsi="仿宋_GB2312" w:cs="仿宋_GB2312" w:eastAsia="仿宋_GB2312"/>
                <w:sz w:val="20"/>
                <w:color w:val="000000"/>
              </w:rPr>
              <w:t>2.数据来源</w:t>
            </w:r>
          </w:p>
          <w:p>
            <w:pPr>
              <w:pStyle w:val="null3"/>
              <w:ind w:firstLine="400"/>
              <w:jc w:val="left"/>
            </w:pPr>
            <w:r>
              <w:rPr>
                <w:rFonts w:ascii="仿宋_GB2312" w:hAnsi="仿宋_GB2312" w:cs="仿宋_GB2312" w:eastAsia="仿宋_GB2312"/>
                <w:sz w:val="20"/>
                <w:color w:val="000000"/>
              </w:rPr>
              <w:t>评估数据来源主要为财政云一体化系统中反映的省级机关基础信息、资产管理、预算编制、预算调整调剂等数据，以及相关预算执行和决算数据。</w:t>
            </w:r>
          </w:p>
          <w:p>
            <w:pPr>
              <w:pStyle w:val="null3"/>
              <w:ind w:firstLine="400"/>
              <w:jc w:val="left"/>
            </w:pPr>
            <w:r>
              <w:rPr>
                <w:rFonts w:ascii="仿宋_GB2312" w:hAnsi="仿宋_GB2312" w:cs="仿宋_GB2312" w:eastAsia="仿宋_GB2312"/>
                <w:sz w:val="20"/>
                <w:color w:val="000000"/>
              </w:rPr>
              <w:t>3.评估方法</w:t>
            </w:r>
          </w:p>
          <w:p>
            <w:pPr>
              <w:pStyle w:val="null3"/>
              <w:ind w:firstLine="400"/>
              <w:jc w:val="left"/>
            </w:pPr>
            <w:r>
              <w:rPr>
                <w:rFonts w:ascii="仿宋_GB2312" w:hAnsi="仿宋_GB2312" w:cs="仿宋_GB2312" w:eastAsia="仿宋_GB2312"/>
                <w:sz w:val="20"/>
                <w:color w:val="000000"/>
              </w:rPr>
              <w:t>按照指标性质，</w:t>
            </w:r>
            <w:r>
              <w:rPr>
                <w:rFonts w:ascii="仿宋_GB2312" w:hAnsi="仿宋_GB2312" w:cs="仿宋_GB2312" w:eastAsia="仿宋_GB2312"/>
                <w:sz w:val="20"/>
                <w:color w:val="000000"/>
              </w:rPr>
              <w:t>“过紧日子”评估分析分为纵向评价和横向评价两个方面。纵向评价是对指标本年数据与上一年度数据进行对比，反映省级机关自身“过紧日子”的变化情况。横向评价是对本机关指标数据与省级所有机关指标平均数据进行对比，反映本机关“过紧日子”在全部省级机关中所处水平。</w:t>
            </w:r>
          </w:p>
          <w:p>
            <w:pPr>
              <w:pStyle w:val="null3"/>
              <w:ind w:firstLine="400"/>
              <w:jc w:val="left"/>
            </w:pPr>
            <w:r>
              <w:rPr>
                <w:rFonts w:ascii="仿宋_GB2312" w:hAnsi="仿宋_GB2312" w:cs="仿宋_GB2312" w:eastAsia="仿宋_GB2312"/>
                <w:sz w:val="20"/>
                <w:color w:val="000000"/>
              </w:rPr>
              <w:t>4.评估指标</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一般性支出情况</w:t>
            </w:r>
            <w:r>
              <w:rPr>
                <w:rFonts w:ascii="仿宋_GB2312" w:hAnsi="仿宋_GB2312" w:cs="仿宋_GB2312" w:eastAsia="仿宋_GB2312"/>
                <w:sz w:val="20"/>
                <w:color w:val="000000"/>
              </w:rPr>
              <w:t>(20分)</w:t>
            </w:r>
          </w:p>
          <w:p>
            <w:pPr>
              <w:pStyle w:val="null3"/>
              <w:ind w:firstLine="400"/>
              <w:jc w:val="left"/>
            </w:pPr>
            <w:r>
              <w:rPr>
                <w:rFonts w:ascii="仿宋_GB2312" w:hAnsi="仿宋_GB2312" w:cs="仿宋_GB2312" w:eastAsia="仿宋_GB2312"/>
                <w:sz w:val="20"/>
                <w:color w:val="000000"/>
              </w:rPr>
              <w:t>评估省级机关一般性支出情况。</w:t>
            </w:r>
          </w:p>
          <w:p>
            <w:pPr>
              <w:pStyle w:val="null3"/>
              <w:ind w:firstLine="400"/>
              <w:jc w:val="left"/>
            </w:pPr>
            <w:r>
              <w:rPr>
                <w:rFonts w:ascii="仿宋_GB2312" w:hAnsi="仿宋_GB2312" w:cs="仿宋_GB2312" w:eastAsia="仿宋_GB2312"/>
                <w:sz w:val="20"/>
                <w:color w:val="000000"/>
              </w:rPr>
              <w:t>1）人均一般性支出(10分)。</w:t>
            </w:r>
          </w:p>
          <w:p>
            <w:pPr>
              <w:pStyle w:val="null3"/>
              <w:ind w:firstLine="400"/>
              <w:jc w:val="left"/>
            </w:pPr>
            <w:r>
              <w:rPr>
                <w:rFonts w:ascii="仿宋_GB2312" w:hAnsi="仿宋_GB2312" w:cs="仿宋_GB2312" w:eastAsia="仿宋_GB2312"/>
                <w:sz w:val="20"/>
                <w:color w:val="000000"/>
              </w:rPr>
              <w:t>人均一般性支出</w:t>
            </w:r>
            <w:r>
              <w:rPr>
                <w:rFonts w:ascii="仿宋_GB2312" w:hAnsi="仿宋_GB2312" w:cs="仿宋_GB2312" w:eastAsia="仿宋_GB2312"/>
                <w:sz w:val="20"/>
                <w:color w:val="000000"/>
              </w:rPr>
              <w:t>=一般性支出预算/实有人数</w:t>
            </w:r>
          </w:p>
          <w:p>
            <w:pPr>
              <w:pStyle w:val="null3"/>
              <w:ind w:firstLine="400"/>
              <w:jc w:val="left"/>
            </w:pPr>
            <w:r>
              <w:rPr>
                <w:rFonts w:ascii="仿宋_GB2312" w:hAnsi="仿宋_GB2312" w:cs="仿宋_GB2312" w:eastAsia="仿宋_GB2312"/>
                <w:sz w:val="20"/>
                <w:color w:val="000000"/>
              </w:rPr>
              <w:t>一般性支出为办公费、印刷费、咨询费、邮电费、物业管理费、差旅费、维修</w:t>
            </w:r>
            <w:r>
              <w:rPr>
                <w:rFonts w:ascii="仿宋_GB2312" w:hAnsi="仿宋_GB2312" w:cs="仿宋_GB2312" w:eastAsia="仿宋_GB2312"/>
                <w:sz w:val="20"/>
                <w:color w:val="000000"/>
              </w:rPr>
              <w:t>(护)费、租赁费、会议费、培训费、公务接待费、办公设备购置及房屋建筑物购建等科目。为避免重复评估，此项指标计算时不含会议费、培训费、公务接待费。</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纵向评价</w:t>
            </w:r>
            <w:r>
              <w:rPr>
                <w:rFonts w:ascii="仿宋_GB2312" w:hAnsi="仿宋_GB2312" w:cs="仿宋_GB2312" w:eastAsia="仿宋_GB2312"/>
                <w:sz w:val="20"/>
                <w:color w:val="000000"/>
              </w:rPr>
              <w:t>(5分)。</w:t>
            </w:r>
          </w:p>
          <w:p>
            <w:pPr>
              <w:pStyle w:val="null3"/>
              <w:ind w:firstLine="400"/>
              <w:jc w:val="left"/>
            </w:pPr>
            <w:r>
              <w:rPr>
                <w:rFonts w:ascii="仿宋_GB2312" w:hAnsi="仿宋_GB2312" w:cs="仿宋_GB2312" w:eastAsia="仿宋_GB2312"/>
                <w:sz w:val="20"/>
                <w:color w:val="000000"/>
              </w:rPr>
              <w:t>若人均一般性支出高于上年，每高出</w:t>
            </w:r>
            <w:r>
              <w:rPr>
                <w:rFonts w:ascii="仿宋_GB2312" w:hAnsi="仿宋_GB2312" w:cs="仿宋_GB2312" w:eastAsia="仿宋_GB2312"/>
                <w:sz w:val="20"/>
                <w:color w:val="000000"/>
              </w:rPr>
              <w:t>1个百分点，扣1分，扣完为止。</w:t>
            </w:r>
          </w:p>
          <w:p>
            <w:pPr>
              <w:pStyle w:val="null3"/>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横向评价</w:t>
            </w:r>
            <w:r>
              <w:rPr>
                <w:rFonts w:ascii="仿宋_GB2312" w:hAnsi="仿宋_GB2312" w:cs="仿宋_GB2312" w:eastAsia="仿宋_GB2312"/>
                <w:sz w:val="20"/>
                <w:color w:val="000000"/>
              </w:rPr>
              <w:t>(5分)。</w:t>
            </w:r>
          </w:p>
          <w:p>
            <w:pPr>
              <w:pStyle w:val="null3"/>
              <w:ind w:firstLine="400"/>
              <w:jc w:val="left"/>
            </w:pPr>
            <w:r>
              <w:rPr>
                <w:rFonts w:ascii="仿宋_GB2312" w:hAnsi="仿宋_GB2312" w:cs="仿宋_GB2312" w:eastAsia="仿宋_GB2312"/>
                <w:sz w:val="20"/>
                <w:color w:val="000000"/>
              </w:rPr>
              <w:t>若人均一般性支出高于省级机关平均水平，每高出</w:t>
            </w:r>
            <w:r>
              <w:rPr>
                <w:rFonts w:ascii="仿宋_GB2312" w:hAnsi="仿宋_GB2312" w:cs="仿宋_GB2312" w:eastAsia="仿宋_GB2312"/>
                <w:sz w:val="20"/>
                <w:color w:val="000000"/>
              </w:rPr>
              <w:t>1个百分点，扣1分，扣完为止。</w:t>
            </w:r>
          </w:p>
          <w:p>
            <w:pPr>
              <w:pStyle w:val="null3"/>
              <w:ind w:firstLine="400"/>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“其他类”支出占比(10分)。</w:t>
            </w:r>
          </w:p>
          <w:p>
            <w:pPr>
              <w:pStyle w:val="null3"/>
              <w:ind w:firstLine="400"/>
              <w:jc w:val="left"/>
            </w:pPr>
            <w:r>
              <w:rPr>
                <w:rFonts w:ascii="仿宋_GB2312" w:hAnsi="仿宋_GB2312" w:cs="仿宋_GB2312" w:eastAsia="仿宋_GB2312"/>
                <w:sz w:val="20"/>
                <w:color w:val="000000"/>
              </w:rPr>
              <w:t>“其他类”支出占比=编列其他科目支出预算/单位支出预算</w:t>
            </w:r>
          </w:p>
          <w:p>
            <w:pPr>
              <w:pStyle w:val="null3"/>
              <w:ind w:firstLine="400"/>
              <w:jc w:val="left"/>
            </w:pPr>
            <w:r>
              <w:rPr>
                <w:rFonts w:ascii="仿宋_GB2312" w:hAnsi="仿宋_GB2312" w:cs="仿宋_GB2312" w:eastAsia="仿宋_GB2312"/>
                <w:sz w:val="20"/>
                <w:color w:val="000000"/>
              </w:rPr>
              <w:t>“其他类”支出指“其他工资福利支出、其他商品和服务支出、其他对个人和家庭的补助、其他资本性支出”等未明确具体支出用途的五项科目之和。</w:t>
            </w:r>
          </w:p>
          <w:p>
            <w:pPr>
              <w:pStyle w:val="null3"/>
              <w:ind w:firstLine="400"/>
              <w:jc w:val="left"/>
            </w:pPr>
            <w:r>
              <w:rPr>
                <w:rFonts w:ascii="仿宋_GB2312" w:hAnsi="仿宋_GB2312" w:cs="仿宋_GB2312" w:eastAsia="仿宋_GB2312"/>
                <w:sz w:val="20"/>
                <w:color w:val="000000"/>
              </w:rPr>
              <w:t>若</w:t>
            </w:r>
            <w:r>
              <w:rPr>
                <w:rFonts w:ascii="仿宋_GB2312" w:hAnsi="仿宋_GB2312" w:cs="仿宋_GB2312" w:eastAsia="仿宋_GB2312"/>
                <w:sz w:val="20"/>
                <w:color w:val="000000"/>
              </w:rPr>
              <w:t>“其他类”支出占同类级科目支出的比重&gt;10%,每超出1个百分点，扣1分，扣完为止。</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“三公”经费(20分)</w:t>
            </w:r>
          </w:p>
          <w:p>
            <w:pPr>
              <w:pStyle w:val="null3"/>
              <w:ind w:firstLine="400"/>
              <w:jc w:val="left"/>
            </w:pPr>
            <w:r>
              <w:rPr>
                <w:rFonts w:ascii="仿宋_GB2312" w:hAnsi="仿宋_GB2312" w:cs="仿宋_GB2312" w:eastAsia="仿宋_GB2312"/>
                <w:sz w:val="20"/>
                <w:color w:val="000000"/>
              </w:rPr>
              <w:t>评估省级机关</w:t>
            </w:r>
            <w:r>
              <w:rPr>
                <w:rFonts w:ascii="仿宋_GB2312" w:hAnsi="仿宋_GB2312" w:cs="仿宋_GB2312" w:eastAsia="仿宋_GB2312"/>
                <w:sz w:val="20"/>
                <w:color w:val="000000"/>
              </w:rPr>
              <w:t>“三公”经费预决算增长情况。</w:t>
            </w:r>
          </w:p>
          <w:p>
            <w:pPr>
              <w:pStyle w:val="null3"/>
              <w:ind w:firstLine="400"/>
              <w:jc w:val="left"/>
            </w:pPr>
            <w:r>
              <w:rPr>
                <w:rFonts w:ascii="仿宋_GB2312" w:hAnsi="仿宋_GB2312" w:cs="仿宋_GB2312" w:eastAsia="仿宋_GB2312"/>
                <w:sz w:val="20"/>
                <w:color w:val="000000"/>
              </w:rPr>
              <w:t>1）“三公”经费预算增长率(10分)。</w:t>
            </w:r>
          </w:p>
          <w:p>
            <w:pPr>
              <w:pStyle w:val="null3"/>
              <w:ind w:firstLine="400"/>
              <w:jc w:val="left"/>
            </w:pPr>
            <w:r>
              <w:rPr>
                <w:rFonts w:ascii="仿宋_GB2312" w:hAnsi="仿宋_GB2312" w:cs="仿宋_GB2312" w:eastAsia="仿宋_GB2312"/>
                <w:sz w:val="20"/>
                <w:color w:val="000000"/>
              </w:rPr>
              <w:t>“三公”经费预算增长率=(本年“三公”经费预算-上年“三公”经费预算)/上年“三公”经费预算</w:t>
            </w:r>
          </w:p>
          <w:p>
            <w:pPr>
              <w:pStyle w:val="null3"/>
              <w:ind w:firstLine="400"/>
              <w:jc w:val="left"/>
            </w:pPr>
            <w:r>
              <w:rPr>
                <w:rFonts w:ascii="仿宋_GB2312" w:hAnsi="仿宋_GB2312" w:cs="仿宋_GB2312" w:eastAsia="仿宋_GB2312"/>
                <w:sz w:val="20"/>
                <w:color w:val="000000"/>
              </w:rPr>
              <w:t>开展评估时分科目计算公务接待费、因公出国</w:t>
            </w:r>
            <w:r>
              <w:rPr>
                <w:rFonts w:ascii="仿宋_GB2312" w:hAnsi="仿宋_GB2312" w:cs="仿宋_GB2312" w:eastAsia="仿宋_GB2312"/>
                <w:sz w:val="20"/>
                <w:color w:val="000000"/>
              </w:rPr>
              <w:t>(境)费、公务用车运行维护费的预算增长率(因公务用车购置费用属于一次性支出，且年度间不均衡，暂不纳入评估，下同)。若任一科目预算增长率&gt;0,每超出1个百分点，扣1分，扣完为止。</w:t>
            </w:r>
          </w:p>
          <w:p>
            <w:pPr>
              <w:pStyle w:val="null3"/>
              <w:ind w:firstLine="400"/>
              <w:jc w:val="left"/>
            </w:pPr>
            <w:r>
              <w:rPr>
                <w:rFonts w:ascii="仿宋_GB2312" w:hAnsi="仿宋_GB2312" w:cs="仿宋_GB2312" w:eastAsia="仿宋_GB2312"/>
                <w:sz w:val="20"/>
                <w:color w:val="000000"/>
              </w:rPr>
              <w:t>2）“三公”经费决算增长率(10分)。</w:t>
            </w:r>
          </w:p>
          <w:p>
            <w:pPr>
              <w:pStyle w:val="null3"/>
              <w:ind w:firstLine="400"/>
              <w:jc w:val="left"/>
            </w:pPr>
            <w:r>
              <w:rPr>
                <w:rFonts w:ascii="仿宋_GB2312" w:hAnsi="仿宋_GB2312" w:cs="仿宋_GB2312" w:eastAsia="仿宋_GB2312"/>
                <w:sz w:val="20"/>
                <w:color w:val="000000"/>
              </w:rPr>
              <w:t>“三公”经费决算增长率=(本年“三公”经费决算-上年“三公”经费决算)/上年“三公”经费决算</w:t>
            </w:r>
          </w:p>
          <w:p>
            <w:pPr>
              <w:pStyle w:val="null3"/>
              <w:ind w:firstLine="400"/>
              <w:jc w:val="left"/>
            </w:pPr>
            <w:r>
              <w:rPr>
                <w:rFonts w:ascii="仿宋_GB2312" w:hAnsi="仿宋_GB2312" w:cs="仿宋_GB2312" w:eastAsia="仿宋_GB2312"/>
                <w:sz w:val="20"/>
                <w:color w:val="000000"/>
              </w:rPr>
              <w:t>开展评估时分科目计算公务接待费、因公出国</w:t>
            </w:r>
            <w:r>
              <w:rPr>
                <w:rFonts w:ascii="仿宋_GB2312" w:hAnsi="仿宋_GB2312" w:cs="仿宋_GB2312" w:eastAsia="仿宋_GB2312"/>
                <w:sz w:val="20"/>
                <w:color w:val="000000"/>
              </w:rPr>
              <w:t>(境)费、公务用车运行维护费的决算增长率。若任一科目决算增长率&gt;0,每超出1个百分点，扣1分，扣完为止。</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购买服务情况</w:t>
            </w:r>
            <w:r>
              <w:rPr>
                <w:rFonts w:ascii="仿宋_GB2312" w:hAnsi="仿宋_GB2312" w:cs="仿宋_GB2312" w:eastAsia="仿宋_GB2312"/>
                <w:sz w:val="20"/>
                <w:color w:val="000000"/>
              </w:rPr>
              <w:t>(15分)</w:t>
            </w:r>
          </w:p>
          <w:p>
            <w:pPr>
              <w:pStyle w:val="null3"/>
              <w:ind w:firstLine="400"/>
              <w:jc w:val="left"/>
            </w:pPr>
            <w:r>
              <w:rPr>
                <w:rFonts w:ascii="仿宋_GB2312" w:hAnsi="仿宋_GB2312" w:cs="仿宋_GB2312" w:eastAsia="仿宋_GB2312"/>
                <w:sz w:val="20"/>
                <w:color w:val="000000"/>
              </w:rPr>
              <w:t>评估省级机关委托开展业务工作情况。</w:t>
            </w:r>
          </w:p>
          <w:p>
            <w:pPr>
              <w:pStyle w:val="null3"/>
              <w:ind w:firstLine="400"/>
              <w:jc w:val="left"/>
            </w:pPr>
            <w:r>
              <w:rPr>
                <w:rFonts w:ascii="仿宋_GB2312" w:hAnsi="仿宋_GB2312" w:cs="仿宋_GB2312" w:eastAsia="仿宋_GB2312"/>
                <w:sz w:val="20"/>
                <w:color w:val="000000"/>
              </w:rPr>
              <w:t>1）委托业务支出占比(10分)。</w:t>
            </w:r>
          </w:p>
          <w:p>
            <w:pPr>
              <w:pStyle w:val="null3"/>
              <w:ind w:firstLine="400"/>
              <w:jc w:val="left"/>
            </w:pPr>
            <w:r>
              <w:rPr>
                <w:rFonts w:ascii="仿宋_GB2312" w:hAnsi="仿宋_GB2312" w:cs="仿宋_GB2312" w:eastAsia="仿宋_GB2312"/>
                <w:sz w:val="20"/>
                <w:color w:val="000000"/>
              </w:rPr>
              <w:t>委托业务支出占比</w:t>
            </w:r>
            <w:r>
              <w:rPr>
                <w:rFonts w:ascii="仿宋_GB2312" w:hAnsi="仿宋_GB2312" w:cs="仿宋_GB2312" w:eastAsia="仿宋_GB2312"/>
                <w:sz w:val="20"/>
                <w:color w:val="000000"/>
              </w:rPr>
              <w:t>=劳务费、委托业务费支出预算/单位支出、预算</w:t>
            </w:r>
          </w:p>
          <w:p>
            <w:pPr>
              <w:pStyle w:val="null3"/>
              <w:ind w:firstLine="400"/>
              <w:jc w:val="left"/>
            </w:pPr>
            <w:r>
              <w:rPr>
                <w:rFonts w:ascii="仿宋_GB2312" w:hAnsi="仿宋_GB2312" w:cs="仿宋_GB2312" w:eastAsia="仿宋_GB2312"/>
                <w:sz w:val="20"/>
                <w:color w:val="000000"/>
              </w:rPr>
              <w:t>纵向评价</w:t>
            </w:r>
            <w:r>
              <w:rPr>
                <w:rFonts w:ascii="仿宋_GB2312" w:hAnsi="仿宋_GB2312" w:cs="仿宋_GB2312" w:eastAsia="仿宋_GB2312"/>
                <w:sz w:val="20"/>
                <w:color w:val="000000"/>
              </w:rPr>
              <w:t>(5分)。若委托业务支出占比高于上年，每高出1个百分点，扣1分，扣完为止。</w:t>
            </w:r>
          </w:p>
          <w:p>
            <w:pPr>
              <w:pStyle w:val="null3"/>
              <w:ind w:firstLine="400"/>
              <w:jc w:val="left"/>
            </w:pPr>
            <w:r>
              <w:rPr>
                <w:rFonts w:ascii="仿宋_GB2312" w:hAnsi="仿宋_GB2312" w:cs="仿宋_GB2312" w:eastAsia="仿宋_GB2312"/>
                <w:sz w:val="20"/>
                <w:color w:val="000000"/>
              </w:rPr>
              <w:t>横向评价</w:t>
            </w:r>
            <w:r>
              <w:rPr>
                <w:rFonts w:ascii="仿宋_GB2312" w:hAnsi="仿宋_GB2312" w:cs="仿宋_GB2312" w:eastAsia="仿宋_GB2312"/>
                <w:sz w:val="20"/>
                <w:color w:val="000000"/>
              </w:rPr>
              <w:t>(5分)。若委托业务支出占比高于省级机关平均水平，每高出1个百分点，扣1分，扣完为止。</w:t>
            </w:r>
          </w:p>
          <w:p>
            <w:pPr>
              <w:pStyle w:val="null3"/>
              <w:ind w:firstLine="400"/>
              <w:jc w:val="left"/>
            </w:pPr>
            <w:r>
              <w:rPr>
                <w:rFonts w:ascii="仿宋_GB2312" w:hAnsi="仿宋_GB2312" w:cs="仿宋_GB2312" w:eastAsia="仿宋_GB2312"/>
                <w:sz w:val="20"/>
                <w:color w:val="000000"/>
              </w:rPr>
              <w:t>2）临聘人员变动(5分)。</w:t>
            </w:r>
          </w:p>
          <w:p>
            <w:pPr>
              <w:pStyle w:val="null3"/>
              <w:ind w:firstLine="400"/>
              <w:jc w:val="left"/>
            </w:pPr>
            <w:r>
              <w:rPr>
                <w:rFonts w:ascii="仿宋_GB2312" w:hAnsi="仿宋_GB2312" w:cs="仿宋_GB2312" w:eastAsia="仿宋_GB2312"/>
                <w:sz w:val="20"/>
                <w:color w:val="000000"/>
              </w:rPr>
              <w:t>临聘人员变动</w:t>
            </w:r>
            <w:r>
              <w:rPr>
                <w:rFonts w:ascii="仿宋_GB2312" w:hAnsi="仿宋_GB2312" w:cs="仿宋_GB2312" w:eastAsia="仿宋_GB2312"/>
                <w:sz w:val="20"/>
                <w:color w:val="000000"/>
              </w:rPr>
              <w:t>=本年临聘人员人数-上年临聘人员人数若临聘人员变动大于0,扣全部分。</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会议费及培训费</w:t>
            </w:r>
            <w:r>
              <w:rPr>
                <w:rFonts w:ascii="仿宋_GB2312" w:hAnsi="仿宋_GB2312" w:cs="仿宋_GB2312" w:eastAsia="仿宋_GB2312"/>
                <w:sz w:val="20"/>
                <w:color w:val="000000"/>
              </w:rPr>
              <w:t>(20分)</w:t>
            </w:r>
          </w:p>
          <w:p>
            <w:pPr>
              <w:pStyle w:val="null3"/>
              <w:ind w:firstLine="400"/>
              <w:jc w:val="left"/>
            </w:pPr>
            <w:r>
              <w:rPr>
                <w:rFonts w:ascii="仿宋_GB2312" w:hAnsi="仿宋_GB2312" w:cs="仿宋_GB2312" w:eastAsia="仿宋_GB2312"/>
                <w:sz w:val="20"/>
                <w:color w:val="000000"/>
              </w:rPr>
              <w:t>评估省级机关在举办会议、培训事项上的预决算情况。</w:t>
            </w:r>
          </w:p>
          <w:p>
            <w:pPr>
              <w:pStyle w:val="null3"/>
              <w:ind w:firstLine="400"/>
              <w:jc w:val="left"/>
            </w:pPr>
            <w:r>
              <w:rPr>
                <w:rFonts w:ascii="仿宋_GB2312" w:hAnsi="仿宋_GB2312" w:cs="仿宋_GB2312" w:eastAsia="仿宋_GB2312"/>
                <w:sz w:val="20"/>
                <w:color w:val="000000"/>
              </w:rPr>
              <w:t>1）会议费、培训费人均预算数(5分)。</w:t>
            </w:r>
          </w:p>
          <w:p>
            <w:pPr>
              <w:pStyle w:val="null3"/>
              <w:ind w:firstLine="400"/>
              <w:jc w:val="left"/>
            </w:pPr>
            <w:r>
              <w:rPr>
                <w:rFonts w:ascii="仿宋_GB2312" w:hAnsi="仿宋_GB2312" w:cs="仿宋_GB2312" w:eastAsia="仿宋_GB2312"/>
                <w:sz w:val="20"/>
                <w:color w:val="000000"/>
              </w:rPr>
              <w:t>会议费、培训费人均预算数</w:t>
            </w:r>
            <w:r>
              <w:rPr>
                <w:rFonts w:ascii="仿宋_GB2312" w:hAnsi="仿宋_GB2312" w:cs="仿宋_GB2312" w:eastAsia="仿宋_GB2312"/>
                <w:sz w:val="20"/>
                <w:color w:val="000000"/>
              </w:rPr>
              <w:t>=会议费、培训费预算/实有人数</w:t>
            </w:r>
          </w:p>
          <w:p>
            <w:pPr>
              <w:pStyle w:val="null3"/>
              <w:ind w:firstLine="400"/>
              <w:jc w:val="left"/>
            </w:pPr>
            <w:r>
              <w:rPr>
                <w:rFonts w:ascii="仿宋_GB2312" w:hAnsi="仿宋_GB2312" w:cs="仿宋_GB2312" w:eastAsia="仿宋_GB2312"/>
                <w:sz w:val="20"/>
                <w:color w:val="000000"/>
              </w:rPr>
              <w:t>若会议费、培训费人均预算数高于省级机关平均水平，每高出</w:t>
            </w:r>
            <w:r>
              <w:rPr>
                <w:rFonts w:ascii="仿宋_GB2312" w:hAnsi="仿宋_GB2312" w:cs="仿宋_GB2312" w:eastAsia="仿宋_GB2312"/>
                <w:sz w:val="20"/>
                <w:color w:val="000000"/>
              </w:rPr>
              <w:t>1个百分点，扣1分，扣完为止。省级机关牵头负责的一类、二类会议，如人代会、党代会、各类换届大会等不纳入统计评估范围，下同。</w:t>
            </w:r>
          </w:p>
          <w:p>
            <w:pPr>
              <w:pStyle w:val="null3"/>
              <w:ind w:firstLine="400"/>
              <w:jc w:val="left"/>
            </w:pPr>
            <w:r>
              <w:rPr>
                <w:rFonts w:ascii="仿宋_GB2312" w:hAnsi="仿宋_GB2312" w:cs="仿宋_GB2312" w:eastAsia="仿宋_GB2312"/>
                <w:sz w:val="20"/>
                <w:color w:val="000000"/>
              </w:rPr>
              <w:t>2）会议费、培训费预算增长率(5分)。</w:t>
            </w:r>
          </w:p>
          <w:p>
            <w:pPr>
              <w:pStyle w:val="null3"/>
              <w:ind w:firstLine="400"/>
              <w:jc w:val="left"/>
            </w:pPr>
            <w:r>
              <w:rPr>
                <w:rFonts w:ascii="仿宋_GB2312" w:hAnsi="仿宋_GB2312" w:cs="仿宋_GB2312" w:eastAsia="仿宋_GB2312"/>
                <w:sz w:val="20"/>
                <w:color w:val="000000"/>
              </w:rPr>
              <w:t>会议费、培训费预算增长率</w:t>
            </w:r>
            <w:r>
              <w:rPr>
                <w:rFonts w:ascii="仿宋_GB2312" w:hAnsi="仿宋_GB2312" w:cs="仿宋_GB2312" w:eastAsia="仿宋_GB2312"/>
                <w:sz w:val="20"/>
                <w:color w:val="000000"/>
              </w:rPr>
              <w:t>=(本年会议费、培训费预算-上年会议费、培训费预算)/上年会议费、培训费预算</w:t>
            </w:r>
          </w:p>
          <w:p>
            <w:pPr>
              <w:pStyle w:val="null3"/>
              <w:ind w:firstLine="400"/>
              <w:jc w:val="left"/>
            </w:pPr>
            <w:r>
              <w:rPr>
                <w:rFonts w:ascii="仿宋_GB2312" w:hAnsi="仿宋_GB2312" w:cs="仿宋_GB2312" w:eastAsia="仿宋_GB2312"/>
                <w:sz w:val="20"/>
                <w:color w:val="000000"/>
              </w:rPr>
              <w:t>若会议费、培训费预算增长率高于省级机关平均增长率，每高出</w:t>
            </w:r>
            <w:r>
              <w:rPr>
                <w:rFonts w:ascii="仿宋_GB2312" w:hAnsi="仿宋_GB2312" w:cs="仿宋_GB2312" w:eastAsia="仿宋_GB2312"/>
                <w:sz w:val="20"/>
                <w:color w:val="000000"/>
              </w:rPr>
              <w:t>1个百分点，扣1分，扣完为止。</w:t>
            </w:r>
          </w:p>
          <w:p>
            <w:pPr>
              <w:pStyle w:val="null3"/>
              <w:ind w:firstLine="400"/>
              <w:jc w:val="left"/>
            </w:pPr>
            <w:r>
              <w:rPr>
                <w:rFonts w:ascii="仿宋_GB2312" w:hAnsi="仿宋_GB2312" w:cs="仿宋_GB2312" w:eastAsia="仿宋_GB2312"/>
                <w:sz w:val="20"/>
                <w:color w:val="000000"/>
              </w:rPr>
              <w:t>3）会议费、培训费人均决算数(5分)。</w:t>
            </w:r>
          </w:p>
          <w:p>
            <w:pPr>
              <w:pStyle w:val="null3"/>
              <w:ind w:firstLine="400"/>
              <w:jc w:val="left"/>
            </w:pPr>
            <w:r>
              <w:rPr>
                <w:rFonts w:ascii="仿宋_GB2312" w:hAnsi="仿宋_GB2312" w:cs="仿宋_GB2312" w:eastAsia="仿宋_GB2312"/>
                <w:sz w:val="20"/>
                <w:color w:val="000000"/>
              </w:rPr>
              <w:t>会议费、培训费人均决算数</w:t>
            </w:r>
            <w:r>
              <w:rPr>
                <w:rFonts w:ascii="仿宋_GB2312" w:hAnsi="仿宋_GB2312" w:cs="仿宋_GB2312" w:eastAsia="仿宋_GB2312"/>
                <w:sz w:val="20"/>
                <w:color w:val="000000"/>
              </w:rPr>
              <w:t>=会议费、培训费决算/实有人数</w:t>
            </w:r>
          </w:p>
          <w:p>
            <w:pPr>
              <w:pStyle w:val="null3"/>
              <w:ind w:firstLine="400"/>
              <w:jc w:val="left"/>
            </w:pPr>
            <w:r>
              <w:rPr>
                <w:rFonts w:ascii="仿宋_GB2312" w:hAnsi="仿宋_GB2312" w:cs="仿宋_GB2312" w:eastAsia="仿宋_GB2312"/>
                <w:sz w:val="20"/>
                <w:color w:val="000000"/>
              </w:rPr>
              <w:t>若会议费、培训费人均决算数高于省级机关平均水平，每高出</w:t>
            </w:r>
            <w:r>
              <w:rPr>
                <w:rFonts w:ascii="仿宋_GB2312" w:hAnsi="仿宋_GB2312" w:cs="仿宋_GB2312" w:eastAsia="仿宋_GB2312"/>
                <w:sz w:val="20"/>
                <w:color w:val="000000"/>
              </w:rPr>
              <w:t>1个百分点，扣1分，扣完为止。</w:t>
            </w:r>
          </w:p>
          <w:p>
            <w:pPr>
              <w:pStyle w:val="null3"/>
              <w:ind w:firstLine="400"/>
              <w:jc w:val="left"/>
            </w:pPr>
            <w:r>
              <w:rPr>
                <w:rFonts w:ascii="仿宋_GB2312" w:hAnsi="仿宋_GB2312" w:cs="仿宋_GB2312" w:eastAsia="仿宋_GB2312"/>
                <w:sz w:val="20"/>
                <w:color w:val="000000"/>
              </w:rPr>
              <w:t>4）会议费、培训费决算增长率(5分)。</w:t>
            </w:r>
          </w:p>
          <w:p>
            <w:pPr>
              <w:pStyle w:val="null3"/>
              <w:ind w:firstLine="400"/>
              <w:jc w:val="left"/>
            </w:pPr>
            <w:r>
              <w:rPr>
                <w:rFonts w:ascii="仿宋_GB2312" w:hAnsi="仿宋_GB2312" w:cs="仿宋_GB2312" w:eastAsia="仿宋_GB2312"/>
                <w:sz w:val="20"/>
                <w:color w:val="000000"/>
              </w:rPr>
              <w:t>会议费、培训费决算增长率</w:t>
            </w:r>
            <w:r>
              <w:rPr>
                <w:rFonts w:ascii="仿宋_GB2312" w:hAnsi="仿宋_GB2312" w:cs="仿宋_GB2312" w:eastAsia="仿宋_GB2312"/>
                <w:sz w:val="20"/>
                <w:color w:val="000000"/>
              </w:rPr>
              <w:t>=(本年会议费、培训费决算-上年会议费、培训费决算)/上年会议费、培训费决算</w:t>
            </w:r>
          </w:p>
          <w:p>
            <w:pPr>
              <w:pStyle w:val="null3"/>
              <w:ind w:firstLine="400"/>
              <w:jc w:val="left"/>
            </w:pPr>
            <w:r>
              <w:rPr>
                <w:rFonts w:ascii="仿宋_GB2312" w:hAnsi="仿宋_GB2312" w:cs="仿宋_GB2312" w:eastAsia="仿宋_GB2312"/>
                <w:sz w:val="20"/>
                <w:color w:val="000000"/>
              </w:rPr>
              <w:t>若会议费、培训费决算增长率高于省级机关平均增长率，每高出</w:t>
            </w:r>
            <w:r>
              <w:rPr>
                <w:rFonts w:ascii="仿宋_GB2312" w:hAnsi="仿宋_GB2312" w:cs="仿宋_GB2312" w:eastAsia="仿宋_GB2312"/>
                <w:sz w:val="20"/>
                <w:color w:val="000000"/>
              </w:rPr>
              <w:t>1个百分点，扣1分，扣完为止。</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5）资产管理情况(10分)</w:t>
            </w:r>
          </w:p>
          <w:p>
            <w:pPr>
              <w:pStyle w:val="null3"/>
              <w:ind w:firstLine="400"/>
              <w:jc w:val="left"/>
            </w:pPr>
            <w:r>
              <w:rPr>
                <w:rFonts w:ascii="仿宋_GB2312" w:hAnsi="仿宋_GB2312" w:cs="仿宋_GB2312" w:eastAsia="仿宋_GB2312"/>
                <w:sz w:val="20"/>
                <w:color w:val="000000"/>
              </w:rPr>
              <w:t>评估省级机关办公用房、办公设备及家具等资产的人均占有情况。</w:t>
            </w:r>
          </w:p>
          <w:p>
            <w:pPr>
              <w:pStyle w:val="null3"/>
              <w:ind w:firstLine="400"/>
              <w:jc w:val="left"/>
            </w:pPr>
            <w:r>
              <w:rPr>
                <w:rFonts w:ascii="仿宋_GB2312" w:hAnsi="仿宋_GB2312" w:cs="仿宋_GB2312" w:eastAsia="仿宋_GB2312"/>
                <w:sz w:val="20"/>
                <w:color w:val="000000"/>
              </w:rPr>
              <w:t>1）办公用房人均使用面积(5分)。</w:t>
            </w:r>
          </w:p>
          <w:p>
            <w:pPr>
              <w:pStyle w:val="null3"/>
              <w:ind w:firstLine="400"/>
              <w:jc w:val="left"/>
            </w:pPr>
            <w:r>
              <w:rPr>
                <w:rFonts w:ascii="仿宋_GB2312" w:hAnsi="仿宋_GB2312" w:cs="仿宋_GB2312" w:eastAsia="仿宋_GB2312"/>
                <w:sz w:val="20"/>
                <w:color w:val="000000"/>
              </w:rPr>
              <w:t>办公用房人均使用面积</w:t>
            </w:r>
            <w:r>
              <w:rPr>
                <w:rFonts w:ascii="仿宋_GB2312" w:hAnsi="仿宋_GB2312" w:cs="仿宋_GB2312" w:eastAsia="仿宋_GB2312"/>
                <w:sz w:val="20"/>
                <w:color w:val="000000"/>
              </w:rPr>
              <w:t>=办公用房使用面积/编制内实有人数</w:t>
            </w:r>
          </w:p>
          <w:p>
            <w:pPr>
              <w:pStyle w:val="null3"/>
              <w:ind w:firstLine="400"/>
              <w:jc w:val="left"/>
            </w:pPr>
            <w:r>
              <w:rPr>
                <w:rFonts w:ascii="仿宋_GB2312" w:hAnsi="仿宋_GB2312" w:cs="仿宋_GB2312" w:eastAsia="仿宋_GB2312"/>
                <w:sz w:val="20"/>
                <w:color w:val="000000"/>
              </w:rPr>
              <w:t>若办公用房人均使用面积超过省级机关平均水平，每超出</w:t>
            </w:r>
            <w:r>
              <w:rPr>
                <w:rFonts w:ascii="仿宋_GB2312" w:hAnsi="仿宋_GB2312" w:cs="仿宋_GB2312" w:eastAsia="仿宋_GB2312"/>
                <w:sz w:val="20"/>
                <w:color w:val="000000"/>
              </w:rPr>
              <w:t>1个百分点，扣1分，扣完为止。</w:t>
            </w:r>
          </w:p>
          <w:p>
            <w:pPr>
              <w:pStyle w:val="null3"/>
              <w:ind w:firstLine="400"/>
              <w:jc w:val="left"/>
            </w:pPr>
            <w:r>
              <w:rPr>
                <w:rFonts w:ascii="仿宋_GB2312" w:hAnsi="仿宋_GB2312" w:cs="仿宋_GB2312" w:eastAsia="仿宋_GB2312"/>
                <w:sz w:val="20"/>
                <w:color w:val="000000"/>
              </w:rPr>
              <w:t>2）通用办公设备及家具配比(5分)。</w:t>
            </w:r>
          </w:p>
          <w:p>
            <w:pPr>
              <w:pStyle w:val="null3"/>
              <w:ind w:firstLine="400"/>
              <w:jc w:val="left"/>
            </w:pPr>
            <w:r>
              <w:rPr>
                <w:rFonts w:ascii="仿宋_GB2312" w:hAnsi="仿宋_GB2312" w:cs="仿宋_GB2312" w:eastAsia="仿宋_GB2312"/>
                <w:sz w:val="20"/>
                <w:color w:val="000000"/>
              </w:rPr>
              <w:t>通用办公设备及家具配比</w:t>
            </w:r>
            <w:r>
              <w:rPr>
                <w:rFonts w:ascii="仿宋_GB2312" w:hAnsi="仿宋_GB2312" w:cs="仿宋_GB2312" w:eastAsia="仿宋_GB2312"/>
                <w:sz w:val="20"/>
                <w:color w:val="000000"/>
              </w:rPr>
              <w:t>=通用办公设备及家具数量/编制内实有人数</w:t>
            </w:r>
          </w:p>
          <w:p>
            <w:pPr>
              <w:pStyle w:val="null3"/>
              <w:ind w:firstLine="400"/>
              <w:jc w:val="left"/>
            </w:pPr>
            <w:r>
              <w:rPr>
                <w:rFonts w:ascii="仿宋_GB2312" w:hAnsi="仿宋_GB2312" w:cs="仿宋_GB2312" w:eastAsia="仿宋_GB2312"/>
                <w:sz w:val="20"/>
                <w:color w:val="000000"/>
              </w:rPr>
              <w:t>评估办公设备及家具范围为：便携式计算机、打印机、复印机、沙发、茶几。</w:t>
            </w:r>
          </w:p>
          <w:p>
            <w:pPr>
              <w:pStyle w:val="null3"/>
              <w:ind w:firstLine="400"/>
              <w:jc w:val="left"/>
            </w:pPr>
            <w:r>
              <w:rPr>
                <w:rFonts w:ascii="仿宋_GB2312" w:hAnsi="仿宋_GB2312" w:cs="仿宋_GB2312" w:eastAsia="仿宋_GB2312"/>
                <w:sz w:val="20"/>
                <w:color w:val="000000"/>
              </w:rPr>
              <w:t>出现一项办公设备及家具配比超过配置标准，扣</w:t>
            </w:r>
            <w:r>
              <w:rPr>
                <w:rFonts w:ascii="仿宋_GB2312" w:hAnsi="仿宋_GB2312" w:cs="仿宋_GB2312" w:eastAsia="仿宋_GB2312"/>
                <w:sz w:val="20"/>
                <w:color w:val="000000"/>
              </w:rPr>
              <w:t>1分，扣完为止。</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6）年底突击花钱及资金闲置情况(20分)</w:t>
            </w:r>
          </w:p>
          <w:p>
            <w:pPr>
              <w:pStyle w:val="null3"/>
              <w:ind w:firstLine="400"/>
              <w:jc w:val="left"/>
            </w:pPr>
            <w:r>
              <w:rPr>
                <w:rFonts w:ascii="仿宋_GB2312" w:hAnsi="仿宋_GB2312" w:cs="仿宋_GB2312" w:eastAsia="仿宋_GB2312"/>
                <w:sz w:val="20"/>
                <w:color w:val="000000"/>
              </w:rPr>
              <w:t>评估是否存在年底突击花钱以及存量资金二次沉淀情况。</w:t>
            </w:r>
          </w:p>
          <w:p>
            <w:pPr>
              <w:pStyle w:val="null3"/>
              <w:ind w:firstLine="400"/>
              <w:jc w:val="left"/>
            </w:pPr>
            <w:r>
              <w:rPr>
                <w:rFonts w:ascii="仿宋_GB2312" w:hAnsi="仿宋_GB2312" w:cs="仿宋_GB2312" w:eastAsia="仿宋_GB2312"/>
                <w:sz w:val="20"/>
                <w:color w:val="000000"/>
              </w:rPr>
              <w:t>1）年底突击花钱情况(10分)。</w:t>
            </w:r>
          </w:p>
          <w:p>
            <w:pPr>
              <w:pStyle w:val="null3"/>
              <w:ind w:firstLine="400"/>
              <w:jc w:val="left"/>
            </w:pPr>
            <w:r>
              <w:rPr>
                <w:rFonts w:ascii="仿宋_GB2312" w:hAnsi="仿宋_GB2312" w:cs="仿宋_GB2312" w:eastAsia="仿宋_GB2312"/>
                <w:sz w:val="20"/>
                <w:color w:val="000000"/>
              </w:rPr>
              <w:t>年底支出金额占比</w:t>
            </w:r>
            <w:r>
              <w:rPr>
                <w:rFonts w:ascii="仿宋_GB2312" w:hAnsi="仿宋_GB2312" w:cs="仿宋_GB2312" w:eastAsia="仿宋_GB2312"/>
                <w:sz w:val="20"/>
                <w:color w:val="000000"/>
              </w:rPr>
              <w:t>=后两个月(11、12月)支出执行数/全年支出执行数</w:t>
            </w:r>
          </w:p>
          <w:p>
            <w:pPr>
              <w:pStyle w:val="null3"/>
              <w:ind w:firstLine="400"/>
              <w:jc w:val="left"/>
            </w:pPr>
            <w:r>
              <w:rPr>
                <w:rFonts w:ascii="仿宋_GB2312" w:hAnsi="仿宋_GB2312" w:cs="仿宋_GB2312" w:eastAsia="仿宋_GB2312"/>
                <w:sz w:val="20"/>
                <w:color w:val="000000"/>
              </w:rPr>
              <w:t>若年底预算支出金额占比</w:t>
            </w:r>
            <w:r>
              <w:rPr>
                <w:rFonts w:ascii="仿宋_GB2312" w:hAnsi="仿宋_GB2312" w:cs="仿宋_GB2312" w:eastAsia="仿宋_GB2312"/>
                <w:sz w:val="20"/>
                <w:color w:val="000000"/>
              </w:rPr>
              <w:t>&gt;25%,每超出1个百分点，扣1分，扣完为止。</w:t>
            </w:r>
          </w:p>
          <w:p>
            <w:pPr>
              <w:pStyle w:val="null3"/>
              <w:ind w:firstLine="400"/>
              <w:jc w:val="left"/>
            </w:pPr>
            <w:r>
              <w:rPr>
                <w:rFonts w:ascii="仿宋_GB2312" w:hAnsi="仿宋_GB2312" w:cs="仿宋_GB2312" w:eastAsia="仿宋_GB2312"/>
                <w:sz w:val="20"/>
                <w:color w:val="000000"/>
              </w:rPr>
              <w:t>2）存量资金二次沉淀情况(10分)。</w:t>
            </w:r>
          </w:p>
          <w:p>
            <w:pPr>
              <w:pStyle w:val="null3"/>
              <w:ind w:firstLine="400"/>
              <w:jc w:val="left"/>
            </w:pPr>
            <w:r>
              <w:rPr>
                <w:rFonts w:ascii="仿宋_GB2312" w:hAnsi="仿宋_GB2312" w:cs="仿宋_GB2312" w:eastAsia="仿宋_GB2312"/>
                <w:sz w:val="20"/>
                <w:color w:val="000000"/>
              </w:rPr>
              <w:t>存量资金二次沉淀情况</w:t>
            </w:r>
            <w:r>
              <w:rPr>
                <w:rFonts w:ascii="仿宋_GB2312" w:hAnsi="仿宋_GB2312" w:cs="仿宋_GB2312" w:eastAsia="仿宋_GB2312"/>
                <w:sz w:val="20"/>
                <w:color w:val="000000"/>
              </w:rPr>
              <w:t>=上年结转资金9月底结余金额/结转资金总额</w:t>
            </w:r>
          </w:p>
          <w:p>
            <w:pPr>
              <w:pStyle w:val="null3"/>
              <w:ind w:firstLine="400"/>
              <w:jc w:val="left"/>
            </w:pPr>
            <w:r>
              <w:rPr>
                <w:rFonts w:ascii="仿宋_GB2312" w:hAnsi="仿宋_GB2312" w:cs="仿宋_GB2312" w:eastAsia="仿宋_GB2312"/>
                <w:sz w:val="20"/>
                <w:color w:val="000000"/>
              </w:rPr>
              <w:t>若</w:t>
            </w:r>
            <w:r>
              <w:rPr>
                <w:rFonts w:ascii="仿宋_GB2312" w:hAnsi="仿宋_GB2312" w:cs="仿宋_GB2312" w:eastAsia="仿宋_GB2312"/>
                <w:sz w:val="20"/>
                <w:color w:val="000000"/>
              </w:rPr>
              <w:t>0&lt;存量资金二次沉淀情况&lt;5%,扣3分；</w:t>
            </w:r>
          </w:p>
          <w:p>
            <w:pPr>
              <w:pStyle w:val="null3"/>
              <w:ind w:firstLine="400"/>
              <w:jc w:val="left"/>
            </w:pPr>
            <w:r>
              <w:rPr>
                <w:rFonts w:ascii="仿宋_GB2312" w:hAnsi="仿宋_GB2312" w:cs="仿宋_GB2312" w:eastAsia="仿宋_GB2312"/>
                <w:sz w:val="20"/>
                <w:color w:val="000000"/>
              </w:rPr>
              <w:t>若</w:t>
            </w:r>
            <w:r>
              <w:rPr>
                <w:rFonts w:ascii="仿宋_GB2312" w:hAnsi="仿宋_GB2312" w:cs="仿宋_GB2312" w:eastAsia="仿宋_GB2312"/>
                <w:sz w:val="20"/>
                <w:color w:val="000000"/>
              </w:rPr>
              <w:t>5%≤存量资金二次沉淀情况&lt;10%,扣6分；若存量资金二次沉淀情况≥10%,扣10分。</w:t>
            </w:r>
          </w:p>
          <w:p>
            <w:pPr>
              <w:pStyle w:val="null3"/>
              <w:jc w:val="left"/>
            </w:pPr>
            <w:r>
              <w:rPr>
                <w:rFonts w:ascii="仿宋_GB2312" w:hAnsi="仿宋_GB2312" w:cs="仿宋_GB2312" w:eastAsia="仿宋_GB2312"/>
                <w:sz w:val="20"/>
                <w:b/>
                <w:color w:val="000000"/>
              </w:rPr>
              <w:t>（二）</w:t>
            </w:r>
            <w:r>
              <w:rPr>
                <w:rFonts w:ascii="仿宋_GB2312" w:hAnsi="仿宋_GB2312" w:cs="仿宋_GB2312" w:eastAsia="仿宋_GB2312"/>
                <w:sz w:val="20"/>
                <w:b/>
                <w:color w:val="000000"/>
              </w:rPr>
              <w:t>功能需求</w:t>
            </w:r>
          </w:p>
          <w:p>
            <w:pPr>
              <w:pStyle w:val="null3"/>
              <w:ind w:firstLine="400"/>
              <w:jc w:val="left"/>
            </w:pPr>
            <w:r>
              <w:rPr>
                <w:rFonts w:ascii="仿宋_GB2312" w:hAnsi="仿宋_GB2312" w:cs="仿宋_GB2312" w:eastAsia="仿宋_GB2312"/>
                <w:sz w:val="20"/>
                <w:color w:val="000000"/>
              </w:rPr>
              <w:t>为了支撑数据的自动计算、查询分析及结果展示，通过信息化手段提升评估工作的效率和准确性，建设</w:t>
            </w:r>
            <w:r>
              <w:rPr>
                <w:rFonts w:ascii="仿宋_GB2312" w:hAnsi="仿宋_GB2312" w:cs="仿宋_GB2312" w:eastAsia="仿宋_GB2312"/>
                <w:sz w:val="20"/>
                <w:color w:val="000000"/>
              </w:rPr>
              <w:t>“过紧日子”评估分析系统，具体功能需求如下：</w:t>
            </w:r>
          </w:p>
          <w:p>
            <w:pPr>
              <w:pStyle w:val="null3"/>
              <w:ind w:firstLine="400"/>
              <w:jc w:val="left"/>
            </w:pPr>
            <w:r>
              <w:rPr>
                <w:rFonts w:ascii="仿宋_GB2312" w:hAnsi="仿宋_GB2312" w:cs="仿宋_GB2312" w:eastAsia="仿宋_GB2312"/>
                <w:sz w:val="20"/>
                <w:color w:val="000000"/>
              </w:rPr>
              <w:t>1.数据录入与管理</w:t>
            </w:r>
          </w:p>
          <w:p>
            <w:pPr>
              <w:pStyle w:val="null3"/>
              <w:ind w:firstLine="400"/>
              <w:jc w:val="left"/>
            </w:pPr>
            <w:r>
              <w:rPr>
                <w:rFonts w:ascii="仿宋_GB2312" w:hAnsi="仿宋_GB2312" w:cs="仿宋_GB2312" w:eastAsia="仿宋_GB2312"/>
                <w:sz w:val="20"/>
                <w:color w:val="000000"/>
              </w:rPr>
              <w:t>支持手工录入和结构化表单录入，提供导入向导，对关键字段（如实有人数、预算数、决算数、支出科目等）进行必填与格式校验。</w:t>
            </w:r>
          </w:p>
          <w:p>
            <w:pPr>
              <w:pStyle w:val="null3"/>
              <w:ind w:firstLine="400"/>
              <w:jc w:val="left"/>
            </w:pPr>
            <w:r>
              <w:rPr>
                <w:rFonts w:ascii="仿宋_GB2312" w:hAnsi="仿宋_GB2312" w:cs="仿宋_GB2312" w:eastAsia="仿宋_GB2312"/>
                <w:sz w:val="20"/>
                <w:color w:val="000000"/>
              </w:rPr>
              <w:t>2.批量导入/导出</w:t>
            </w:r>
          </w:p>
          <w:p>
            <w:pPr>
              <w:pStyle w:val="null3"/>
              <w:ind w:firstLine="400"/>
              <w:jc w:val="left"/>
            </w:pPr>
            <w:r>
              <w:rPr>
                <w:rFonts w:ascii="仿宋_GB2312" w:hAnsi="仿宋_GB2312" w:cs="仿宋_GB2312" w:eastAsia="仿宋_GB2312"/>
                <w:sz w:val="20"/>
                <w:color w:val="000000"/>
              </w:rPr>
              <w:t>支持按按指标批量导入</w:t>
            </w:r>
            <w:r>
              <w:rPr>
                <w:rFonts w:ascii="仿宋_GB2312" w:hAnsi="仿宋_GB2312" w:cs="仿宋_GB2312" w:eastAsia="仿宋_GB2312"/>
                <w:sz w:val="20"/>
                <w:color w:val="000000"/>
              </w:rPr>
              <w:t>Excel/CSV格式数据，导入时自动校验格式与完整性；支持将分析结果和明细数据导出为Excel表格。</w:t>
            </w:r>
          </w:p>
          <w:p>
            <w:pPr>
              <w:pStyle w:val="null3"/>
              <w:ind w:firstLine="400"/>
              <w:jc w:val="left"/>
            </w:pPr>
            <w:r>
              <w:rPr>
                <w:rFonts w:ascii="仿宋_GB2312" w:hAnsi="仿宋_GB2312" w:cs="仿宋_GB2312" w:eastAsia="仿宋_GB2312"/>
                <w:sz w:val="20"/>
                <w:color w:val="000000"/>
              </w:rPr>
              <w:t>3.自动计算与比对</w:t>
            </w:r>
          </w:p>
          <w:p>
            <w:pPr>
              <w:pStyle w:val="null3"/>
              <w:ind w:firstLine="400"/>
              <w:jc w:val="left"/>
            </w:pPr>
            <w:r>
              <w:rPr>
                <w:rFonts w:ascii="仿宋_GB2312" w:hAnsi="仿宋_GB2312" w:cs="仿宋_GB2312" w:eastAsia="仿宋_GB2312"/>
                <w:sz w:val="20"/>
                <w:color w:val="000000"/>
              </w:rPr>
              <w:t>系统自动完成纵向（本年</w:t>
            </w:r>
            <w:r>
              <w:rPr>
                <w:rFonts w:ascii="仿宋_GB2312" w:hAnsi="仿宋_GB2312" w:cs="仿宋_GB2312" w:eastAsia="仿宋_GB2312"/>
                <w:sz w:val="20"/>
                <w:color w:val="000000"/>
              </w:rPr>
              <w:t>vs上年）和横向（本机关vs参与评估机关平均值）指标计算并自动生成评分。</w:t>
            </w:r>
          </w:p>
          <w:p>
            <w:pPr>
              <w:pStyle w:val="null3"/>
              <w:ind w:firstLine="400"/>
              <w:jc w:val="left"/>
            </w:pPr>
            <w:r>
              <w:rPr>
                <w:rFonts w:ascii="仿宋_GB2312" w:hAnsi="仿宋_GB2312" w:cs="仿宋_GB2312" w:eastAsia="仿宋_GB2312"/>
                <w:sz w:val="20"/>
                <w:color w:val="000000"/>
              </w:rPr>
              <w:t>4.可视化展示</w:t>
            </w:r>
          </w:p>
          <w:p>
            <w:pPr>
              <w:pStyle w:val="null3"/>
              <w:ind w:firstLine="400"/>
              <w:jc w:val="left"/>
            </w:pPr>
            <w:r>
              <w:rPr>
                <w:rFonts w:ascii="仿宋_GB2312" w:hAnsi="仿宋_GB2312" w:cs="仿宋_GB2312" w:eastAsia="仿宋_GB2312"/>
                <w:sz w:val="20"/>
                <w:color w:val="000000"/>
              </w:rPr>
              <w:t>实现可视化图表展示，支持按单位、按指标、按时间区间的多维筛选与钻取（从汇总到明细）。</w:t>
            </w:r>
          </w:p>
          <w:p>
            <w:pPr>
              <w:pStyle w:val="null3"/>
              <w:ind w:firstLine="400"/>
              <w:jc w:val="left"/>
            </w:pPr>
            <w:r>
              <w:rPr>
                <w:rFonts w:ascii="仿宋_GB2312" w:hAnsi="仿宋_GB2312" w:cs="仿宋_GB2312" w:eastAsia="仿宋_GB2312"/>
                <w:sz w:val="20"/>
                <w:color w:val="000000"/>
              </w:rPr>
              <w:t>5.报表与模板</w:t>
            </w:r>
          </w:p>
          <w:p>
            <w:pPr>
              <w:pStyle w:val="null3"/>
              <w:ind w:firstLine="400"/>
              <w:jc w:val="left"/>
            </w:pPr>
            <w:r>
              <w:rPr>
                <w:rFonts w:ascii="仿宋_GB2312" w:hAnsi="仿宋_GB2312" w:cs="仿宋_GB2312" w:eastAsia="仿宋_GB2312"/>
                <w:sz w:val="20"/>
                <w:color w:val="000000"/>
              </w:rPr>
              <w:t>内置各类报表模板（指标汇总、扣分明细、单位对比、年度变化等），支持按需自定义报表列项并保存为模板。</w:t>
            </w:r>
          </w:p>
          <w:p>
            <w:pPr>
              <w:pStyle w:val="null3"/>
              <w:ind w:firstLine="400"/>
              <w:jc w:val="left"/>
            </w:pPr>
            <w:r>
              <w:rPr>
                <w:rFonts w:ascii="仿宋_GB2312" w:hAnsi="仿宋_GB2312" w:cs="仿宋_GB2312" w:eastAsia="仿宋_GB2312"/>
                <w:sz w:val="20"/>
                <w:color w:val="000000"/>
              </w:rPr>
              <w:t>省级机关</w:t>
            </w:r>
            <w:r>
              <w:rPr>
                <w:rFonts w:ascii="仿宋_GB2312" w:hAnsi="仿宋_GB2312" w:cs="仿宋_GB2312" w:eastAsia="仿宋_GB2312"/>
                <w:sz w:val="20"/>
                <w:color w:val="000000"/>
              </w:rPr>
              <w:t>“过紧日子”评估分析</w:t>
            </w:r>
            <w:r>
              <w:rPr>
                <w:rFonts w:ascii="仿宋_GB2312" w:hAnsi="仿宋_GB2312" w:cs="仿宋_GB2312" w:eastAsia="仿宋_GB2312"/>
                <w:sz w:val="20"/>
                <w:color w:val="000000"/>
              </w:rPr>
              <w:t>服务</w:t>
            </w:r>
            <w:r>
              <w:rPr>
                <w:rFonts w:ascii="仿宋_GB2312" w:hAnsi="仿宋_GB2312" w:cs="仿宋_GB2312" w:eastAsia="仿宋_GB2312"/>
                <w:sz w:val="20"/>
                <w:color w:val="000000"/>
              </w:rPr>
              <w:t>除需完成上述需求外，还需完成因业务变化和需要产生的其他需求。</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三</w:t>
            </w:r>
            <w:r>
              <w:rPr>
                <w:rFonts w:ascii="仿宋_GB2312" w:hAnsi="仿宋_GB2312" w:cs="仿宋_GB2312" w:eastAsia="仿宋_GB2312"/>
                <w:sz w:val="20"/>
                <w:b/>
                <w:color w:val="000000"/>
              </w:rPr>
              <w:t>）周期需求</w:t>
            </w:r>
          </w:p>
          <w:p>
            <w:pPr>
              <w:pStyle w:val="null3"/>
              <w:jc w:val="left"/>
            </w:pPr>
            <w:r>
              <w:rPr>
                <w:rFonts w:ascii="仿宋_GB2312" w:hAnsi="仿宋_GB2312" w:cs="仿宋_GB2312" w:eastAsia="仿宋_GB2312"/>
                <w:sz w:val="20"/>
                <w:b/>
                <w:color w:val="000000"/>
              </w:rPr>
              <w:t>本项目的服务周期为</w:t>
            </w:r>
            <w:r>
              <w:rPr>
                <w:rFonts w:ascii="仿宋_GB2312" w:hAnsi="仿宋_GB2312" w:cs="仿宋_GB2312" w:eastAsia="仿宋_GB2312"/>
                <w:sz w:val="20"/>
                <w:b/>
                <w:color w:val="000000"/>
              </w:rPr>
              <w:t>12个月</w:t>
            </w:r>
            <w:r>
              <w:rPr>
                <w:rFonts w:ascii="仿宋_GB2312" w:hAnsi="仿宋_GB2312" w:cs="仿宋_GB2312" w:eastAsia="仿宋_GB2312"/>
                <w:sz w:val="20"/>
                <w:b/>
                <w:color w:val="000000"/>
              </w:rPr>
              <w:t>。</w:t>
            </w:r>
          </w:p>
          <w:p>
            <w:pPr>
              <w:pStyle w:val="null3"/>
              <w:jc w:val="left"/>
            </w:pPr>
            <w:r>
              <w:rPr>
                <w:rFonts w:ascii="仿宋_GB2312" w:hAnsi="仿宋_GB2312" w:cs="仿宋_GB2312" w:eastAsia="仿宋_GB2312"/>
                <w:sz w:val="20"/>
                <w:b/>
                <w:color w:val="000000"/>
              </w:rPr>
              <w:t>第三部分：本项目两个部分的总体</w:t>
            </w:r>
            <w:r>
              <w:rPr>
                <w:rFonts w:ascii="仿宋_GB2312" w:hAnsi="仿宋_GB2312" w:cs="仿宋_GB2312" w:eastAsia="仿宋_GB2312"/>
                <w:sz w:val="20"/>
                <w:b/>
                <w:color w:val="000000"/>
              </w:rPr>
              <w:t>绩效目标</w:t>
            </w:r>
            <w:r>
              <w:rPr>
                <w:rFonts w:ascii="仿宋_GB2312" w:hAnsi="仿宋_GB2312" w:cs="仿宋_GB2312" w:eastAsia="仿宋_GB2312"/>
                <w:sz w:val="20"/>
                <w:b/>
                <w:color w:val="000000"/>
              </w:rPr>
              <w:t>如下表：</w:t>
            </w:r>
          </w:p>
          <w:tbl>
            <w:tblPr>
              <w:tblBorders>
                <w:top w:val="none" w:color="000000" w:sz="4"/>
                <w:left w:val="none" w:color="000000" w:sz="4"/>
                <w:bottom w:val="none" w:color="000000" w:sz="4"/>
                <w:right w:val="none" w:color="000000" w:sz="4"/>
                <w:insideH w:val="none"/>
                <w:insideV w:val="none"/>
              </w:tblBorders>
            </w:tblPr>
            <w:tblGrid>
              <w:gridCol w:w="342"/>
              <w:gridCol w:w="388"/>
              <w:gridCol w:w="337"/>
              <w:gridCol w:w="975"/>
              <w:gridCol w:w="494"/>
            </w:tblGrid>
            <w:tr>
              <w:tc>
                <w:tcPr>
                  <w:tcW w:type="dxa" w:w="73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项目名称</w:t>
                  </w:r>
                </w:p>
              </w:tc>
              <w:tc>
                <w:tcPr>
                  <w:tcW w:type="dxa" w:w="180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2025年财政大数据技术支撑服务项目（二）</w:t>
                  </w:r>
                </w:p>
              </w:tc>
            </w:tr>
            <w:tr>
              <w:tc>
                <w:tcPr>
                  <w:tcW w:type="dxa" w:w="7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主管部门</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大数据处</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实施期限</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w:t>
                  </w:r>
                  <w:r>
                    <w:rPr>
                      <w:rFonts w:ascii="仿宋_GB2312" w:hAnsi="仿宋_GB2312" w:cs="仿宋_GB2312" w:eastAsia="仿宋_GB2312"/>
                      <w:sz w:val="20"/>
                      <w:color w:val="000000"/>
                    </w:rPr>
                    <w:t>个月　</w:t>
                  </w:r>
                </w:p>
              </w:tc>
            </w:tr>
            <w:tr>
              <w:tc>
                <w:tcPr>
                  <w:tcW w:type="dxa" w:w="7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资金金额（万元）</w:t>
                  </w:r>
                </w:p>
              </w:tc>
              <w:tc>
                <w:tcPr>
                  <w:tcW w:type="dxa" w:w="180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4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年度绩</w:t>
                  </w:r>
                </w:p>
                <w:p>
                  <w:pPr>
                    <w:pStyle w:val="null3"/>
                    <w:jc w:val="right"/>
                  </w:pPr>
                  <w:r>
                    <w:rPr>
                      <w:rFonts w:ascii="仿宋_GB2312" w:hAnsi="仿宋_GB2312" w:cs="仿宋_GB2312" w:eastAsia="仿宋_GB2312"/>
                      <w:sz w:val="20"/>
                      <w:color w:val="000000"/>
                    </w:rPr>
                    <w:t>效指标</w:t>
                  </w: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一级指标</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二级指标</w:t>
                  </w:r>
                </w:p>
              </w:tc>
              <w:tc>
                <w:tcPr>
                  <w:tcW w:type="dxa" w:w="9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三级指标</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指标值</w:t>
                  </w:r>
                </w:p>
              </w:tc>
            </w:tr>
            <w:tr>
              <w:tc>
                <w:tcPr>
                  <w:tcW w:type="dxa" w:w="342"/>
                  <w:vMerge/>
                  <w:tcBorders>
                    <w:top w:val="none" w:color="000000" w:sz="4"/>
                    <w:left w:val="singl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成本指标</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经济成本</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w:t>
                  </w:r>
                  <w:r>
                    <w:rPr>
                      <w:rFonts w:ascii="仿宋_GB2312" w:hAnsi="仿宋_GB2312" w:cs="仿宋_GB2312" w:eastAsia="仿宋_GB2312"/>
                      <w:sz w:val="20"/>
                      <w:color w:val="000000"/>
                    </w:rPr>
                    <w:t>预算</w:t>
                  </w:r>
                  <w:r>
                    <w:rPr>
                      <w:rFonts w:ascii="仿宋_GB2312" w:hAnsi="仿宋_GB2312" w:cs="仿宋_GB2312" w:eastAsia="仿宋_GB2312"/>
                      <w:sz w:val="20"/>
                      <w:color w:val="000000"/>
                    </w:rPr>
                    <w:t>概率（</w:t>
                  </w:r>
                  <w:r>
                    <w:rPr>
                      <w:rFonts w:ascii="仿宋_GB2312" w:hAnsi="仿宋_GB2312" w:cs="仿宋_GB2312" w:eastAsia="仿宋_GB2312"/>
                      <w:sz w:val="20"/>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0</w:t>
                  </w:r>
                </w:p>
              </w:tc>
            </w:tr>
            <w:tr>
              <w:tc>
                <w:tcPr>
                  <w:tcW w:type="dxa" w:w="342"/>
                  <w:vMerge/>
                  <w:tcBorders>
                    <w:top w:val="none" w:color="000000" w:sz="4"/>
                    <w:left w:val="single" w:color="000000" w:sz="4"/>
                    <w:bottom w:val="single" w:color="000000" w:sz="4"/>
                    <w:right w:val="single" w:color="000000" w:sz="4"/>
                  </w:tcBorders>
                </w:tcPr>
                <w:p/>
              </w:tc>
              <w:tc>
                <w:tcPr>
                  <w:tcW w:type="dxa" w:w="3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产出指标</w:t>
                  </w:r>
                </w:p>
              </w:tc>
              <w:tc>
                <w:tcPr>
                  <w:tcW w:type="dxa" w:w="33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数量指标</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采集数据：省</w:t>
                  </w:r>
                  <w:r>
                    <w:rPr>
                      <w:rFonts w:ascii="仿宋_GB2312" w:hAnsi="仿宋_GB2312" w:cs="仿宋_GB2312" w:eastAsia="仿宋_GB2312"/>
                      <w:sz w:val="20"/>
                      <w:color w:val="000000"/>
                    </w:rPr>
                    <w:t>、</w:t>
                  </w:r>
                  <w:r>
                    <w:rPr>
                      <w:rFonts w:ascii="仿宋_GB2312" w:hAnsi="仿宋_GB2312" w:cs="仿宋_GB2312" w:eastAsia="仿宋_GB2312"/>
                      <w:sz w:val="20"/>
                      <w:color w:val="000000"/>
                    </w:rPr>
                    <w:t>市</w:t>
                  </w:r>
                  <w:r>
                    <w:rPr>
                      <w:rFonts w:ascii="仿宋_GB2312" w:hAnsi="仿宋_GB2312" w:cs="仿宋_GB2312" w:eastAsia="仿宋_GB2312"/>
                      <w:sz w:val="20"/>
                      <w:color w:val="000000"/>
                    </w:rPr>
                    <w:t>、</w:t>
                  </w:r>
                  <w:r>
                    <w:rPr>
                      <w:rFonts w:ascii="仿宋_GB2312" w:hAnsi="仿宋_GB2312" w:cs="仿宋_GB2312" w:eastAsia="仿宋_GB2312"/>
                      <w:sz w:val="20"/>
                      <w:color w:val="000000"/>
                    </w:rPr>
                    <w:t>县</w:t>
                  </w:r>
                  <w:r>
                    <w:rPr>
                      <w:rFonts w:ascii="仿宋_GB2312" w:hAnsi="仿宋_GB2312" w:cs="仿宋_GB2312" w:eastAsia="仿宋_GB2312"/>
                      <w:sz w:val="20"/>
                      <w:color w:val="000000"/>
                    </w:rPr>
                    <w:t>三</w:t>
                  </w:r>
                  <w:r>
                    <w:rPr>
                      <w:rFonts w:ascii="仿宋_GB2312" w:hAnsi="仿宋_GB2312" w:cs="仿宋_GB2312" w:eastAsia="仿宋_GB2312"/>
                      <w:sz w:val="20"/>
                      <w:color w:val="000000"/>
                    </w:rPr>
                    <w:t>级财政</w:t>
                  </w:r>
                  <w:r>
                    <w:rPr>
                      <w:rFonts w:ascii="仿宋_GB2312" w:hAnsi="仿宋_GB2312" w:cs="仿宋_GB2312" w:eastAsia="仿宋_GB2312"/>
                      <w:sz w:val="20"/>
                      <w:color w:val="000000"/>
                    </w:rPr>
                    <w:t>区划</w:t>
                  </w:r>
                  <w:r>
                    <w:rPr>
                      <w:rFonts w:ascii="仿宋_GB2312" w:hAnsi="仿宋_GB2312" w:cs="仿宋_GB2312" w:eastAsia="仿宋_GB2312"/>
                      <w:sz w:val="20"/>
                      <w:color w:val="000000"/>
                    </w:rPr>
                    <w:t>数量</w:t>
                  </w:r>
                  <w:r>
                    <w:rPr>
                      <w:rFonts w:ascii="仿宋_GB2312" w:hAnsi="仿宋_GB2312" w:cs="仿宋_GB2312" w:eastAsia="仿宋_GB2312"/>
                      <w:sz w:val="20"/>
                      <w:color w:val="000000"/>
                    </w:rPr>
                    <w:t>（</w:t>
                  </w:r>
                  <w:r>
                    <w:rPr>
                      <w:rFonts w:ascii="仿宋_GB2312" w:hAnsi="仿宋_GB2312" w:cs="仿宋_GB2312" w:eastAsia="仿宋_GB2312"/>
                      <w:sz w:val="20"/>
                      <w:color w:val="000000"/>
                    </w:rPr>
                    <w:t>财力评估</w:t>
                  </w:r>
                  <w:r>
                    <w:rPr>
                      <w:rFonts w:ascii="仿宋_GB2312" w:hAnsi="仿宋_GB2312" w:cs="仿宋_GB2312" w:eastAsia="仿宋_GB2312"/>
                      <w:sz w:val="20"/>
                      <w:color w:val="000000"/>
                    </w:rPr>
                    <w:t>、</w:t>
                  </w:r>
                  <w:r>
                    <w:rPr>
                      <w:rFonts w:ascii="仿宋_GB2312" w:hAnsi="仿宋_GB2312" w:cs="仿宋_GB2312" w:eastAsia="仿宋_GB2312"/>
                      <w:sz w:val="20"/>
                      <w:color w:val="000000"/>
                    </w:rPr>
                    <w:t>政府投资基金管理</w:t>
                  </w:r>
                  <w:r>
                    <w:rPr>
                      <w:rFonts w:ascii="仿宋_GB2312" w:hAnsi="仿宋_GB2312" w:cs="仿宋_GB2312" w:eastAsia="仿宋_GB2312"/>
                      <w:sz w:val="20"/>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42</w:t>
                  </w:r>
                </w:p>
                <w:p>
                  <w:pPr>
                    <w:pStyle w:val="null3"/>
                    <w:jc w:val="left"/>
                  </w:pPr>
                  <w:r>
                    <w:rPr>
                      <w:rFonts w:ascii="仿宋_GB2312" w:hAnsi="仿宋_GB2312" w:cs="仿宋_GB2312" w:eastAsia="仿宋_GB2312"/>
                      <w:sz w:val="20"/>
                      <w:color w:val="000000"/>
                    </w:rPr>
                    <w:t>（按当前现有全省财政区划计算）</w:t>
                  </w:r>
                </w:p>
              </w:tc>
            </w:tr>
            <w:tr>
              <w:tc>
                <w:tcPr>
                  <w:tcW w:type="dxa" w:w="342"/>
                  <w:vMerge/>
                  <w:tcBorders>
                    <w:top w:val="none" w:color="000000" w:sz="4"/>
                    <w:left w:val="singl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non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采集数据：省本级部分一级预算单位数量（</w:t>
                  </w:r>
                  <w:r>
                    <w:rPr>
                      <w:rFonts w:ascii="仿宋_GB2312" w:hAnsi="仿宋_GB2312" w:cs="仿宋_GB2312" w:eastAsia="仿宋_GB2312"/>
                      <w:sz w:val="20"/>
                      <w:color w:val="000000"/>
                    </w:rPr>
                    <w:t>“过紧日子”评估分析）</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107</w:t>
                  </w:r>
                </w:p>
              </w:tc>
            </w:tr>
            <w:tr>
              <w:tc>
                <w:tcPr>
                  <w:tcW w:type="dxa" w:w="342"/>
                  <w:vMerge/>
                  <w:tcBorders>
                    <w:top w:val="none" w:color="000000" w:sz="4"/>
                    <w:left w:val="singl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non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培训（参会）：人次</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20</w:t>
                  </w:r>
                </w:p>
              </w:tc>
            </w:tr>
            <w:tr>
              <w:tc>
                <w:tcPr>
                  <w:tcW w:type="dxa" w:w="342"/>
                  <w:vMerge/>
                  <w:tcBorders>
                    <w:top w:val="none" w:color="000000" w:sz="4"/>
                    <w:left w:val="singl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33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质量指标</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系统验收合格率（</w:t>
                  </w:r>
                  <w:r>
                    <w:rPr>
                      <w:rFonts w:ascii="仿宋_GB2312" w:hAnsi="仿宋_GB2312" w:cs="仿宋_GB2312" w:eastAsia="仿宋_GB2312"/>
                      <w:sz w:val="20"/>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8</w:t>
                  </w:r>
                </w:p>
              </w:tc>
            </w:tr>
            <w:tr>
              <w:tc>
                <w:tcPr>
                  <w:tcW w:type="dxa" w:w="342"/>
                  <w:vMerge/>
                  <w:tcBorders>
                    <w:top w:val="none" w:color="000000" w:sz="4"/>
                    <w:left w:val="singl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non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系统故障率</w:t>
                  </w:r>
                  <w:r>
                    <w:rPr>
                      <w:rFonts w:ascii="仿宋_GB2312" w:hAnsi="仿宋_GB2312" w:cs="仿宋_GB2312" w:eastAsia="仿宋_GB2312"/>
                      <w:sz w:val="20"/>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r>
            <w:tr>
              <w:tc>
                <w:tcPr>
                  <w:tcW w:type="dxa" w:w="342"/>
                  <w:vMerge/>
                  <w:tcBorders>
                    <w:top w:val="none" w:color="000000" w:sz="4"/>
                    <w:left w:val="singl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non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数据准确率（</w:t>
                  </w:r>
                  <w:r>
                    <w:rPr>
                      <w:rFonts w:ascii="仿宋_GB2312" w:hAnsi="仿宋_GB2312" w:cs="仿宋_GB2312" w:eastAsia="仿宋_GB2312"/>
                      <w:sz w:val="20"/>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w:t>
                  </w:r>
                </w:p>
              </w:tc>
            </w:tr>
            <w:tr>
              <w:tc>
                <w:tcPr>
                  <w:tcW w:type="dxa" w:w="342"/>
                  <w:vMerge/>
                  <w:tcBorders>
                    <w:top w:val="none" w:color="000000" w:sz="4"/>
                    <w:left w:val="singl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33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时效指标</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系统故障修复处理时间：</w:t>
                  </w:r>
                  <w:r>
                    <w:rPr>
                      <w:rFonts w:ascii="仿宋_GB2312" w:hAnsi="仿宋_GB2312" w:cs="仿宋_GB2312" w:eastAsia="仿宋_GB2312"/>
                      <w:sz w:val="20"/>
                      <w:color w:val="000000"/>
                    </w:rPr>
                    <w:t>(小时)</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r>
            <w:tr>
              <w:tc>
                <w:tcPr>
                  <w:tcW w:type="dxa" w:w="342"/>
                  <w:vMerge/>
                  <w:tcBorders>
                    <w:top w:val="none" w:color="000000" w:sz="4"/>
                    <w:left w:val="singl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non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系统运行维护响应时间：</w:t>
                  </w:r>
                  <w:r>
                    <w:rPr>
                      <w:rFonts w:ascii="仿宋_GB2312" w:hAnsi="仿宋_GB2312" w:cs="仿宋_GB2312" w:eastAsia="仿宋_GB2312"/>
                      <w:sz w:val="20"/>
                      <w:color w:val="000000"/>
                    </w:rPr>
                    <w:t>(分钟)</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r>
            <w:tr>
              <w:tc>
                <w:tcPr>
                  <w:tcW w:type="dxa" w:w="342"/>
                  <w:vMerge/>
                  <w:tcBorders>
                    <w:top w:val="none" w:color="000000" w:sz="4"/>
                    <w:left w:val="single" w:color="000000" w:sz="4"/>
                    <w:bottom w:val="single" w:color="000000" w:sz="4"/>
                    <w:right w:val="single" w:color="000000" w:sz="4"/>
                  </w:tcBorders>
                </w:tcPr>
                <w:p/>
              </w:tc>
              <w:tc>
                <w:tcPr>
                  <w:tcW w:type="dxa" w:w="3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效益指标</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社会效益</w:t>
                  </w:r>
                </w:p>
                <w:p>
                  <w:pPr>
                    <w:pStyle w:val="null3"/>
                    <w:jc w:val="center"/>
                  </w:pPr>
                  <w:r>
                    <w:rPr>
                      <w:rFonts w:ascii="仿宋_GB2312" w:hAnsi="仿宋_GB2312" w:cs="仿宋_GB2312" w:eastAsia="仿宋_GB2312"/>
                      <w:sz w:val="20"/>
                      <w:color w:val="000000"/>
                    </w:rPr>
                    <w:t>指标</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工作流程时限：（小时）</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w:t>
                  </w:r>
                </w:p>
              </w:tc>
            </w:tr>
            <w:tr>
              <w:tc>
                <w:tcPr>
                  <w:tcW w:type="dxa" w:w="342"/>
                  <w:vMerge/>
                  <w:tcBorders>
                    <w:top w:val="none" w:color="000000" w:sz="4"/>
                    <w:left w:val="singl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33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可持续</w:t>
                  </w:r>
                </w:p>
                <w:p>
                  <w:pPr>
                    <w:pStyle w:val="null3"/>
                    <w:jc w:val="center"/>
                  </w:pPr>
                  <w:r>
                    <w:rPr>
                      <w:rFonts w:ascii="仿宋_GB2312" w:hAnsi="仿宋_GB2312" w:cs="仿宋_GB2312" w:eastAsia="仿宋_GB2312"/>
                      <w:sz w:val="20"/>
                      <w:color w:val="000000"/>
                    </w:rPr>
                    <w:t>影响指标</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系统正常使用年限（年）</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w:t>
                  </w:r>
                </w:p>
              </w:tc>
            </w:tr>
            <w:tr>
              <w:tc>
                <w:tcPr>
                  <w:tcW w:type="dxa" w:w="342"/>
                  <w:vMerge/>
                  <w:tcBorders>
                    <w:top w:val="none" w:color="000000" w:sz="4"/>
                    <w:left w:val="single" w:color="000000" w:sz="4"/>
                    <w:bottom w:val="single" w:color="000000" w:sz="4"/>
                    <w:right w:val="single" w:color="000000" w:sz="4"/>
                  </w:tcBorders>
                </w:tcPr>
                <w:p/>
              </w:tc>
              <w:tc>
                <w:tcPr>
                  <w:tcW w:type="dxa" w:w="388"/>
                  <w:vMerge/>
                  <w:tcBorders>
                    <w:top w:val="none" w:color="000000" w:sz="4"/>
                    <w:left w:val="none" w:color="000000" w:sz="4"/>
                    <w:bottom w:val="single" w:color="000000" w:sz="4"/>
                    <w:right w:val="single" w:color="000000" w:sz="4"/>
                  </w:tcBorders>
                </w:tcPr>
                <w:p/>
              </w:tc>
              <w:tc>
                <w:tcPr>
                  <w:tcW w:type="dxa" w:w="337"/>
                  <w:vMerge/>
                  <w:tcBorders>
                    <w:top w:val="none" w:color="000000" w:sz="4"/>
                    <w:left w:val="none" w:color="000000" w:sz="4"/>
                    <w:bottom w:val="none" w:color="000000" w:sz="4"/>
                    <w:right w:val="single" w:color="000000" w:sz="4"/>
                  </w:tcBorders>
                </w:tcP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保存数据年度（年）</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w:t>
                  </w:r>
                </w:p>
              </w:tc>
            </w:tr>
            <w:tr>
              <w:tc>
                <w:tcPr>
                  <w:tcW w:type="dxa" w:w="342"/>
                  <w:vMerge/>
                  <w:tcBorders>
                    <w:top w:val="none" w:color="000000" w:sz="4"/>
                    <w:left w:val="single" w:color="000000" w:sz="4"/>
                    <w:bottom w:val="single" w:color="000000" w:sz="4"/>
                    <w:right w:val="single" w:color="000000" w:sz="4"/>
                  </w:tcBorders>
                </w:tcPr>
                <w:p/>
              </w:tc>
              <w:tc>
                <w:tcPr>
                  <w:tcW w:type="dxa" w:w="3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满意度指标</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服务对象满意度指标</w:t>
                  </w:r>
                </w:p>
              </w:tc>
              <w:tc>
                <w:tcPr>
                  <w:tcW w:type="dxa" w:w="9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使用人员满意度（</w:t>
                  </w:r>
                  <w:r>
                    <w:rPr>
                      <w:rFonts w:ascii="仿宋_GB2312" w:hAnsi="仿宋_GB2312" w:cs="仿宋_GB2312" w:eastAsia="仿宋_GB2312"/>
                      <w:sz w:val="20"/>
                      <w:color w:val="000000"/>
                    </w:rPr>
                    <w:t>%）</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≥95</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陕西省财政厅指定地点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首期款以甲方财政资金实际到位且相关运维（服务）准备工作完成后，监理单位签发开工令，乙方书面提出支付申请函及与拟支付金额等额的符合甲方财务管理要求的相应发票，甲方确认后启动首期款支付流程</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本项目服务期满，且经甲方评价后 个工作日内，依据甲方服务评价结果或结算审计结果（如有）确认的金额，乙方书面提出支付申请函及与拟支付金额等额的符合甲方财务管理要求的相应发票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采购标的对应的中小企业划分标准所属行业为软件和信息技术服务业。软件和信息技术服务业的划型标准为：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3.4.2本项目非专门面向中小企业采购。 3.4.3需要落实的政府采购政策：（1）《国务院办公厅关于建立政府强制采购节能产品制度的通知》（国办发〔2007〕51号）；（2）《财政部司法部关于政府采购支持监狱企业发展有关问题的通知》（财库〔2014〕68号）；（3）《财政部、民政部、中国残疾人联合会关于促进残疾人就业政府采购政策的通知》（财库〔2017〕141号）；（4）《财政部发展改革委生态环境部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供应商2024年经审计的财务报告（事业法人可提供部门决算报告）或基本开户银行出具的资信证明或专业担保机构出具的投标担保函，供应商需在项目电子化交易系统中按要求上传相应证明文件；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响应函 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具有独立承担民事责任能力的法人、其他组织或自然人：法人或者其他组织提供营业执照等证明文件，自然人提供身份证件，供应商需在项目电子化交易系统中按要求上传相应证明文件；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财务状况报告：供应商2024年经审计的财务报告（事业法人可提供部门决算报告）或基本开户银行出具的资信证明或专业担保机构出具的投标担保函，供应商需在项目电子化交易系统中按要求上传相应证明文件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履行合同所必需的设备和专业技术能力书面声明函：具有履行合同所必需的设备和专业技术能力书面声明函，供应商需在项目电子化交易系统中按要求上传相应证明文件并进行电子签章；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1.供应商应提交的相关资格证明材料.docx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采购人或采购代理机构在开标当日通过“信用中国”网站(www.creditchina.gov.cn)、中国政府采购网(www.ccgp.gov.cn)查询相关主体信用记录网页截图保存；</w:t>
            </w:r>
          </w:p>
        </w:tc>
        <w:tc>
          <w:tcPr>
            <w:tcW w:type="dxa" w:w="1661"/>
          </w:tcPr>
          <w:p>
            <w:pPr>
              <w:pStyle w:val="null3"/>
            </w:pPr>
            <w:r>
              <w:rPr>
                <w:rFonts w:ascii="仿宋_GB2312" w:hAnsi="仿宋_GB2312" w:cs="仿宋_GB2312" w:eastAsia="仿宋_GB2312"/>
              </w:rPr>
              <w:t>1.供应商应提交的相关资格证明材料.docx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法人身份证明或授权 委托书</w:t>
            </w:r>
          </w:p>
        </w:tc>
        <w:tc>
          <w:tcPr>
            <w:tcW w:type="dxa" w:w="3322"/>
          </w:tcPr>
          <w:p>
            <w:pPr>
              <w:pStyle w:val="null3"/>
            </w:pPr>
            <w:r>
              <w:rPr>
                <w:rFonts w:ascii="仿宋_GB2312" w:hAnsi="仿宋_GB2312" w:cs="仿宋_GB2312" w:eastAsia="仿宋_GB2312"/>
              </w:rPr>
              <w:t>提供授权委托书，符合磋商文件要求</w:t>
            </w:r>
          </w:p>
        </w:tc>
        <w:tc>
          <w:tcPr>
            <w:tcW w:type="dxa" w:w="1661"/>
          </w:tcPr>
          <w:p>
            <w:pPr>
              <w:pStyle w:val="null3"/>
            </w:pPr>
            <w:r>
              <w:rPr>
                <w:rFonts w:ascii="仿宋_GB2312" w:hAnsi="仿宋_GB2312" w:cs="仿宋_GB2312" w:eastAsia="仿宋_GB2312"/>
              </w:rPr>
              <w:t>响应文件封面 4.法定代表人身份证明书及法定代表人授权书.docx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4.法定代表人身份证明书及法定代表人授权书.docx 6.其他资料.docx 3.商务条款偏离表.docx 中小企业声明函 残疾人福利性单位声明函 2.磋商一览表.docx 标的清单 报价表 响应函 1.供应商应提交的相关资格证明材料.docx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2.磋商一览表.docx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2.磋商一览表.docx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2.磋商一览表.docx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项目需求的理解</w:t>
            </w:r>
          </w:p>
        </w:tc>
        <w:tc>
          <w:tcPr>
            <w:tcW w:type="dxa" w:w="2492"/>
          </w:tcPr>
          <w:p>
            <w:pPr>
              <w:pStyle w:val="null3"/>
            </w:pPr>
            <w:r>
              <w:rPr>
                <w:rFonts w:ascii="仿宋_GB2312" w:hAnsi="仿宋_GB2312" w:cs="仿宋_GB2312" w:eastAsia="仿宋_GB2312"/>
              </w:rPr>
              <w:t>1.能全面的结合本项目财力评估服务、政府投资基金管理服务、“过紧日子”评估分析服务的实际情况进行分析，思路清晰，对项目需求及服务内容理解深刻到位、全面，能抓住重点问题并给出全面的解决方案，得6分； 2.能较全面的结合本项目财力评估服务、政府投资基金管理服务、“过紧日子”评估分析服务的实际情况进行分析，思路较清晰，对项目需求及服务内容理解较准确，基本能抓住重点问题并给出的解决方案，整体实施方案较合理，得4分； 3.能结合本项目财力评估服务、政府投资基金管理服务、“过紧日子”评估分析服务的实际情况进行分析，思路基本清晰，对项目需求及服务内容理解基本准确，基本能抓住重点问题并给出的解决方案，整体实施方案基本合理，得2分； 4.未能全面结合本项目财力评估服务、政府投资基金管理服务、“过紧日子”评估分析服务的实际情况进行分析，思路不太清晰，对项目需求及服务内容理解不太准确，不太全面，未能准确抓住重点问题并给出解决方案，得1分； 5.未提供不得分。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供应商服务方案包括但不限于： （1）财力评估服务（功能包括但不限于：全省财力数据分析、财力整体情况概览、财政承受能力评估管理、财力变动查询等）方案； （2）政府投资基金管理服务（功能包括但不限于：政府投资基金信息申报和审批管理、政府投资基金数据库、政府投资基金数据分析指标体系、政府投资基金运行数据报送汇总、政府投资基金数据查询、政府投资基金大屏等）方案。 （3）“过紧日子”评估分析服务（功能包括但不限于：数据录入与管理、批量导入/导出、自动计算与比对、可视化展示、报表与模板等）方案； 1.方案细致完善、合理性强、完全符合项目需求，针对性、可操作性强，得16分； 2.方案较为细致完善、较有合理性、符合项目需求，针对性、可操作性较强，得13分； 3.方案较完善，提供内容基本合理，基本贴近项目需求，针对性、可操作性一般，得10分； 4.方案基本完善，提供内容基本合理，基本贴近项目需求，针对性、可操作性一般，得7分； 5.方案简单，提供内容简单，部分贴近项目需求，得4分； 6.方案简单，提供内容简单，不太贴近项目需求，得1分； 7.未提供不得分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针对本项目财力评估服务、政府投资基金管理服务、“过紧日子”评估分析服务提供完整、具体可行的工作流程。 1.能够按照工作内容全面梳理工作流程，流程清晰、方法得当，可行性强，完全满足采购人的要求，计8分； 2.针对本项目财力评估服务、政府投资基金管理服务、“过紧日子”评估分析服务提供完整、具体可行的工作流程。能够按照工作内容比较全面梳理工作流程，流程较清晰、方法较得当，可行性较强，满足采购人的要求，计6分； 3.针对本项目财力评估服务、政府投资基金管理服务、“过紧日子”评估分析服务提供可行的工作流程。能够按照工作内容梳理工作流程，流程较清晰、方法较得当，可行性一般，满足采购人的要求，计4分； 4.针对本项目财力评估服务、政府投资基金管理服务、“过紧日子”评估分析服务提供的工作流程。基本能够按照工作内容梳理工作流程，流程清晰度、可行性一般，基本满足采购人的要求，计2分；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供应商针对本项目财力评估服务、政府投资基金管理服务、“过紧日子”评估分析服务提供的人员配备。 1.人员配备齐全，行业经验丰富，技术团队专业，人员结构配置合理、职责任务明确、分工合理，得10分； 2.人员配备较齐全，行业经验较丰富，技术团队专业性较强，人员结构配置较合理、职责任务较明确、分工较合理，得7分； 3.人员配备基本齐全，行业经验一般，技术团队有一定专业性，人员结构配置基本合理、职责任务较明确、分工基本合理，得4分； 4.人员配备基本齐全，行业经验缺乏，技术团队专业性一般，人员结构配置合理性一般、职责任务明确性、分工合理性一般，得1分； 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项目重点、难 点分析</w:t>
            </w:r>
          </w:p>
        </w:tc>
        <w:tc>
          <w:tcPr>
            <w:tcW w:type="dxa" w:w="2492"/>
          </w:tcPr>
          <w:p>
            <w:pPr>
              <w:pStyle w:val="null3"/>
            </w:pPr>
            <w:r>
              <w:rPr>
                <w:rFonts w:ascii="仿宋_GB2312" w:hAnsi="仿宋_GB2312" w:cs="仿宋_GB2312" w:eastAsia="仿宋_GB2312"/>
              </w:rPr>
              <w:t>结合本项目财力评估服务、政府投资基金管理服务、“过紧日子”评估分析服务特点和同类项目相关经验教训，识别、分析本项目实施面临的重点、难点进行分析，并提出相关方案。 1.重点、难点分析细致详细、合理性强、完全符合项目情况、针对性强，得7分； 2.重点、难点分析较为细致详细、较有合理性、针对性较强，得5分； 3.重点、难点分析基本完善，提供内容简单，基本贴合实际，得3分； 4.重点、难点分析不完善，提供内容简单、有欠缺，未贴合实际，得1分；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具有完善的售后服务方案，包括但不限于：应急响应、配合检查、电话支持等服务在内的售后服务方案。 1.方案细致详细、合理性强、针对性强，完全满足本项目需求，得7分； 2.方案细致详细、合理性较强、针对性较强，满足本项目需求，得5分； 3.方案一般、合理性一般、针对性一般，基本满足本项目需求，得3分； 4.方案不完善、合理性欠缺、针对性欠缺，基本满足本项目需求，得1分； 5.未提供不计分。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对供应商提供的针对本项目财力评估服务、政府投资基金管理服务、“过紧日子”评估分析服务的服务进度计划及保证措施，进行综合评审。 1.措施细致详细、合理性强、完全符合项目情况，针对性强得，8分； 2.措施较为细致详细、较有合理性、针对性强，得6分； 3.措施一般、合理性一般、针对性一般，得4分； 4.措施不完善，内容简单有欠缺，未贴合实际，得2分；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供应商针对本项目财力评估服务、政府投资基金管理服务、“过紧日子”评估分析服务有明确、具体和可行的服务质量保障措施，且内容详实、有效，切实可行。 1.措施细致详细、合理性强、完全符合项目情况针对性强，得8分； 2.措施较为细致详细、较有合理性、针对性较强，得6分； 3.措施一般、合理性一般、针对性一般，得4分； 4.措施不完善，提供内容简单有欠缺，未贴合实际，得2分； 5.未提供不计分。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供应商近三年（2022年1月1日至今）承接过类似项目业绩：每提供一个业绩合同或中标/成交通知书得2分，满分10分。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价格分统一采用低价优先法计算，即满足竞争性磋商文件要求且最终报价最低的为评标基准价，其价格分为满分。其他供应商的价格分统一按照下列公式计算： 报价得分=（评审基准价/投标报价）×20计算分数时四舍五入取小数点后两位。 注：其他通过资格审查、符合性审查供应商的报价，有可能影响服务质量或者不能诚信履约的，应当要求其在投标现场合理的时间内提供书面说明，必要时提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详见附件：1.供应商应提交的相关资格证明材料.docx</w:t>
      </w:r>
    </w:p>
    <w:p>
      <w:pPr>
        <w:pStyle w:val="null3"/>
        <w:ind w:firstLine="960"/>
      </w:pPr>
      <w:r>
        <w:rPr>
          <w:rFonts w:ascii="仿宋_GB2312" w:hAnsi="仿宋_GB2312" w:cs="仿宋_GB2312" w:eastAsia="仿宋_GB2312"/>
        </w:rPr>
        <w:t>详见附件：2.磋商一览表.docx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详见附件：4.法定代表人身份证明书及法定代表人授权书.docx</w:t>
      </w:r>
    </w:p>
    <w:p>
      <w:pPr>
        <w:pStyle w:val="null3"/>
        <w:ind w:firstLine="960"/>
      </w:pPr>
      <w:r>
        <w:rPr>
          <w:rFonts w:ascii="仿宋_GB2312" w:hAnsi="仿宋_GB2312" w:cs="仿宋_GB2312" w:eastAsia="仿宋_GB2312"/>
        </w:rPr>
        <w:t>详见附件：5.技术方案.docx</w:t>
      </w:r>
    </w:p>
    <w:p>
      <w:pPr>
        <w:pStyle w:val="null3"/>
        <w:ind w:firstLine="960"/>
      </w:pPr>
      <w:r>
        <w:rPr>
          <w:rFonts w:ascii="仿宋_GB2312" w:hAnsi="仿宋_GB2312" w:cs="仿宋_GB2312" w:eastAsia="仿宋_GB2312"/>
        </w:rPr>
        <w:t>详见附件：6.其他资料.docx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详见附件：7.2025年财政大数据技术支撑服务项目（二）合同.docx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