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64719B">
      <w:pPr>
        <w:kinsoku w:val="0"/>
        <w:spacing w:line="360" w:lineRule="auto"/>
        <w:jc w:val="center"/>
        <w:rPr>
          <w:rFonts w:ascii="方正小标宋简体" w:hAnsi="方正小标宋简体" w:eastAsia="方正小标宋简体" w:cs="方正小标宋简体"/>
          <w:sz w:val="32"/>
          <w:szCs w:val="32"/>
          <w:highlight w:val="none"/>
        </w:rPr>
      </w:pPr>
      <w:r>
        <w:rPr>
          <w:rFonts w:ascii="Arial" w:hAnsi="Arial" w:eastAsia="方正小标宋简体" w:cs="Arial"/>
          <w:sz w:val="32"/>
          <w:szCs w:val="32"/>
          <w:highlight w:val="none"/>
          <w:u w:val="single"/>
        </w:rPr>
        <w:t>××××××××××××××××××</w:t>
      </w:r>
      <w:r>
        <w:rPr>
          <w:rFonts w:hint="eastAsia" w:ascii="方正小标宋简体" w:hAnsi="方正小标宋简体" w:eastAsia="方正小标宋简体" w:cs="方正小标宋简体"/>
          <w:sz w:val="32"/>
          <w:szCs w:val="32"/>
          <w:highlight w:val="none"/>
        </w:rPr>
        <w:t>项目采购合同</w:t>
      </w:r>
    </w:p>
    <w:p w14:paraId="5EF90F65">
      <w:pPr>
        <w:kinsoku w:val="0"/>
        <w:spacing w:line="360" w:lineRule="auto"/>
        <w:ind w:firstLine="600" w:firstLineChars="250"/>
        <w:rPr>
          <w:rFonts w:ascii="宋体" w:hAnsi="宋体"/>
          <w:sz w:val="24"/>
          <w:highlight w:val="none"/>
        </w:rPr>
      </w:pPr>
    </w:p>
    <w:p w14:paraId="4C8C3643">
      <w:pPr>
        <w:kinsoku w:val="0"/>
        <w:spacing w:line="360" w:lineRule="auto"/>
        <w:ind w:firstLine="600" w:firstLineChars="250"/>
        <w:rPr>
          <w:rFonts w:ascii="宋体" w:hAnsi="宋体"/>
          <w:sz w:val="24"/>
          <w:highlight w:val="none"/>
        </w:rPr>
      </w:pPr>
      <w:r>
        <w:rPr>
          <w:rFonts w:ascii="宋体" w:hAnsi="宋体"/>
          <w:sz w:val="24"/>
          <w:highlight w:val="none"/>
        </w:rPr>
        <w:t>甲方：</w:t>
      </w:r>
      <w:r>
        <w:rPr>
          <w:rFonts w:hint="eastAsia" w:ascii="宋体" w:hAnsi="宋体"/>
          <w:sz w:val="24"/>
          <w:highlight w:val="none"/>
        </w:rPr>
        <w:t>陕西铁路工程职业技术学院</w:t>
      </w:r>
    </w:p>
    <w:p w14:paraId="6E93BDCF">
      <w:pPr>
        <w:kinsoku w:val="0"/>
        <w:spacing w:line="360" w:lineRule="auto"/>
        <w:ind w:firstLine="600" w:firstLineChars="250"/>
        <w:rPr>
          <w:rFonts w:ascii="宋体" w:hAnsi="宋体"/>
          <w:sz w:val="24"/>
          <w:highlight w:val="none"/>
        </w:rPr>
      </w:pPr>
      <w:r>
        <w:rPr>
          <w:rFonts w:ascii="宋体" w:hAnsi="宋体"/>
          <w:sz w:val="24"/>
          <w:highlight w:val="none"/>
        </w:rPr>
        <w:t xml:space="preserve">乙方： </w:t>
      </w:r>
    </w:p>
    <w:p w14:paraId="2E05FFE9">
      <w:pPr>
        <w:kinsoku w:val="0"/>
        <w:spacing w:line="360" w:lineRule="auto"/>
        <w:ind w:firstLine="600" w:firstLineChars="250"/>
        <w:rPr>
          <w:rFonts w:ascii="宋体" w:hAnsi="宋体"/>
          <w:sz w:val="24"/>
          <w:highlight w:val="none"/>
        </w:rPr>
      </w:pPr>
      <w:r>
        <w:rPr>
          <w:rFonts w:ascii="宋体" w:hAnsi="宋体"/>
          <w:sz w:val="24"/>
          <w:highlight w:val="none"/>
        </w:rPr>
        <w:t>根据《中华人民共和国政府采购法》、《中华人民共和国</w:t>
      </w:r>
      <w:r>
        <w:rPr>
          <w:rFonts w:hint="eastAsia" w:ascii="宋体" w:hAnsi="宋体"/>
          <w:sz w:val="24"/>
          <w:highlight w:val="none"/>
        </w:rPr>
        <w:t>民法典</w:t>
      </w:r>
      <w:r>
        <w:rPr>
          <w:rFonts w:ascii="宋体" w:hAnsi="宋体"/>
          <w:sz w:val="24"/>
          <w:highlight w:val="none"/>
        </w:rPr>
        <w:t>》、《中华人民共和国政府采购法实施条例》等法律法规，甲方通过</w:t>
      </w:r>
      <w:r>
        <w:rPr>
          <w:rFonts w:hint="eastAsia" w:ascii="宋体" w:hAnsi="宋体"/>
          <w:sz w:val="24"/>
          <w:highlight w:val="none"/>
        </w:rPr>
        <w:t>公开招标</w:t>
      </w:r>
      <w:r>
        <w:rPr>
          <w:rFonts w:ascii="宋体" w:hAnsi="宋体"/>
          <w:sz w:val="24"/>
          <w:highlight w:val="none"/>
        </w:rPr>
        <w:t>，选定乙方为</w:t>
      </w:r>
      <w:r>
        <w:rPr>
          <w:rFonts w:hint="eastAsia" w:ascii="宋体" w:hAnsi="宋体"/>
          <w:sz w:val="24"/>
          <w:highlight w:val="none"/>
        </w:rPr>
        <w:t>成交单位</w:t>
      </w:r>
      <w:r>
        <w:rPr>
          <w:rFonts w:ascii="宋体" w:hAnsi="宋体"/>
          <w:sz w:val="24"/>
          <w:highlight w:val="none"/>
        </w:rPr>
        <w:t>。甲、乙双方在平等基础上协商一致，达成如下合同条款</w:t>
      </w:r>
      <w:r>
        <w:rPr>
          <w:rFonts w:hint="eastAsia" w:ascii="宋体" w:hAnsi="宋体"/>
          <w:sz w:val="24"/>
          <w:highlight w:val="none"/>
        </w:rPr>
        <w:t>:</w:t>
      </w:r>
    </w:p>
    <w:p w14:paraId="2E891682">
      <w:pPr>
        <w:kinsoku w:val="0"/>
        <w:spacing w:line="360" w:lineRule="auto"/>
        <w:ind w:firstLine="600" w:firstLineChars="250"/>
        <w:rPr>
          <w:rFonts w:ascii="宋体" w:hAnsi="宋体"/>
          <w:sz w:val="24"/>
          <w:highlight w:val="none"/>
        </w:rPr>
      </w:pPr>
      <w:r>
        <w:rPr>
          <w:rFonts w:ascii="宋体" w:hAnsi="宋体"/>
          <w:sz w:val="24"/>
          <w:highlight w:val="none"/>
        </w:rPr>
        <w:t>一、</w:t>
      </w:r>
      <w:r>
        <w:rPr>
          <w:rFonts w:ascii="宋体" w:hAnsi="宋体"/>
          <w:b/>
          <w:sz w:val="24"/>
          <w:highlight w:val="none"/>
        </w:rPr>
        <w:t>合同内容    项目编号/包号：</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20"/>
        <w:gridCol w:w="1260"/>
        <w:gridCol w:w="900"/>
        <w:gridCol w:w="900"/>
        <w:gridCol w:w="900"/>
        <w:gridCol w:w="894"/>
        <w:gridCol w:w="839"/>
      </w:tblGrid>
      <w:tr w14:paraId="158DB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786" w:type="dxa"/>
            <w:vAlign w:val="center"/>
          </w:tcPr>
          <w:p w14:paraId="04ACA5EF">
            <w:pPr>
              <w:spacing w:line="360" w:lineRule="auto"/>
              <w:jc w:val="center"/>
              <w:rPr>
                <w:rFonts w:ascii="宋体" w:hAnsi="宋体"/>
                <w:b/>
                <w:sz w:val="24"/>
                <w:highlight w:val="none"/>
              </w:rPr>
            </w:pPr>
            <w:r>
              <w:rPr>
                <w:rFonts w:ascii="宋体" w:hAnsi="宋体"/>
                <w:b/>
                <w:sz w:val="24"/>
                <w:highlight w:val="none"/>
              </w:rPr>
              <w:t>序号</w:t>
            </w:r>
          </w:p>
        </w:tc>
        <w:tc>
          <w:tcPr>
            <w:tcW w:w="1620" w:type="dxa"/>
            <w:vAlign w:val="center"/>
          </w:tcPr>
          <w:p w14:paraId="22981B78">
            <w:pPr>
              <w:spacing w:line="360" w:lineRule="auto"/>
              <w:jc w:val="center"/>
              <w:rPr>
                <w:rFonts w:ascii="宋体" w:hAnsi="宋体"/>
                <w:b/>
                <w:sz w:val="24"/>
                <w:highlight w:val="none"/>
              </w:rPr>
            </w:pPr>
            <w:r>
              <w:rPr>
                <w:rFonts w:ascii="宋体" w:hAnsi="宋体"/>
                <w:b/>
                <w:sz w:val="24"/>
                <w:highlight w:val="none"/>
              </w:rPr>
              <w:t>产品名称</w:t>
            </w:r>
          </w:p>
        </w:tc>
        <w:tc>
          <w:tcPr>
            <w:tcW w:w="1260" w:type="dxa"/>
            <w:vAlign w:val="center"/>
          </w:tcPr>
          <w:p w14:paraId="5B968F59">
            <w:pPr>
              <w:spacing w:line="360" w:lineRule="auto"/>
              <w:jc w:val="center"/>
              <w:rPr>
                <w:rFonts w:ascii="宋体" w:hAnsi="宋体"/>
                <w:b/>
                <w:sz w:val="24"/>
                <w:highlight w:val="none"/>
              </w:rPr>
            </w:pPr>
            <w:r>
              <w:rPr>
                <w:rFonts w:ascii="宋体" w:hAnsi="宋体"/>
                <w:b/>
                <w:sz w:val="24"/>
                <w:highlight w:val="none"/>
              </w:rPr>
              <w:t>型号</w:t>
            </w:r>
          </w:p>
        </w:tc>
        <w:tc>
          <w:tcPr>
            <w:tcW w:w="900" w:type="dxa"/>
            <w:vAlign w:val="center"/>
          </w:tcPr>
          <w:p w14:paraId="66431267">
            <w:pPr>
              <w:spacing w:line="360" w:lineRule="auto"/>
              <w:jc w:val="center"/>
              <w:rPr>
                <w:rFonts w:ascii="宋体" w:hAnsi="宋体"/>
                <w:b/>
                <w:sz w:val="24"/>
                <w:highlight w:val="none"/>
              </w:rPr>
            </w:pPr>
            <w:r>
              <w:rPr>
                <w:rFonts w:ascii="宋体" w:hAnsi="宋体"/>
                <w:b/>
                <w:sz w:val="24"/>
                <w:highlight w:val="none"/>
              </w:rPr>
              <w:t>产地</w:t>
            </w:r>
          </w:p>
        </w:tc>
        <w:tc>
          <w:tcPr>
            <w:tcW w:w="900" w:type="dxa"/>
            <w:vAlign w:val="center"/>
          </w:tcPr>
          <w:p w14:paraId="0BF6A300">
            <w:pPr>
              <w:spacing w:line="360" w:lineRule="auto"/>
              <w:jc w:val="center"/>
              <w:rPr>
                <w:rFonts w:ascii="宋体" w:hAnsi="宋体"/>
                <w:b/>
                <w:sz w:val="24"/>
                <w:highlight w:val="none"/>
              </w:rPr>
            </w:pPr>
            <w:r>
              <w:rPr>
                <w:rFonts w:ascii="宋体" w:hAnsi="宋体"/>
                <w:b/>
                <w:sz w:val="24"/>
                <w:highlight w:val="none"/>
              </w:rPr>
              <w:t>数量</w:t>
            </w:r>
          </w:p>
        </w:tc>
        <w:tc>
          <w:tcPr>
            <w:tcW w:w="900" w:type="dxa"/>
            <w:vAlign w:val="center"/>
          </w:tcPr>
          <w:p w14:paraId="28360975">
            <w:pPr>
              <w:spacing w:line="360" w:lineRule="auto"/>
              <w:jc w:val="center"/>
              <w:rPr>
                <w:rFonts w:ascii="宋体" w:hAnsi="宋体"/>
                <w:b/>
                <w:sz w:val="24"/>
                <w:highlight w:val="none"/>
              </w:rPr>
            </w:pPr>
            <w:r>
              <w:rPr>
                <w:rFonts w:ascii="宋体" w:hAnsi="宋体"/>
                <w:b/>
                <w:sz w:val="24"/>
                <w:highlight w:val="none"/>
              </w:rPr>
              <w:t>单价</w:t>
            </w:r>
          </w:p>
        </w:tc>
        <w:tc>
          <w:tcPr>
            <w:tcW w:w="894" w:type="dxa"/>
            <w:vAlign w:val="center"/>
          </w:tcPr>
          <w:p w14:paraId="079D6B1D">
            <w:pPr>
              <w:spacing w:line="360" w:lineRule="auto"/>
              <w:jc w:val="center"/>
              <w:rPr>
                <w:rFonts w:ascii="宋体" w:hAnsi="宋体"/>
                <w:b/>
                <w:sz w:val="24"/>
                <w:highlight w:val="none"/>
              </w:rPr>
            </w:pPr>
            <w:r>
              <w:rPr>
                <w:rFonts w:ascii="宋体" w:hAnsi="宋体"/>
                <w:b/>
                <w:sz w:val="24"/>
                <w:highlight w:val="none"/>
              </w:rPr>
              <w:t>总价</w:t>
            </w:r>
          </w:p>
        </w:tc>
        <w:tc>
          <w:tcPr>
            <w:tcW w:w="839" w:type="dxa"/>
            <w:vAlign w:val="center"/>
          </w:tcPr>
          <w:p w14:paraId="69C962B5">
            <w:pPr>
              <w:spacing w:line="360" w:lineRule="auto"/>
              <w:jc w:val="center"/>
              <w:rPr>
                <w:rFonts w:ascii="宋体" w:hAnsi="宋体"/>
                <w:b/>
                <w:sz w:val="24"/>
                <w:highlight w:val="none"/>
              </w:rPr>
            </w:pPr>
            <w:r>
              <w:rPr>
                <w:rFonts w:ascii="宋体" w:hAnsi="宋体"/>
                <w:b/>
                <w:sz w:val="24"/>
                <w:highlight w:val="none"/>
              </w:rPr>
              <w:t>备注</w:t>
            </w:r>
          </w:p>
        </w:tc>
      </w:tr>
      <w:tr w14:paraId="05C42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78B194A5">
            <w:pPr>
              <w:adjustRightInd w:val="0"/>
              <w:snapToGrid w:val="0"/>
              <w:spacing w:line="360" w:lineRule="auto"/>
              <w:jc w:val="center"/>
              <w:rPr>
                <w:rFonts w:ascii="宋体" w:hAnsi="宋体"/>
                <w:sz w:val="24"/>
                <w:highlight w:val="none"/>
              </w:rPr>
            </w:pPr>
            <w:r>
              <w:rPr>
                <w:rFonts w:ascii="宋体" w:hAnsi="宋体"/>
                <w:sz w:val="24"/>
                <w:highlight w:val="none"/>
              </w:rPr>
              <w:t>1</w:t>
            </w:r>
          </w:p>
        </w:tc>
        <w:tc>
          <w:tcPr>
            <w:tcW w:w="1620" w:type="dxa"/>
            <w:vAlign w:val="center"/>
          </w:tcPr>
          <w:p w14:paraId="1FEA4271">
            <w:pPr>
              <w:adjustRightInd w:val="0"/>
              <w:snapToGrid w:val="0"/>
              <w:spacing w:line="360" w:lineRule="auto"/>
              <w:jc w:val="center"/>
              <w:rPr>
                <w:rFonts w:ascii="宋体" w:hAnsi="宋体"/>
                <w:sz w:val="24"/>
                <w:highlight w:val="none"/>
              </w:rPr>
            </w:pPr>
          </w:p>
        </w:tc>
        <w:tc>
          <w:tcPr>
            <w:tcW w:w="1260" w:type="dxa"/>
            <w:vAlign w:val="center"/>
          </w:tcPr>
          <w:p w14:paraId="59C6216B">
            <w:pPr>
              <w:spacing w:line="360" w:lineRule="auto"/>
              <w:jc w:val="center"/>
              <w:rPr>
                <w:rFonts w:ascii="宋体" w:hAnsi="宋体"/>
                <w:sz w:val="24"/>
                <w:highlight w:val="none"/>
              </w:rPr>
            </w:pPr>
          </w:p>
        </w:tc>
        <w:tc>
          <w:tcPr>
            <w:tcW w:w="900" w:type="dxa"/>
            <w:vAlign w:val="center"/>
          </w:tcPr>
          <w:p w14:paraId="1B330AB2">
            <w:pPr>
              <w:spacing w:line="360" w:lineRule="auto"/>
              <w:jc w:val="center"/>
              <w:rPr>
                <w:rFonts w:ascii="宋体" w:hAnsi="宋体"/>
                <w:sz w:val="24"/>
                <w:highlight w:val="none"/>
              </w:rPr>
            </w:pPr>
          </w:p>
        </w:tc>
        <w:tc>
          <w:tcPr>
            <w:tcW w:w="900" w:type="dxa"/>
            <w:vAlign w:val="center"/>
          </w:tcPr>
          <w:p w14:paraId="2EAE8D07">
            <w:pPr>
              <w:adjustRightInd w:val="0"/>
              <w:snapToGrid w:val="0"/>
              <w:spacing w:line="360" w:lineRule="auto"/>
              <w:jc w:val="center"/>
              <w:rPr>
                <w:rFonts w:ascii="宋体" w:hAnsi="宋体"/>
                <w:sz w:val="24"/>
                <w:highlight w:val="none"/>
              </w:rPr>
            </w:pPr>
          </w:p>
        </w:tc>
        <w:tc>
          <w:tcPr>
            <w:tcW w:w="900" w:type="dxa"/>
            <w:vAlign w:val="center"/>
          </w:tcPr>
          <w:p w14:paraId="693A3AFD">
            <w:pPr>
              <w:autoSpaceDN w:val="0"/>
              <w:spacing w:line="360" w:lineRule="auto"/>
              <w:jc w:val="center"/>
              <w:textAlignment w:val="center"/>
              <w:rPr>
                <w:rFonts w:ascii="宋体" w:hAnsi="宋体"/>
                <w:sz w:val="24"/>
                <w:highlight w:val="none"/>
              </w:rPr>
            </w:pPr>
          </w:p>
        </w:tc>
        <w:tc>
          <w:tcPr>
            <w:tcW w:w="894" w:type="dxa"/>
            <w:vAlign w:val="center"/>
          </w:tcPr>
          <w:p w14:paraId="4D241405">
            <w:pPr>
              <w:autoSpaceDN w:val="0"/>
              <w:spacing w:line="360" w:lineRule="auto"/>
              <w:jc w:val="center"/>
              <w:textAlignment w:val="center"/>
              <w:rPr>
                <w:rFonts w:ascii="宋体" w:hAnsi="宋体"/>
                <w:sz w:val="24"/>
                <w:highlight w:val="none"/>
              </w:rPr>
            </w:pPr>
          </w:p>
        </w:tc>
        <w:tc>
          <w:tcPr>
            <w:tcW w:w="839" w:type="dxa"/>
            <w:vAlign w:val="center"/>
          </w:tcPr>
          <w:p w14:paraId="46E7A348">
            <w:pPr>
              <w:autoSpaceDN w:val="0"/>
              <w:spacing w:line="360" w:lineRule="auto"/>
              <w:jc w:val="center"/>
              <w:textAlignment w:val="center"/>
              <w:rPr>
                <w:rFonts w:ascii="宋体" w:hAnsi="宋体"/>
                <w:sz w:val="24"/>
                <w:highlight w:val="none"/>
              </w:rPr>
            </w:pPr>
          </w:p>
        </w:tc>
      </w:tr>
      <w:tr w14:paraId="2D6B8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29DD88A3">
            <w:pPr>
              <w:adjustRightInd w:val="0"/>
              <w:snapToGrid w:val="0"/>
              <w:spacing w:line="360" w:lineRule="auto"/>
              <w:jc w:val="center"/>
              <w:rPr>
                <w:rFonts w:ascii="宋体" w:hAnsi="宋体"/>
                <w:sz w:val="24"/>
                <w:highlight w:val="none"/>
              </w:rPr>
            </w:pPr>
          </w:p>
        </w:tc>
        <w:tc>
          <w:tcPr>
            <w:tcW w:w="1620" w:type="dxa"/>
            <w:vAlign w:val="center"/>
          </w:tcPr>
          <w:p w14:paraId="53480B6A">
            <w:pPr>
              <w:adjustRightInd w:val="0"/>
              <w:snapToGrid w:val="0"/>
              <w:spacing w:line="360" w:lineRule="auto"/>
              <w:jc w:val="center"/>
              <w:rPr>
                <w:rFonts w:ascii="宋体" w:hAnsi="宋体"/>
                <w:sz w:val="24"/>
                <w:highlight w:val="none"/>
              </w:rPr>
            </w:pPr>
          </w:p>
        </w:tc>
        <w:tc>
          <w:tcPr>
            <w:tcW w:w="1260" w:type="dxa"/>
            <w:vAlign w:val="center"/>
          </w:tcPr>
          <w:p w14:paraId="52FDD7CB">
            <w:pPr>
              <w:spacing w:line="360" w:lineRule="auto"/>
              <w:jc w:val="center"/>
              <w:rPr>
                <w:rFonts w:ascii="宋体" w:hAnsi="宋体"/>
                <w:sz w:val="24"/>
                <w:highlight w:val="none"/>
              </w:rPr>
            </w:pPr>
          </w:p>
        </w:tc>
        <w:tc>
          <w:tcPr>
            <w:tcW w:w="900" w:type="dxa"/>
            <w:vAlign w:val="center"/>
          </w:tcPr>
          <w:p w14:paraId="7546731E">
            <w:pPr>
              <w:spacing w:line="360" w:lineRule="auto"/>
              <w:jc w:val="center"/>
              <w:rPr>
                <w:rFonts w:ascii="宋体" w:hAnsi="宋体"/>
                <w:sz w:val="24"/>
                <w:highlight w:val="none"/>
              </w:rPr>
            </w:pPr>
          </w:p>
        </w:tc>
        <w:tc>
          <w:tcPr>
            <w:tcW w:w="900" w:type="dxa"/>
            <w:vAlign w:val="center"/>
          </w:tcPr>
          <w:p w14:paraId="7943E350">
            <w:pPr>
              <w:adjustRightInd w:val="0"/>
              <w:snapToGrid w:val="0"/>
              <w:spacing w:line="360" w:lineRule="auto"/>
              <w:jc w:val="center"/>
              <w:rPr>
                <w:rFonts w:ascii="宋体" w:hAnsi="宋体"/>
                <w:sz w:val="24"/>
                <w:highlight w:val="none"/>
              </w:rPr>
            </w:pPr>
          </w:p>
        </w:tc>
        <w:tc>
          <w:tcPr>
            <w:tcW w:w="900" w:type="dxa"/>
            <w:vAlign w:val="center"/>
          </w:tcPr>
          <w:p w14:paraId="26408936">
            <w:pPr>
              <w:autoSpaceDN w:val="0"/>
              <w:spacing w:line="360" w:lineRule="auto"/>
              <w:jc w:val="center"/>
              <w:textAlignment w:val="center"/>
              <w:rPr>
                <w:rFonts w:ascii="宋体" w:hAnsi="宋体"/>
                <w:sz w:val="24"/>
                <w:highlight w:val="none"/>
              </w:rPr>
            </w:pPr>
          </w:p>
        </w:tc>
        <w:tc>
          <w:tcPr>
            <w:tcW w:w="894" w:type="dxa"/>
            <w:vAlign w:val="center"/>
          </w:tcPr>
          <w:p w14:paraId="0BB9A7BD">
            <w:pPr>
              <w:autoSpaceDN w:val="0"/>
              <w:spacing w:line="360" w:lineRule="auto"/>
              <w:jc w:val="center"/>
              <w:textAlignment w:val="center"/>
              <w:rPr>
                <w:rFonts w:ascii="宋体" w:hAnsi="宋体"/>
                <w:sz w:val="24"/>
                <w:highlight w:val="none"/>
              </w:rPr>
            </w:pPr>
          </w:p>
        </w:tc>
        <w:tc>
          <w:tcPr>
            <w:tcW w:w="839" w:type="dxa"/>
            <w:vAlign w:val="center"/>
          </w:tcPr>
          <w:p w14:paraId="1EA3325E">
            <w:pPr>
              <w:autoSpaceDN w:val="0"/>
              <w:spacing w:line="360" w:lineRule="auto"/>
              <w:jc w:val="center"/>
              <w:textAlignment w:val="center"/>
              <w:rPr>
                <w:rFonts w:ascii="宋体" w:hAnsi="宋体"/>
                <w:sz w:val="24"/>
                <w:highlight w:val="none"/>
              </w:rPr>
            </w:pPr>
          </w:p>
        </w:tc>
      </w:tr>
      <w:tr w14:paraId="6B174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38635950">
            <w:pPr>
              <w:adjustRightInd w:val="0"/>
              <w:snapToGrid w:val="0"/>
              <w:spacing w:line="360" w:lineRule="auto"/>
              <w:jc w:val="center"/>
              <w:rPr>
                <w:rFonts w:ascii="宋体" w:hAnsi="宋体"/>
                <w:sz w:val="24"/>
                <w:highlight w:val="none"/>
              </w:rPr>
            </w:pPr>
          </w:p>
        </w:tc>
        <w:tc>
          <w:tcPr>
            <w:tcW w:w="1620" w:type="dxa"/>
            <w:vAlign w:val="center"/>
          </w:tcPr>
          <w:p w14:paraId="6BE8A00C">
            <w:pPr>
              <w:adjustRightInd w:val="0"/>
              <w:snapToGrid w:val="0"/>
              <w:spacing w:line="360" w:lineRule="auto"/>
              <w:jc w:val="center"/>
              <w:rPr>
                <w:rFonts w:ascii="宋体" w:hAnsi="宋体"/>
                <w:sz w:val="24"/>
                <w:highlight w:val="none"/>
              </w:rPr>
            </w:pPr>
          </w:p>
        </w:tc>
        <w:tc>
          <w:tcPr>
            <w:tcW w:w="1260" w:type="dxa"/>
            <w:vAlign w:val="center"/>
          </w:tcPr>
          <w:p w14:paraId="148D47EF">
            <w:pPr>
              <w:spacing w:line="360" w:lineRule="auto"/>
              <w:jc w:val="center"/>
              <w:rPr>
                <w:rFonts w:ascii="宋体" w:hAnsi="宋体"/>
                <w:sz w:val="24"/>
                <w:highlight w:val="none"/>
              </w:rPr>
            </w:pPr>
          </w:p>
        </w:tc>
        <w:tc>
          <w:tcPr>
            <w:tcW w:w="900" w:type="dxa"/>
            <w:vAlign w:val="center"/>
          </w:tcPr>
          <w:p w14:paraId="3AF1C32C">
            <w:pPr>
              <w:spacing w:line="360" w:lineRule="auto"/>
              <w:jc w:val="center"/>
              <w:rPr>
                <w:rFonts w:ascii="宋体" w:hAnsi="宋体"/>
                <w:sz w:val="24"/>
                <w:highlight w:val="none"/>
              </w:rPr>
            </w:pPr>
          </w:p>
        </w:tc>
        <w:tc>
          <w:tcPr>
            <w:tcW w:w="900" w:type="dxa"/>
            <w:vAlign w:val="center"/>
          </w:tcPr>
          <w:p w14:paraId="2A2F9C31">
            <w:pPr>
              <w:adjustRightInd w:val="0"/>
              <w:snapToGrid w:val="0"/>
              <w:spacing w:line="360" w:lineRule="auto"/>
              <w:jc w:val="center"/>
              <w:rPr>
                <w:rFonts w:ascii="宋体" w:hAnsi="宋体"/>
                <w:sz w:val="24"/>
                <w:highlight w:val="none"/>
              </w:rPr>
            </w:pPr>
          </w:p>
        </w:tc>
        <w:tc>
          <w:tcPr>
            <w:tcW w:w="900" w:type="dxa"/>
            <w:vAlign w:val="center"/>
          </w:tcPr>
          <w:p w14:paraId="1ADADF0D">
            <w:pPr>
              <w:autoSpaceDN w:val="0"/>
              <w:spacing w:line="360" w:lineRule="auto"/>
              <w:jc w:val="center"/>
              <w:textAlignment w:val="center"/>
              <w:rPr>
                <w:rFonts w:ascii="宋体" w:hAnsi="宋体"/>
                <w:sz w:val="24"/>
                <w:highlight w:val="none"/>
              </w:rPr>
            </w:pPr>
          </w:p>
        </w:tc>
        <w:tc>
          <w:tcPr>
            <w:tcW w:w="894" w:type="dxa"/>
            <w:vAlign w:val="center"/>
          </w:tcPr>
          <w:p w14:paraId="2F80A264">
            <w:pPr>
              <w:autoSpaceDN w:val="0"/>
              <w:spacing w:line="360" w:lineRule="auto"/>
              <w:jc w:val="center"/>
              <w:textAlignment w:val="center"/>
              <w:rPr>
                <w:rFonts w:ascii="宋体" w:hAnsi="宋体"/>
                <w:sz w:val="24"/>
                <w:highlight w:val="none"/>
              </w:rPr>
            </w:pPr>
          </w:p>
        </w:tc>
        <w:tc>
          <w:tcPr>
            <w:tcW w:w="839" w:type="dxa"/>
            <w:vAlign w:val="center"/>
          </w:tcPr>
          <w:p w14:paraId="2F3DCC5C">
            <w:pPr>
              <w:autoSpaceDN w:val="0"/>
              <w:spacing w:line="360" w:lineRule="auto"/>
              <w:jc w:val="center"/>
              <w:textAlignment w:val="center"/>
              <w:rPr>
                <w:rFonts w:ascii="宋体" w:hAnsi="宋体"/>
                <w:sz w:val="24"/>
                <w:highlight w:val="none"/>
              </w:rPr>
            </w:pPr>
          </w:p>
        </w:tc>
      </w:tr>
      <w:tr w14:paraId="08F2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2406" w:type="dxa"/>
            <w:gridSpan w:val="2"/>
            <w:vAlign w:val="center"/>
          </w:tcPr>
          <w:p w14:paraId="0B7ADDD5">
            <w:pPr>
              <w:adjustRightInd w:val="0"/>
              <w:snapToGrid w:val="0"/>
              <w:spacing w:line="360" w:lineRule="auto"/>
              <w:jc w:val="center"/>
              <w:rPr>
                <w:rFonts w:ascii="宋体" w:hAnsi="宋体"/>
                <w:b/>
                <w:sz w:val="24"/>
                <w:highlight w:val="none"/>
              </w:rPr>
            </w:pPr>
            <w:r>
              <w:rPr>
                <w:rFonts w:ascii="宋体" w:hAnsi="宋体"/>
                <w:b/>
                <w:sz w:val="24"/>
                <w:highlight w:val="none"/>
              </w:rPr>
              <w:t>总计（人民币/元）</w:t>
            </w:r>
          </w:p>
        </w:tc>
        <w:tc>
          <w:tcPr>
            <w:tcW w:w="5693" w:type="dxa"/>
            <w:gridSpan w:val="6"/>
            <w:vAlign w:val="center"/>
          </w:tcPr>
          <w:p w14:paraId="27EAB81C">
            <w:pPr>
              <w:adjustRightInd w:val="0"/>
              <w:snapToGrid w:val="0"/>
              <w:spacing w:line="360" w:lineRule="auto"/>
              <w:rPr>
                <w:rFonts w:ascii="宋体" w:hAnsi="宋体"/>
                <w:b/>
                <w:sz w:val="24"/>
                <w:highlight w:val="none"/>
              </w:rPr>
            </w:pPr>
            <w:r>
              <w:rPr>
                <w:rFonts w:hint="eastAsia" w:ascii="宋体" w:hAnsi="宋体"/>
                <w:b/>
                <w:sz w:val="24"/>
                <w:highlight w:val="none"/>
              </w:rPr>
              <w:t>¥</w:t>
            </w:r>
            <w:r>
              <w:rPr>
                <w:rFonts w:ascii="宋体" w:hAnsi="宋体"/>
                <w:b/>
                <w:sz w:val="24"/>
                <w:highlight w:val="none"/>
              </w:rPr>
              <w:t>：       （大写）</w:t>
            </w:r>
          </w:p>
        </w:tc>
      </w:tr>
    </w:tbl>
    <w:p w14:paraId="177C5AF3">
      <w:pPr>
        <w:kinsoku w:val="0"/>
        <w:spacing w:line="360" w:lineRule="auto"/>
        <w:ind w:firstLine="600" w:firstLineChars="250"/>
        <w:rPr>
          <w:rFonts w:ascii="宋体" w:hAnsi="宋体"/>
          <w:sz w:val="24"/>
          <w:highlight w:val="none"/>
        </w:rPr>
      </w:pPr>
      <w:r>
        <w:rPr>
          <w:rFonts w:ascii="宋体" w:hAnsi="宋体"/>
          <w:sz w:val="24"/>
          <w:highlight w:val="none"/>
        </w:rPr>
        <w:t>（参数较多可以附件说明）</w:t>
      </w:r>
    </w:p>
    <w:p w14:paraId="577093C7">
      <w:pPr>
        <w:kinsoku w:val="0"/>
        <w:spacing w:line="360" w:lineRule="auto"/>
        <w:ind w:firstLine="600" w:firstLineChars="250"/>
        <w:rPr>
          <w:rFonts w:ascii="宋体" w:hAnsi="宋体"/>
          <w:sz w:val="24"/>
          <w:highlight w:val="none"/>
        </w:rPr>
      </w:pPr>
      <w:r>
        <w:rPr>
          <w:rFonts w:ascii="宋体" w:hAnsi="宋体"/>
          <w:sz w:val="24"/>
          <w:highlight w:val="none"/>
        </w:rPr>
        <w:t>乙方负责按以上确定的产品规格、型号及配套内容进行供货，及时运到甲方指定交货地点安装调试，确保所有产品达到最佳运行状态，负责对甲方操作、维护人员进行培训，指导操作、使用和维修保养，做好售后服务工作。</w:t>
      </w:r>
    </w:p>
    <w:p w14:paraId="3C707ABB">
      <w:pPr>
        <w:spacing w:line="360" w:lineRule="auto"/>
        <w:ind w:firstLine="482" w:firstLineChars="200"/>
        <w:rPr>
          <w:rFonts w:ascii="宋体" w:hAnsi="宋体"/>
          <w:b/>
          <w:sz w:val="24"/>
          <w:highlight w:val="none"/>
        </w:rPr>
      </w:pPr>
      <w:r>
        <w:rPr>
          <w:rFonts w:ascii="宋体" w:hAnsi="宋体"/>
          <w:b/>
          <w:sz w:val="24"/>
          <w:highlight w:val="none"/>
        </w:rPr>
        <w:t>二、合同价格</w:t>
      </w:r>
    </w:p>
    <w:p w14:paraId="1765DB1A">
      <w:pPr>
        <w:kinsoku w:val="0"/>
        <w:spacing w:line="360" w:lineRule="auto"/>
        <w:ind w:firstLine="480" w:firstLineChars="200"/>
        <w:rPr>
          <w:rFonts w:ascii="宋体" w:hAnsi="宋体"/>
          <w:sz w:val="24"/>
          <w:highlight w:val="none"/>
        </w:rPr>
      </w:pPr>
      <w:r>
        <w:rPr>
          <w:rFonts w:ascii="宋体" w:hAnsi="宋体"/>
          <w:sz w:val="24"/>
          <w:highlight w:val="none"/>
        </w:rPr>
        <w:t>合同总价：人民币大写：</w:t>
      </w:r>
      <w:r>
        <w:rPr>
          <w:rFonts w:ascii="宋体" w:hAnsi="宋体"/>
          <w:b/>
          <w:sz w:val="24"/>
          <w:highlight w:val="none"/>
          <w:u w:val="single"/>
        </w:rPr>
        <w:t>_           _</w:t>
      </w:r>
      <w:r>
        <w:rPr>
          <w:rFonts w:ascii="宋体" w:hAnsi="宋体"/>
          <w:b/>
          <w:sz w:val="24"/>
          <w:highlight w:val="none"/>
        </w:rPr>
        <w:t>元整；</w:t>
      </w:r>
      <w:r>
        <w:rPr>
          <w:rFonts w:hint="eastAsia" w:ascii="宋体" w:hAnsi="宋体"/>
          <w:b/>
          <w:sz w:val="24"/>
          <w:highlight w:val="none"/>
        </w:rPr>
        <w:t>¥</w:t>
      </w:r>
      <w:r>
        <w:rPr>
          <w:rFonts w:ascii="宋体" w:hAnsi="宋体"/>
          <w:sz w:val="24"/>
          <w:highlight w:val="none"/>
        </w:rPr>
        <w:t xml:space="preserve"> </w:t>
      </w:r>
      <w:r>
        <w:rPr>
          <w:rFonts w:ascii="宋体" w:hAnsi="宋体"/>
          <w:b/>
          <w:sz w:val="24"/>
          <w:highlight w:val="none"/>
          <w:u w:val="single"/>
        </w:rPr>
        <w:t>_   __</w:t>
      </w:r>
      <w:r>
        <w:rPr>
          <w:rFonts w:ascii="宋体" w:hAnsi="宋体"/>
          <w:sz w:val="24"/>
          <w:highlight w:val="none"/>
        </w:rPr>
        <w:t>元。</w:t>
      </w:r>
    </w:p>
    <w:p w14:paraId="054B5285">
      <w:pPr>
        <w:spacing w:line="360" w:lineRule="auto"/>
        <w:ind w:firstLine="480" w:firstLineChars="200"/>
        <w:rPr>
          <w:rFonts w:ascii="宋体" w:hAnsi="宋体"/>
          <w:sz w:val="24"/>
          <w:highlight w:val="none"/>
        </w:rPr>
      </w:pPr>
      <w:r>
        <w:rPr>
          <w:rFonts w:ascii="宋体" w:hAnsi="宋体"/>
          <w:sz w:val="24"/>
          <w:highlight w:val="none"/>
        </w:rPr>
        <w:t>合同总价包括：产品的供应费及所发生的运输费、杂费（含保险）、商检费、搬运费、安装调试费、培训费等，包括从产品供应地点到交货地点所包含的一切费用。合同总价不可变更，不受市场价变化的影响，不受实际数量变化的影响。</w:t>
      </w:r>
    </w:p>
    <w:p w14:paraId="6CA44A70">
      <w:pPr>
        <w:spacing w:line="360" w:lineRule="auto"/>
        <w:ind w:firstLine="482" w:firstLineChars="200"/>
        <w:rPr>
          <w:rFonts w:ascii="宋体" w:hAnsi="宋体"/>
          <w:b/>
          <w:sz w:val="24"/>
          <w:highlight w:val="none"/>
        </w:rPr>
      </w:pPr>
      <w:r>
        <w:rPr>
          <w:rFonts w:ascii="宋体" w:hAnsi="宋体"/>
          <w:b/>
          <w:sz w:val="24"/>
          <w:highlight w:val="none"/>
        </w:rPr>
        <w:t>三、款项支付</w:t>
      </w:r>
    </w:p>
    <w:p w14:paraId="18EE1EE1">
      <w:pPr>
        <w:kinsoku w:val="0"/>
        <w:spacing w:line="360" w:lineRule="auto"/>
        <w:ind w:firstLine="600" w:firstLineChars="250"/>
        <w:rPr>
          <w:rFonts w:ascii="宋体" w:hAnsi="宋体"/>
          <w:sz w:val="24"/>
          <w:highlight w:val="none"/>
          <w:lang w:val="hr-HR"/>
        </w:rPr>
      </w:pPr>
      <w:r>
        <w:rPr>
          <w:rFonts w:hint="eastAsia" w:ascii="宋体" w:hAnsi="宋体"/>
          <w:sz w:val="24"/>
          <w:highlight w:val="none"/>
          <w:lang w:val="hr-HR"/>
        </w:rPr>
        <w:t>3.</w:t>
      </w:r>
      <w:r>
        <w:rPr>
          <w:rFonts w:hint="eastAsia" w:ascii="宋体" w:hAnsi="宋体"/>
          <w:sz w:val="24"/>
          <w:highlight w:val="none"/>
        </w:rPr>
        <w:t>1</w:t>
      </w:r>
      <w:r>
        <w:rPr>
          <w:rFonts w:hint="eastAsia" w:ascii="宋体" w:hAnsi="宋体"/>
          <w:sz w:val="24"/>
          <w:highlight w:val="none"/>
          <w:lang w:val="hr-HR"/>
        </w:rPr>
        <w:t>支付方式</w:t>
      </w:r>
    </w:p>
    <w:p w14:paraId="251A245C">
      <w:pPr>
        <w:kinsoku w:val="0"/>
        <w:spacing w:line="360" w:lineRule="auto"/>
        <w:ind w:firstLine="600" w:firstLineChars="250"/>
        <w:rPr>
          <w:rFonts w:ascii="宋体" w:hAnsi="宋体"/>
          <w:sz w:val="24"/>
          <w:highlight w:val="none"/>
        </w:rPr>
      </w:pPr>
      <w:r>
        <w:rPr>
          <w:rFonts w:hint="eastAsia" w:ascii="宋体" w:hAnsi="宋体"/>
          <w:sz w:val="24"/>
          <w:highlight w:val="none"/>
        </w:rPr>
        <w:t xml:space="preserve"> 分期付款 </w:t>
      </w:r>
    </w:p>
    <w:p w14:paraId="0B5D2828">
      <w:pPr>
        <w:kinsoku w:val="0"/>
        <w:spacing w:line="360" w:lineRule="auto"/>
        <w:ind w:firstLine="600" w:firstLineChars="250"/>
        <w:rPr>
          <w:rFonts w:ascii="宋体" w:hAnsi="宋体"/>
          <w:sz w:val="24"/>
          <w:highlight w:val="none"/>
          <w:lang w:val="hr-HR"/>
        </w:rPr>
      </w:pPr>
      <w:r>
        <w:rPr>
          <w:rFonts w:hint="eastAsia" w:ascii="宋体" w:hAnsi="宋体"/>
          <w:sz w:val="24"/>
          <w:highlight w:val="none"/>
          <w:lang w:val="hr-HR"/>
        </w:rPr>
        <w:t>3.</w:t>
      </w:r>
      <w:r>
        <w:rPr>
          <w:rFonts w:hint="eastAsia" w:ascii="宋体" w:hAnsi="宋体"/>
          <w:sz w:val="24"/>
          <w:highlight w:val="none"/>
        </w:rPr>
        <w:t>2</w:t>
      </w:r>
      <w:r>
        <w:rPr>
          <w:rFonts w:hint="eastAsia" w:ascii="宋体" w:hAnsi="宋体"/>
          <w:sz w:val="24"/>
          <w:highlight w:val="none"/>
          <w:lang w:val="hr-HR"/>
        </w:rPr>
        <w:t>支付约定</w:t>
      </w:r>
    </w:p>
    <w:p w14:paraId="5191B5A1">
      <w:pPr>
        <w:spacing w:line="360" w:lineRule="auto"/>
        <w:ind w:firstLine="480" w:firstLineChars="200"/>
        <w:rPr>
          <w:rFonts w:hint="eastAsia" w:ascii="宋体" w:hAnsi="宋体"/>
          <w:sz w:val="24"/>
          <w:highlight w:val="none"/>
          <w:lang w:val="hr-HR"/>
        </w:rPr>
      </w:pPr>
      <w:r>
        <w:rPr>
          <w:rFonts w:hint="eastAsia" w:ascii="宋体" w:hAnsi="宋体"/>
          <w:sz w:val="24"/>
          <w:highlight w:val="none"/>
          <w:lang w:val="hr-HR"/>
        </w:rPr>
        <w:t>1. 全部交货后，核对清单无误，安装及调试完成后 ，达到付款条件起 30 日内，支付合同总金额的 30.00%。</w:t>
      </w:r>
    </w:p>
    <w:p w14:paraId="61FC3FDE">
      <w:pPr>
        <w:spacing w:line="360" w:lineRule="auto"/>
        <w:ind w:firstLine="480" w:firstLineChars="200"/>
        <w:rPr>
          <w:rFonts w:ascii="宋体" w:hAnsi="宋体"/>
          <w:sz w:val="24"/>
          <w:highlight w:val="none"/>
        </w:rPr>
      </w:pPr>
      <w:r>
        <w:rPr>
          <w:rFonts w:hint="eastAsia" w:ascii="宋体" w:hAnsi="宋体"/>
          <w:sz w:val="24"/>
          <w:highlight w:val="none"/>
          <w:lang w:val="hr-HR"/>
        </w:rPr>
        <w:t>2. 付款条件说明： 最终验收合格后，持《终验合格单》原件和全额增值税专用发票 ，达到付款条件起 30 日内，支付合同总金额的70.00%。</w:t>
      </w:r>
      <w:r>
        <w:rPr>
          <w:rFonts w:hint="eastAsia" w:ascii="宋体" w:hAnsi="宋体"/>
          <w:sz w:val="24"/>
          <w:highlight w:val="none"/>
        </w:rPr>
        <w:t xml:space="preserve"> </w:t>
      </w:r>
    </w:p>
    <w:p w14:paraId="24265343">
      <w:pPr>
        <w:spacing w:line="360" w:lineRule="auto"/>
        <w:ind w:firstLine="482" w:firstLineChars="200"/>
        <w:rPr>
          <w:rFonts w:ascii="宋体" w:hAnsi="宋体"/>
          <w:b/>
          <w:sz w:val="24"/>
          <w:highlight w:val="none"/>
        </w:rPr>
      </w:pPr>
      <w:r>
        <w:rPr>
          <w:rFonts w:ascii="宋体" w:hAnsi="宋体"/>
          <w:b/>
          <w:sz w:val="24"/>
          <w:highlight w:val="none"/>
        </w:rPr>
        <w:t>四、</w:t>
      </w:r>
      <w:r>
        <w:rPr>
          <w:rFonts w:hint="eastAsia" w:ascii="宋体" w:hAnsi="宋体"/>
          <w:b/>
          <w:sz w:val="24"/>
          <w:highlight w:val="none"/>
        </w:rPr>
        <w:t>完工</w:t>
      </w:r>
      <w:r>
        <w:rPr>
          <w:rFonts w:ascii="宋体" w:hAnsi="宋体"/>
          <w:b/>
          <w:sz w:val="24"/>
          <w:highlight w:val="none"/>
        </w:rPr>
        <w:t>条件</w:t>
      </w:r>
    </w:p>
    <w:p w14:paraId="242B9770">
      <w:pPr>
        <w:kinsoku w:val="0"/>
        <w:spacing w:line="360" w:lineRule="auto"/>
        <w:ind w:firstLine="600" w:firstLineChars="250"/>
        <w:rPr>
          <w:rFonts w:ascii="宋体" w:hAnsi="宋体"/>
          <w:sz w:val="24"/>
          <w:highlight w:val="none"/>
        </w:rPr>
      </w:pPr>
      <w:r>
        <w:rPr>
          <w:rFonts w:ascii="宋体" w:hAnsi="宋体"/>
          <w:sz w:val="24"/>
          <w:highlight w:val="none"/>
        </w:rPr>
        <w:t>1、</w:t>
      </w:r>
      <w:r>
        <w:rPr>
          <w:rFonts w:hint="eastAsia" w:ascii="宋体" w:hAnsi="宋体"/>
          <w:sz w:val="24"/>
          <w:highlight w:val="none"/>
        </w:rPr>
        <w:t>项目实施</w:t>
      </w:r>
      <w:r>
        <w:rPr>
          <w:rFonts w:ascii="宋体" w:hAnsi="宋体"/>
          <w:sz w:val="24"/>
          <w:highlight w:val="none"/>
        </w:rPr>
        <w:t>地点：陕西铁路工程职业技术学院</w:t>
      </w:r>
      <w:r>
        <w:rPr>
          <w:rFonts w:hint="eastAsia" w:ascii="宋体" w:hAnsi="宋体"/>
          <w:sz w:val="24"/>
          <w:highlight w:val="none"/>
        </w:rPr>
        <w:t>指定地点</w:t>
      </w:r>
      <w:r>
        <w:rPr>
          <w:rFonts w:ascii="宋体" w:hAnsi="宋体"/>
          <w:sz w:val="24"/>
          <w:highlight w:val="none"/>
        </w:rPr>
        <w:t>。</w:t>
      </w:r>
    </w:p>
    <w:p w14:paraId="28D15C7A">
      <w:pPr>
        <w:kinsoku w:val="0"/>
        <w:spacing w:line="360" w:lineRule="auto"/>
        <w:ind w:firstLine="600" w:firstLineChars="250"/>
        <w:rPr>
          <w:rFonts w:ascii="宋体" w:hAnsi="宋体"/>
          <w:sz w:val="24"/>
          <w:highlight w:val="none"/>
        </w:rPr>
      </w:pPr>
      <w:r>
        <w:rPr>
          <w:rFonts w:ascii="宋体" w:hAnsi="宋体"/>
          <w:sz w:val="24"/>
          <w:highlight w:val="none"/>
        </w:rPr>
        <w:t>2、</w:t>
      </w:r>
      <w:r>
        <w:rPr>
          <w:rFonts w:hint="eastAsia" w:ascii="宋体" w:hAnsi="宋体"/>
          <w:sz w:val="24"/>
          <w:highlight w:val="none"/>
        </w:rPr>
        <w:t>完工</w:t>
      </w:r>
      <w:r>
        <w:rPr>
          <w:rFonts w:ascii="宋体" w:hAnsi="宋体"/>
          <w:sz w:val="24"/>
          <w:highlight w:val="none"/>
        </w:rPr>
        <w:t>日期：</w:t>
      </w:r>
      <w:r>
        <w:rPr>
          <w:rFonts w:hint="eastAsia" w:ascii="宋体" w:hAnsi="宋体"/>
          <w:sz w:val="24"/>
          <w:highlight w:val="none"/>
        </w:rPr>
        <w:t>合同签订之日起</w:t>
      </w:r>
      <w:r>
        <w:rPr>
          <w:rFonts w:ascii="宋体" w:hAnsi="宋体"/>
          <w:sz w:val="24"/>
          <w:highlight w:val="none"/>
        </w:rPr>
        <w:t>90</w:t>
      </w:r>
      <w:r>
        <w:rPr>
          <w:rFonts w:hint="eastAsia" w:ascii="宋体" w:hAnsi="宋体"/>
          <w:sz w:val="24"/>
          <w:highlight w:val="none"/>
        </w:rPr>
        <w:t>日历日内交货并完工。</w:t>
      </w:r>
    </w:p>
    <w:p w14:paraId="3302CF02">
      <w:pPr>
        <w:kinsoku w:val="0"/>
        <w:spacing w:line="360" w:lineRule="auto"/>
        <w:ind w:firstLine="600" w:firstLineChars="250"/>
        <w:rPr>
          <w:rFonts w:ascii="宋体" w:hAnsi="宋体"/>
          <w:sz w:val="24"/>
          <w:highlight w:val="none"/>
        </w:rPr>
      </w:pPr>
      <w:r>
        <w:rPr>
          <w:rFonts w:hint="eastAsia" w:ascii="宋体" w:hAnsi="宋体"/>
          <w:sz w:val="24"/>
          <w:highlight w:val="none"/>
        </w:rPr>
        <w:t>交付条件：</w:t>
      </w:r>
    </w:p>
    <w:p w14:paraId="43BC09EC">
      <w:pPr>
        <w:spacing w:line="360" w:lineRule="auto"/>
        <w:ind w:firstLine="480" w:firstLineChars="200"/>
        <w:rPr>
          <w:rFonts w:ascii="宋体" w:hAnsi="宋体"/>
          <w:sz w:val="24"/>
          <w:highlight w:val="none"/>
        </w:rPr>
      </w:pPr>
      <w:r>
        <w:rPr>
          <w:rFonts w:hint="eastAsia" w:ascii="宋体" w:hAnsi="宋体"/>
          <w:sz w:val="24"/>
          <w:highlight w:val="none"/>
        </w:rPr>
        <w:t>（1）产品到货后，供应商负责安装调试，达到正常运行条件后书面通知采购人验收。</w:t>
      </w:r>
      <w:r>
        <w:rPr>
          <w:rFonts w:hint="eastAsia" w:ascii="宋体" w:hAnsi="宋体"/>
          <w:sz w:val="24"/>
          <w:highlight w:val="none"/>
          <w:lang w:val="hr-HR"/>
        </w:rPr>
        <w:t>采购人收到验收申请后</w:t>
      </w:r>
      <w:r>
        <w:rPr>
          <w:rFonts w:hint="eastAsia" w:ascii="宋体" w:hAnsi="宋体"/>
          <w:sz w:val="24"/>
          <w:highlight w:val="none"/>
        </w:rPr>
        <w:t>30日历日内</w:t>
      </w:r>
      <w:r>
        <w:rPr>
          <w:rFonts w:hint="eastAsia" w:ascii="宋体" w:hAnsi="宋体"/>
          <w:sz w:val="24"/>
          <w:highlight w:val="none"/>
          <w:lang w:val="hr-HR"/>
        </w:rPr>
        <w:t>组织验收，验收时中标人应无条件予以配合并提供验收所需的全部资料，若中标人不配合或者未按合同要求提供服务的，采购人将拒绝验收。</w:t>
      </w:r>
    </w:p>
    <w:p w14:paraId="6E0941B1">
      <w:pPr>
        <w:spacing w:line="360" w:lineRule="auto"/>
        <w:ind w:firstLine="480" w:firstLineChars="200"/>
        <w:rPr>
          <w:rFonts w:ascii="宋体" w:hAnsi="宋体"/>
          <w:sz w:val="24"/>
          <w:highlight w:val="none"/>
        </w:rPr>
      </w:pPr>
      <w:r>
        <w:rPr>
          <w:rFonts w:hint="eastAsia" w:ascii="宋体" w:hAnsi="宋体"/>
          <w:sz w:val="24"/>
          <w:highlight w:val="none"/>
        </w:rPr>
        <w:t>（2）安装完成后应提供详细的安装报告，并详细记录各种指示的实测数据。</w:t>
      </w:r>
    </w:p>
    <w:p w14:paraId="2AC8EE75">
      <w:pPr>
        <w:spacing w:line="360" w:lineRule="auto"/>
        <w:ind w:firstLine="480" w:firstLineChars="200"/>
        <w:rPr>
          <w:rFonts w:ascii="宋体" w:hAnsi="宋体"/>
          <w:sz w:val="24"/>
          <w:highlight w:val="none"/>
        </w:rPr>
      </w:pPr>
      <w:r>
        <w:rPr>
          <w:rFonts w:hint="eastAsia" w:ascii="宋体" w:hAnsi="宋体"/>
          <w:sz w:val="24"/>
          <w:highlight w:val="none"/>
        </w:rPr>
        <w:t>（3）提供完整的操作手册和安装、调试、维修手册；提供制造厂家的检验测试报告或产品出厂检测报告。</w:t>
      </w:r>
    </w:p>
    <w:p w14:paraId="465535FB">
      <w:pPr>
        <w:spacing w:line="360" w:lineRule="auto"/>
        <w:ind w:firstLine="480" w:firstLineChars="200"/>
        <w:rPr>
          <w:rFonts w:ascii="宋体" w:hAnsi="宋体"/>
          <w:sz w:val="24"/>
          <w:highlight w:val="none"/>
        </w:rPr>
      </w:pPr>
      <w:r>
        <w:rPr>
          <w:rFonts w:hint="eastAsia" w:ascii="宋体" w:hAnsi="宋体"/>
          <w:sz w:val="24"/>
          <w:highlight w:val="none"/>
        </w:rPr>
        <w:t>（4）采购人根据合同要求对产品进行验收、确认产品的产地、规格、型号和数量。验收依据为本合同文本、招标文件和国内相应的标准、规范。</w:t>
      </w:r>
    </w:p>
    <w:p w14:paraId="6694F27A">
      <w:pPr>
        <w:spacing w:line="360" w:lineRule="auto"/>
        <w:ind w:firstLine="480" w:firstLineChars="200"/>
        <w:rPr>
          <w:rFonts w:ascii="宋体" w:hAnsi="宋体"/>
          <w:sz w:val="24"/>
          <w:highlight w:val="none"/>
        </w:rPr>
      </w:pPr>
      <w:r>
        <w:rPr>
          <w:rFonts w:hint="eastAsia" w:ascii="宋体" w:hAnsi="宋体"/>
          <w:sz w:val="24"/>
          <w:highlight w:val="none"/>
        </w:rPr>
        <w:t>（5）验收合格后，填写产品验收单，并由供应商向采购人提交产品所包含的所有资料，以便采购人日后管理和维护。</w:t>
      </w:r>
    </w:p>
    <w:p w14:paraId="3DF49A82">
      <w:pPr>
        <w:spacing w:line="360" w:lineRule="auto"/>
        <w:ind w:firstLine="480" w:firstLineChars="200"/>
        <w:rPr>
          <w:rFonts w:ascii="宋体" w:hAnsi="宋体"/>
          <w:sz w:val="24"/>
          <w:highlight w:val="none"/>
        </w:rPr>
      </w:pPr>
      <w:r>
        <w:rPr>
          <w:rFonts w:hint="eastAsia" w:ascii="宋体" w:hAnsi="宋体"/>
          <w:sz w:val="24"/>
          <w:highlight w:val="none"/>
        </w:rPr>
        <w:t>（6）验收由采购人负责组织或者邀请有关专家、质检机构、采购代理机构共同进行验收,验收须以合同、招标文件、澄清、及国家相应的标准、规范等为依据。</w:t>
      </w:r>
    </w:p>
    <w:p w14:paraId="1EAFC031">
      <w:pPr>
        <w:spacing w:line="360" w:lineRule="auto"/>
        <w:ind w:firstLine="480" w:firstLineChars="200"/>
        <w:rPr>
          <w:rFonts w:ascii="宋体" w:hAnsi="宋体"/>
          <w:sz w:val="24"/>
          <w:highlight w:val="none"/>
          <w:lang w:val="hr-HR"/>
        </w:rPr>
      </w:pPr>
      <w:r>
        <w:rPr>
          <w:rFonts w:hint="eastAsia" w:ascii="宋体" w:hAnsi="宋体"/>
          <w:sz w:val="24"/>
          <w:highlight w:val="none"/>
          <w:lang w:val="hr-HR"/>
        </w:rPr>
        <w:t>（</w:t>
      </w:r>
      <w:r>
        <w:rPr>
          <w:rFonts w:hint="eastAsia" w:ascii="宋体" w:hAnsi="宋体"/>
          <w:sz w:val="24"/>
          <w:highlight w:val="none"/>
        </w:rPr>
        <w:t>7</w:t>
      </w:r>
      <w:r>
        <w:rPr>
          <w:rFonts w:hint="eastAsia" w:ascii="宋体" w:hAnsi="宋体"/>
          <w:sz w:val="24"/>
          <w:highlight w:val="none"/>
          <w:lang w:val="hr-HR"/>
        </w:rPr>
        <w:t>）项目验收另有国家强制性规定的,按国家规定执行,验收费用由投标人承担验收报告作为申请付款的凭证之一。验收过程中产生纠纷的，由质量技术监督部门认定的检测机构检测，如为投标人原因造成的,由投标人承担检测费用:否则由采购方承担。</w:t>
      </w:r>
    </w:p>
    <w:p w14:paraId="58FC4E15">
      <w:pPr>
        <w:spacing w:line="360" w:lineRule="auto"/>
        <w:ind w:firstLine="480" w:firstLineChars="200"/>
        <w:rPr>
          <w:rFonts w:ascii="宋体" w:hAnsi="宋体"/>
          <w:sz w:val="24"/>
          <w:highlight w:val="none"/>
          <w:lang w:val="hr-HR"/>
        </w:rPr>
      </w:pPr>
      <w:r>
        <w:rPr>
          <w:rFonts w:hint="eastAsia" w:ascii="宋体" w:hAnsi="宋体"/>
          <w:sz w:val="24"/>
          <w:highlight w:val="none"/>
          <w:lang w:val="hr-HR"/>
        </w:rPr>
        <w:t>（</w:t>
      </w:r>
      <w:r>
        <w:rPr>
          <w:rFonts w:hint="eastAsia" w:ascii="宋体" w:hAnsi="宋体"/>
          <w:sz w:val="24"/>
          <w:highlight w:val="none"/>
        </w:rPr>
        <w:t>8</w:t>
      </w:r>
      <w:r>
        <w:rPr>
          <w:rFonts w:hint="eastAsia" w:ascii="宋体" w:hAnsi="宋体"/>
          <w:sz w:val="24"/>
          <w:highlight w:val="none"/>
          <w:lang w:val="hr-HR"/>
        </w:rPr>
        <w:t>）项目验收不合格由投标人返工直至合格，有关返工、再行验收,以及给采购方造成的损失等费用由投标人承担连续两次项目验收不合格的，采购方可终止合同，由此带来的一切损失由投标人承担。具体内容详见合同。</w:t>
      </w:r>
    </w:p>
    <w:p w14:paraId="244E28B3">
      <w:pPr>
        <w:spacing w:line="360" w:lineRule="auto"/>
        <w:ind w:firstLine="482" w:firstLineChars="200"/>
        <w:rPr>
          <w:rFonts w:ascii="宋体" w:hAnsi="宋体"/>
          <w:sz w:val="24"/>
          <w:highlight w:val="none"/>
        </w:rPr>
      </w:pPr>
      <w:r>
        <w:rPr>
          <w:rFonts w:ascii="宋体" w:hAnsi="宋体"/>
          <w:b/>
          <w:sz w:val="24"/>
          <w:highlight w:val="none"/>
        </w:rPr>
        <w:t>五、运输方式：</w:t>
      </w:r>
      <w:r>
        <w:rPr>
          <w:rFonts w:ascii="宋体" w:hAnsi="宋体"/>
          <w:sz w:val="24"/>
          <w:highlight w:val="none"/>
        </w:rPr>
        <w:t>根据产品特性，由乙方在保证产品质量的前提下，自行选择运输及包装方式，发生的一切费用全部由乙方承担。</w:t>
      </w:r>
    </w:p>
    <w:p w14:paraId="4C7BAC1D">
      <w:pPr>
        <w:spacing w:line="360" w:lineRule="auto"/>
        <w:ind w:firstLine="480" w:firstLineChars="200"/>
        <w:rPr>
          <w:rFonts w:ascii="宋体" w:hAnsi="宋体"/>
          <w:sz w:val="24"/>
          <w:highlight w:val="none"/>
        </w:rPr>
      </w:pPr>
      <w:r>
        <w:rPr>
          <w:rFonts w:hint="eastAsia" w:ascii="宋体" w:hAnsi="宋体"/>
          <w:sz w:val="24"/>
          <w:highlight w:val="none"/>
          <w:lang w:val="hr-HR"/>
        </w:rPr>
        <w:t>涉及的商品包装和快递包装，均应符合《商品包装政府采购需求标准(试行)》《快递包装政 府采购需求标准(试行)》的要求，包装应适应于远距离运输、防潮、防震、防锈和防野蛮装卸，以确保货物安全无损运抵指定地点。</w:t>
      </w:r>
    </w:p>
    <w:p w14:paraId="07582D1D">
      <w:pPr>
        <w:spacing w:line="360" w:lineRule="auto"/>
        <w:ind w:firstLine="482" w:firstLineChars="200"/>
        <w:rPr>
          <w:rFonts w:ascii="宋体" w:hAnsi="宋体"/>
          <w:sz w:val="24"/>
          <w:highlight w:val="none"/>
        </w:rPr>
      </w:pPr>
      <w:r>
        <w:rPr>
          <w:rFonts w:ascii="宋体" w:hAnsi="宋体"/>
          <w:b/>
          <w:sz w:val="24"/>
          <w:highlight w:val="none"/>
        </w:rPr>
        <w:t>六、质量保证</w:t>
      </w:r>
    </w:p>
    <w:p w14:paraId="1B409103">
      <w:pPr>
        <w:spacing w:line="360" w:lineRule="auto"/>
        <w:ind w:firstLine="480" w:firstLineChars="200"/>
        <w:rPr>
          <w:rFonts w:hint="eastAsia" w:ascii="宋体" w:hAnsi="宋体"/>
          <w:sz w:val="24"/>
          <w:highlight w:val="none"/>
          <w:lang w:val="hr-HR"/>
        </w:rPr>
      </w:pPr>
      <w:r>
        <w:rPr>
          <w:rFonts w:hint="eastAsia" w:ascii="宋体" w:hAnsi="宋体"/>
          <w:sz w:val="24"/>
          <w:highlight w:val="none"/>
          <w:lang w:val="hr-HR"/>
        </w:rPr>
        <w:t>（1）产品的质量保证期 不少于36个月（供应商承诺质保期高于36个月，质保期为供应商实际承诺的时间）。</w:t>
      </w:r>
    </w:p>
    <w:p w14:paraId="1A5CEDCF">
      <w:pPr>
        <w:spacing w:line="360" w:lineRule="auto"/>
        <w:ind w:firstLine="480" w:firstLineChars="200"/>
        <w:rPr>
          <w:rFonts w:hint="eastAsia" w:ascii="宋体" w:hAnsi="宋体"/>
          <w:sz w:val="24"/>
          <w:highlight w:val="none"/>
          <w:lang w:val="hr-HR"/>
        </w:rPr>
      </w:pPr>
      <w:r>
        <w:rPr>
          <w:rFonts w:hint="eastAsia" w:ascii="宋体" w:hAnsi="宋体"/>
          <w:sz w:val="24"/>
          <w:highlight w:val="none"/>
          <w:lang w:val="hr-HR"/>
        </w:rPr>
        <w:t>（2）供应商保证所提供的产品质量可靠，进货渠道正常，配置合理，技术性能完全满足招标文件要求；</w:t>
      </w:r>
    </w:p>
    <w:p w14:paraId="160E7333">
      <w:pPr>
        <w:spacing w:line="360" w:lineRule="auto"/>
        <w:ind w:firstLine="480" w:firstLineChars="200"/>
        <w:rPr>
          <w:rFonts w:hint="eastAsia" w:ascii="宋体" w:hAnsi="宋体"/>
          <w:sz w:val="24"/>
          <w:highlight w:val="none"/>
          <w:lang w:val="hr-HR"/>
        </w:rPr>
      </w:pPr>
      <w:r>
        <w:rPr>
          <w:rFonts w:hint="eastAsia" w:ascii="宋体" w:hAnsi="宋体"/>
          <w:sz w:val="24"/>
          <w:highlight w:val="none"/>
          <w:lang w:val="hr-HR"/>
        </w:rPr>
        <w:t>（3）若产品所用原材料或加工工艺造成的质量和内外观缺陷问题，由供应商负责解决并承担费用。（供应商保证货物是全新的、未曾使用过的、以优质工艺及材料制造，并保证所供产品的完整性，本项目产品为成套供货，总价中已包括满足产品完整运行的附件，备件，配套件等，产品质量应符合国标标准和本合同附件的要求,供应商应随机器提供产品检验报告。）</w:t>
      </w:r>
    </w:p>
    <w:p w14:paraId="45C52ED8">
      <w:pPr>
        <w:spacing w:line="360" w:lineRule="auto"/>
        <w:ind w:firstLine="480" w:firstLineChars="200"/>
        <w:rPr>
          <w:rFonts w:hint="eastAsia" w:ascii="宋体" w:hAnsi="宋体"/>
          <w:sz w:val="24"/>
          <w:highlight w:val="none"/>
          <w:lang w:val="hr-HR"/>
        </w:rPr>
      </w:pPr>
      <w:r>
        <w:rPr>
          <w:rFonts w:hint="eastAsia" w:ascii="宋体" w:hAnsi="宋体"/>
          <w:sz w:val="24"/>
          <w:highlight w:val="none"/>
          <w:lang w:val="hr-HR"/>
        </w:rPr>
        <w:t>（4）质保期内若发生产品质量问题，供应商应立即免费解决；超过质保期的，按照供应商及厂家承诺进行。</w:t>
      </w:r>
    </w:p>
    <w:p w14:paraId="682745DF">
      <w:pPr>
        <w:spacing w:line="360" w:lineRule="auto"/>
        <w:ind w:firstLine="480" w:firstLineChars="200"/>
        <w:rPr>
          <w:rFonts w:hint="eastAsia" w:ascii="宋体" w:hAnsi="宋体"/>
          <w:sz w:val="24"/>
          <w:highlight w:val="none"/>
          <w:lang w:val="hr-HR"/>
        </w:rPr>
      </w:pPr>
      <w:r>
        <w:rPr>
          <w:rFonts w:hint="eastAsia" w:ascii="宋体" w:hAnsi="宋体"/>
          <w:sz w:val="24"/>
          <w:highlight w:val="none"/>
          <w:lang w:val="hr-HR"/>
        </w:rPr>
        <w:t>（5）产品性能未达到技术要求的，供应商限期内进行整改；整改仍达不到要求的，采购人有权解除合同，保留依法索赔的权利。</w:t>
      </w:r>
    </w:p>
    <w:p w14:paraId="71467465">
      <w:pPr>
        <w:spacing w:line="360" w:lineRule="auto"/>
        <w:ind w:firstLine="480" w:firstLineChars="200"/>
        <w:rPr>
          <w:rFonts w:hint="eastAsia" w:ascii="宋体" w:hAnsi="宋体"/>
          <w:sz w:val="24"/>
          <w:highlight w:val="none"/>
          <w:lang w:val="hr-HR"/>
        </w:rPr>
      </w:pPr>
      <w:r>
        <w:rPr>
          <w:rFonts w:hint="eastAsia" w:ascii="宋体" w:hAnsi="宋体"/>
          <w:sz w:val="24"/>
          <w:highlight w:val="none"/>
          <w:lang w:val="hr-HR"/>
        </w:rPr>
        <w:t>（6）知识产权：即供应商应保证采购人在使用成交货物时，不承担任何涉及知识产权法律诉讼的责任。</w:t>
      </w:r>
    </w:p>
    <w:p w14:paraId="4CC9FAF8">
      <w:pPr>
        <w:spacing w:line="360" w:lineRule="auto"/>
        <w:ind w:firstLine="480" w:firstLineChars="200"/>
        <w:rPr>
          <w:rFonts w:hint="eastAsia" w:ascii="宋体" w:hAnsi="宋体"/>
          <w:sz w:val="24"/>
          <w:highlight w:val="none"/>
          <w:lang w:val="hr-HR" w:eastAsia="zh-CN"/>
        </w:rPr>
      </w:pPr>
      <w:r>
        <w:rPr>
          <w:rFonts w:hint="eastAsia" w:ascii="宋体" w:hAnsi="宋体"/>
          <w:sz w:val="24"/>
          <w:highlight w:val="none"/>
          <w:lang w:val="hr-HR" w:eastAsia="zh-CN"/>
        </w:rPr>
        <w:t>（</w:t>
      </w:r>
      <w:r>
        <w:rPr>
          <w:rFonts w:hint="eastAsia" w:ascii="宋体" w:hAnsi="宋体"/>
          <w:sz w:val="24"/>
          <w:highlight w:val="none"/>
          <w:lang w:val="en-US" w:eastAsia="zh-CN"/>
        </w:rPr>
        <w:t>7</w:t>
      </w:r>
      <w:r>
        <w:rPr>
          <w:rFonts w:hint="eastAsia" w:ascii="宋体" w:hAnsi="宋体"/>
          <w:sz w:val="24"/>
          <w:highlight w:val="none"/>
          <w:lang w:val="hr-HR" w:eastAsia="zh-CN"/>
        </w:rPr>
        <w:t>）</w:t>
      </w:r>
      <w:r>
        <w:rPr>
          <w:rFonts w:hint="eastAsia" w:ascii="宋体" w:hAnsi="宋体"/>
          <w:sz w:val="24"/>
          <w:highlight w:val="none"/>
          <w:lang w:val="en-US" w:eastAsia="zh-CN"/>
        </w:rPr>
        <w:t>供应商</w:t>
      </w:r>
      <w:r>
        <w:rPr>
          <w:rFonts w:hint="eastAsia" w:ascii="宋体" w:hAnsi="宋体"/>
          <w:sz w:val="24"/>
          <w:highlight w:val="none"/>
          <w:lang w:val="hr-HR" w:eastAsia="zh-CN"/>
        </w:rPr>
        <w:t>须提供该项目教学所需的相关视频、动画、仿真交互、图片等数字资源。</w:t>
      </w:r>
    </w:p>
    <w:p w14:paraId="26126648">
      <w:pPr>
        <w:adjustRightInd w:val="0"/>
        <w:snapToGrid w:val="0"/>
        <w:spacing w:line="360" w:lineRule="auto"/>
        <w:ind w:firstLine="359" w:firstLineChars="149"/>
        <w:rPr>
          <w:rFonts w:ascii="宋体" w:hAnsi="宋体"/>
          <w:b/>
          <w:sz w:val="24"/>
          <w:highlight w:val="none"/>
        </w:rPr>
      </w:pPr>
      <w:r>
        <w:rPr>
          <w:rFonts w:ascii="宋体" w:hAnsi="宋体"/>
          <w:b/>
          <w:sz w:val="24"/>
          <w:highlight w:val="none"/>
        </w:rPr>
        <w:t>七、安装、调试及技术服务</w:t>
      </w:r>
    </w:p>
    <w:p w14:paraId="1D1FB9F5">
      <w:pPr>
        <w:spacing w:line="360" w:lineRule="auto"/>
        <w:ind w:firstLine="496" w:firstLineChars="207"/>
        <w:rPr>
          <w:rFonts w:ascii="宋体" w:hAnsi="宋体"/>
          <w:sz w:val="24"/>
          <w:highlight w:val="none"/>
        </w:rPr>
      </w:pPr>
      <w:r>
        <w:rPr>
          <w:rFonts w:ascii="宋体" w:hAnsi="宋体"/>
          <w:sz w:val="24"/>
          <w:highlight w:val="none"/>
        </w:rPr>
        <w:t>1、技术资料包括：出厂检测报告、产品使用说明书、合格证等其它相关资料。</w:t>
      </w:r>
    </w:p>
    <w:p w14:paraId="42175D59">
      <w:pPr>
        <w:spacing w:line="360" w:lineRule="auto"/>
        <w:ind w:firstLine="480" w:firstLineChars="200"/>
        <w:rPr>
          <w:rFonts w:ascii="宋体" w:hAnsi="宋体"/>
          <w:sz w:val="24"/>
          <w:highlight w:val="none"/>
        </w:rPr>
      </w:pPr>
      <w:r>
        <w:rPr>
          <w:rFonts w:ascii="宋体" w:hAnsi="宋体"/>
          <w:sz w:val="24"/>
          <w:highlight w:val="none"/>
        </w:rPr>
        <w:t>2、在质保期内（保修起始日为货到验收合格之日起），乙方在接到用户对所购产品进行维修的要求后，24小时内到用户现场进行维修服务，全部费用由乙方支付，若需将产品送回生产厂，由乙方支付维修产品所需的往返费用。</w:t>
      </w:r>
    </w:p>
    <w:p w14:paraId="24009A33">
      <w:pPr>
        <w:spacing w:line="360" w:lineRule="auto"/>
        <w:ind w:firstLine="360" w:firstLineChars="150"/>
        <w:rPr>
          <w:rFonts w:ascii="宋体" w:hAnsi="宋体"/>
          <w:sz w:val="24"/>
          <w:highlight w:val="none"/>
        </w:rPr>
      </w:pPr>
      <w:r>
        <w:rPr>
          <w:rFonts w:ascii="宋体" w:hAnsi="宋体"/>
          <w:sz w:val="24"/>
          <w:highlight w:val="none"/>
        </w:rPr>
        <w:t>3、乙方保证产品完全按招标要求提供，若达不到要求，乙方须及时跟甲方沟通协商更换产品，并按照再次验收合格时间相应延长该产品保修期。</w:t>
      </w:r>
    </w:p>
    <w:p w14:paraId="4D6AD54A">
      <w:pPr>
        <w:spacing w:line="360" w:lineRule="auto"/>
        <w:ind w:firstLine="480" w:firstLineChars="200"/>
        <w:rPr>
          <w:rFonts w:ascii="宋体" w:hAnsi="宋体"/>
          <w:sz w:val="24"/>
          <w:highlight w:val="none"/>
        </w:rPr>
      </w:pPr>
      <w:r>
        <w:rPr>
          <w:rFonts w:ascii="宋体" w:hAnsi="宋体"/>
          <w:sz w:val="24"/>
          <w:highlight w:val="none"/>
        </w:rPr>
        <w:t>4、技术培训</w:t>
      </w:r>
    </w:p>
    <w:p w14:paraId="3CB15F9C">
      <w:pPr>
        <w:spacing w:line="360" w:lineRule="auto"/>
        <w:ind w:firstLine="600" w:firstLineChars="250"/>
        <w:rPr>
          <w:rFonts w:ascii="宋体" w:hAnsi="宋体"/>
          <w:sz w:val="24"/>
          <w:highlight w:val="none"/>
        </w:rPr>
      </w:pPr>
      <w:r>
        <w:rPr>
          <w:rFonts w:ascii="宋体" w:hAnsi="宋体"/>
          <w:sz w:val="24"/>
          <w:highlight w:val="none"/>
        </w:rPr>
        <w:t>1）内容：包括产品原理、使用操作、保养维修技术等，使受训人员达到独立使用、熟练操作的程度。</w:t>
      </w:r>
    </w:p>
    <w:p w14:paraId="351BF639">
      <w:pPr>
        <w:spacing w:line="360" w:lineRule="auto"/>
        <w:ind w:firstLine="600" w:firstLineChars="250"/>
        <w:rPr>
          <w:rFonts w:ascii="宋体" w:hAnsi="宋体"/>
          <w:sz w:val="24"/>
          <w:highlight w:val="none"/>
        </w:rPr>
      </w:pPr>
      <w:r>
        <w:rPr>
          <w:rFonts w:ascii="宋体" w:hAnsi="宋体"/>
          <w:sz w:val="24"/>
          <w:highlight w:val="none"/>
        </w:rPr>
        <w:t>2）培训准备：每台仪器培训主要操作人员2-3人。</w:t>
      </w:r>
    </w:p>
    <w:p w14:paraId="01472F2E">
      <w:pPr>
        <w:spacing w:line="360" w:lineRule="auto"/>
        <w:ind w:firstLine="600" w:firstLineChars="250"/>
        <w:rPr>
          <w:rFonts w:ascii="宋体" w:hAnsi="宋体"/>
          <w:sz w:val="24"/>
          <w:highlight w:val="none"/>
        </w:rPr>
      </w:pPr>
      <w:r>
        <w:rPr>
          <w:rFonts w:ascii="宋体" w:hAnsi="宋体"/>
          <w:sz w:val="24"/>
          <w:highlight w:val="none"/>
        </w:rPr>
        <w:t>3）地点：仪器安装地点（</w:t>
      </w:r>
      <w:r>
        <w:rPr>
          <w:rFonts w:hint="eastAsia" w:ascii="宋体" w:hAnsi="宋体"/>
          <w:sz w:val="24"/>
          <w:highlight w:val="none"/>
        </w:rPr>
        <w:t>陕西铁路工程职业技术学院</w:t>
      </w:r>
      <w:r>
        <w:rPr>
          <w:rFonts w:ascii="宋体" w:hAnsi="宋体"/>
          <w:sz w:val="24"/>
          <w:highlight w:val="none"/>
        </w:rPr>
        <w:t>）</w:t>
      </w:r>
    </w:p>
    <w:p w14:paraId="25057069">
      <w:pPr>
        <w:spacing w:line="360" w:lineRule="auto"/>
        <w:ind w:firstLine="600" w:firstLineChars="250"/>
        <w:rPr>
          <w:rFonts w:ascii="宋体" w:hAnsi="宋体"/>
          <w:sz w:val="24"/>
          <w:highlight w:val="none"/>
        </w:rPr>
      </w:pPr>
      <w:r>
        <w:rPr>
          <w:rFonts w:ascii="宋体" w:hAnsi="宋体"/>
          <w:sz w:val="24"/>
          <w:highlight w:val="none"/>
        </w:rPr>
        <w:t>4）时间：在收到</w:t>
      </w:r>
      <w:r>
        <w:rPr>
          <w:rFonts w:hint="eastAsia" w:ascii="宋体" w:hAnsi="宋体"/>
          <w:sz w:val="24"/>
          <w:highlight w:val="none"/>
        </w:rPr>
        <w:t>甲方</w:t>
      </w:r>
      <w:r>
        <w:rPr>
          <w:rFonts w:ascii="宋体" w:hAnsi="宋体"/>
          <w:sz w:val="24"/>
          <w:highlight w:val="none"/>
        </w:rPr>
        <w:t>通知后一周内安排。</w:t>
      </w:r>
    </w:p>
    <w:p w14:paraId="266F8224">
      <w:pPr>
        <w:adjustRightInd w:val="0"/>
        <w:snapToGrid w:val="0"/>
        <w:spacing w:line="360" w:lineRule="auto"/>
        <w:ind w:firstLine="480" w:firstLineChars="200"/>
        <w:rPr>
          <w:rFonts w:ascii="宋体" w:hAnsi="宋体"/>
          <w:sz w:val="24"/>
          <w:highlight w:val="none"/>
        </w:rPr>
      </w:pPr>
      <w:r>
        <w:rPr>
          <w:rFonts w:ascii="宋体" w:hAnsi="宋体"/>
          <w:sz w:val="24"/>
          <w:highlight w:val="none"/>
        </w:rPr>
        <w:t>5、服务承诺：</w:t>
      </w:r>
      <w:r>
        <w:rPr>
          <w:rFonts w:hint="eastAsia" w:ascii="宋体" w:hAnsi="宋体"/>
          <w:sz w:val="24"/>
          <w:highlight w:val="none"/>
        </w:rPr>
        <w:t>按投标文件中的服</w:t>
      </w:r>
      <w:r>
        <w:rPr>
          <w:rFonts w:ascii="宋体" w:hAnsi="宋体"/>
          <w:sz w:val="24"/>
          <w:highlight w:val="none"/>
        </w:rPr>
        <w:t>务承诺执行。</w:t>
      </w:r>
    </w:p>
    <w:p w14:paraId="148EA041">
      <w:pPr>
        <w:adjustRightInd w:val="0"/>
        <w:snapToGrid w:val="0"/>
        <w:spacing w:line="360" w:lineRule="auto"/>
        <w:ind w:firstLine="480" w:firstLineChars="200"/>
        <w:rPr>
          <w:rFonts w:ascii="宋体" w:hAnsi="宋体"/>
          <w:sz w:val="24"/>
          <w:highlight w:val="none"/>
        </w:rPr>
      </w:pPr>
      <w:r>
        <w:rPr>
          <w:rFonts w:ascii="宋体" w:hAnsi="宋体"/>
          <w:sz w:val="24"/>
          <w:highlight w:val="none"/>
        </w:rPr>
        <w:t>6、安装调试过程中出现的安全责任问题由乙方全权负责。</w:t>
      </w:r>
    </w:p>
    <w:p w14:paraId="18C5A46B">
      <w:pPr>
        <w:tabs>
          <w:tab w:val="left" w:pos="5355"/>
        </w:tabs>
        <w:spacing w:line="360" w:lineRule="auto"/>
        <w:ind w:firstLine="506" w:firstLineChars="210"/>
        <w:rPr>
          <w:rFonts w:ascii="宋体" w:hAnsi="宋体"/>
          <w:b/>
          <w:sz w:val="24"/>
          <w:highlight w:val="none"/>
        </w:rPr>
      </w:pPr>
      <w:r>
        <w:rPr>
          <w:rFonts w:ascii="宋体" w:hAnsi="宋体"/>
          <w:b/>
          <w:sz w:val="24"/>
          <w:highlight w:val="none"/>
        </w:rPr>
        <w:t>八、违约责任：</w:t>
      </w:r>
    </w:p>
    <w:p w14:paraId="6E8D3DC0">
      <w:pPr>
        <w:adjustRightInd w:val="0"/>
        <w:snapToGrid w:val="0"/>
        <w:spacing w:line="360" w:lineRule="auto"/>
        <w:ind w:firstLine="480" w:firstLineChars="200"/>
        <w:rPr>
          <w:rFonts w:ascii="宋体" w:hAnsi="宋体"/>
          <w:color w:val="0000FF"/>
          <w:sz w:val="24"/>
          <w:highlight w:val="none"/>
        </w:rPr>
      </w:pPr>
      <w:r>
        <w:rPr>
          <w:rFonts w:ascii="宋体" w:hAnsi="宋体"/>
          <w:sz w:val="24"/>
          <w:highlight w:val="none"/>
        </w:rPr>
        <w:t>1、按《中华人民共和国</w:t>
      </w:r>
      <w:r>
        <w:rPr>
          <w:rFonts w:hint="eastAsia" w:ascii="宋体" w:hAnsi="宋体"/>
          <w:sz w:val="24"/>
          <w:highlight w:val="none"/>
        </w:rPr>
        <w:t>民法典</w:t>
      </w:r>
      <w:r>
        <w:rPr>
          <w:rFonts w:ascii="宋体" w:hAnsi="宋体"/>
          <w:sz w:val="24"/>
          <w:highlight w:val="none"/>
        </w:rPr>
        <w:t>》中</w:t>
      </w:r>
      <w:r>
        <w:rPr>
          <w:rFonts w:hint="eastAsia" w:ascii="宋体" w:hAnsi="宋体"/>
          <w:sz w:val="24"/>
          <w:highlight w:val="none"/>
        </w:rPr>
        <w:t>合同部分</w:t>
      </w:r>
      <w:r>
        <w:rPr>
          <w:rFonts w:ascii="宋体" w:hAnsi="宋体"/>
          <w:sz w:val="24"/>
          <w:highlight w:val="none"/>
        </w:rPr>
        <w:t>的相关条款执行。</w:t>
      </w:r>
    </w:p>
    <w:p w14:paraId="41F1C56B">
      <w:pPr>
        <w:adjustRightInd w:val="0"/>
        <w:snapToGrid w:val="0"/>
        <w:spacing w:line="360" w:lineRule="auto"/>
        <w:ind w:firstLine="480" w:firstLineChars="200"/>
        <w:rPr>
          <w:rFonts w:ascii="宋体" w:hAnsi="宋体"/>
          <w:sz w:val="24"/>
          <w:highlight w:val="none"/>
        </w:rPr>
      </w:pPr>
      <w:r>
        <w:rPr>
          <w:rFonts w:ascii="宋体" w:hAnsi="宋体"/>
          <w:sz w:val="24"/>
          <w:highlight w:val="none"/>
        </w:rPr>
        <w:t>2、未按合同要求提供产品或产品质量不能满足技术要求，甲方有权终止合同，并保留追究乙方违约责任的权利。</w:t>
      </w:r>
    </w:p>
    <w:p w14:paraId="64D2D19C">
      <w:pPr>
        <w:adjustRightInd w:val="0"/>
        <w:snapToGrid w:val="0"/>
        <w:spacing w:line="360" w:lineRule="auto"/>
        <w:ind w:firstLine="480" w:firstLineChars="200"/>
        <w:rPr>
          <w:rFonts w:ascii="宋体" w:hAnsi="宋体"/>
          <w:sz w:val="24"/>
          <w:highlight w:val="none"/>
        </w:rPr>
      </w:pPr>
      <w:r>
        <w:rPr>
          <w:rFonts w:ascii="宋体" w:hAnsi="宋体"/>
          <w:sz w:val="24"/>
          <w:highlight w:val="none"/>
        </w:rPr>
        <w:t>3、时间迟延的，违约方按照每天1‰向对方承担违约责任。产品质量问题违约的，除了按照迟延时间计算违约金外，另可以采取退货、换货等方式，由供方承担一切费用。</w:t>
      </w:r>
    </w:p>
    <w:p w14:paraId="29D1AEFF">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4、乙方不得</w:t>
      </w:r>
      <w:r>
        <w:rPr>
          <w:rFonts w:ascii="宋体" w:hAnsi="宋体"/>
          <w:sz w:val="24"/>
          <w:highlight w:val="none"/>
        </w:rPr>
        <w:t>进行债权转让。</w:t>
      </w:r>
    </w:p>
    <w:p w14:paraId="6CF92CF2">
      <w:pPr>
        <w:spacing w:line="360" w:lineRule="auto"/>
        <w:ind w:firstLine="532"/>
        <w:rPr>
          <w:rFonts w:ascii="宋体" w:hAnsi="宋体"/>
          <w:b/>
          <w:sz w:val="24"/>
          <w:highlight w:val="none"/>
        </w:rPr>
      </w:pPr>
      <w:r>
        <w:rPr>
          <w:rFonts w:ascii="宋体" w:hAnsi="宋体"/>
          <w:b/>
          <w:sz w:val="24"/>
          <w:highlight w:val="none"/>
        </w:rPr>
        <w:t>九、产品验收</w:t>
      </w:r>
    </w:p>
    <w:p w14:paraId="2394AF5E">
      <w:pPr>
        <w:spacing w:line="360" w:lineRule="auto"/>
        <w:ind w:firstLine="480" w:firstLineChars="200"/>
        <w:rPr>
          <w:rFonts w:ascii="宋体" w:hAnsi="宋体"/>
          <w:sz w:val="24"/>
          <w:highlight w:val="none"/>
        </w:rPr>
      </w:pPr>
      <w:r>
        <w:rPr>
          <w:rFonts w:hint="eastAsia" w:ascii="宋体" w:hAnsi="宋体"/>
          <w:sz w:val="24"/>
          <w:highlight w:val="none"/>
        </w:rPr>
        <w:t>（1）产品到货后，供应商负责安装调试，达到正常运行条件后书面通知采购人验收。</w:t>
      </w:r>
      <w:r>
        <w:rPr>
          <w:rFonts w:hint="eastAsia" w:ascii="宋体" w:hAnsi="宋体"/>
          <w:sz w:val="24"/>
          <w:highlight w:val="none"/>
          <w:lang w:val="hr-HR"/>
        </w:rPr>
        <w:t>采购人收到验收申请后</w:t>
      </w:r>
      <w:r>
        <w:rPr>
          <w:rFonts w:hint="eastAsia" w:ascii="宋体" w:hAnsi="宋体"/>
          <w:sz w:val="24"/>
          <w:highlight w:val="none"/>
        </w:rPr>
        <w:t>30日历日内</w:t>
      </w:r>
      <w:r>
        <w:rPr>
          <w:rFonts w:hint="eastAsia" w:ascii="宋体" w:hAnsi="宋体"/>
          <w:sz w:val="24"/>
          <w:highlight w:val="none"/>
          <w:lang w:val="hr-HR"/>
        </w:rPr>
        <w:t>组织验收，验收时中标人应无条件予以配合并提供验收所需的全部资料，若中标人不配合或者未按合同要求提供服务的，采购人将拒绝验收。</w:t>
      </w:r>
    </w:p>
    <w:p w14:paraId="387CFC45">
      <w:pPr>
        <w:spacing w:line="360" w:lineRule="auto"/>
        <w:ind w:firstLine="480" w:firstLineChars="200"/>
        <w:rPr>
          <w:rFonts w:ascii="宋体" w:hAnsi="宋体"/>
          <w:sz w:val="24"/>
          <w:highlight w:val="none"/>
        </w:rPr>
      </w:pPr>
      <w:r>
        <w:rPr>
          <w:rFonts w:hint="eastAsia" w:ascii="宋体" w:hAnsi="宋体"/>
          <w:sz w:val="24"/>
          <w:highlight w:val="none"/>
        </w:rPr>
        <w:t>（2）安装完成后应提供详细的安装报告，并详细记录各种指示的实测数据。</w:t>
      </w:r>
    </w:p>
    <w:p w14:paraId="15D69695">
      <w:pPr>
        <w:spacing w:line="360" w:lineRule="auto"/>
        <w:ind w:firstLine="480" w:firstLineChars="200"/>
        <w:rPr>
          <w:rFonts w:ascii="宋体" w:hAnsi="宋体"/>
          <w:sz w:val="24"/>
          <w:highlight w:val="none"/>
        </w:rPr>
      </w:pPr>
      <w:r>
        <w:rPr>
          <w:rFonts w:hint="eastAsia" w:ascii="宋体" w:hAnsi="宋体"/>
          <w:sz w:val="24"/>
          <w:highlight w:val="none"/>
        </w:rPr>
        <w:t>（3）提供完整的操作手册和安装、调试、维修手册；提供制造厂家的检验测试报告或产品出厂检测报告。</w:t>
      </w:r>
    </w:p>
    <w:p w14:paraId="4AA0CEF6">
      <w:pPr>
        <w:spacing w:line="360" w:lineRule="auto"/>
        <w:ind w:firstLine="480" w:firstLineChars="200"/>
        <w:rPr>
          <w:rFonts w:ascii="宋体" w:hAnsi="宋体"/>
          <w:sz w:val="24"/>
          <w:highlight w:val="none"/>
        </w:rPr>
      </w:pPr>
      <w:r>
        <w:rPr>
          <w:rFonts w:hint="eastAsia" w:ascii="宋体" w:hAnsi="宋体"/>
          <w:sz w:val="24"/>
          <w:highlight w:val="none"/>
        </w:rPr>
        <w:t>（4）采购人根据合同要求对产品进行验收、确认产品的产地、规格、型号和数量。验收依据为本合同文本、招标文件和国内相应的标准、规范。</w:t>
      </w:r>
    </w:p>
    <w:p w14:paraId="141A79EC">
      <w:pPr>
        <w:spacing w:line="360" w:lineRule="auto"/>
        <w:ind w:firstLine="480" w:firstLineChars="200"/>
        <w:rPr>
          <w:rFonts w:ascii="宋体" w:hAnsi="宋体"/>
          <w:sz w:val="24"/>
          <w:highlight w:val="none"/>
        </w:rPr>
      </w:pPr>
      <w:r>
        <w:rPr>
          <w:rFonts w:hint="eastAsia" w:ascii="宋体" w:hAnsi="宋体"/>
          <w:sz w:val="24"/>
          <w:highlight w:val="none"/>
        </w:rPr>
        <w:t>（5）验收合格后，填写产品验收单，并由供应商向采购人提交产品所包含的所有资料，以便采购人日后管理和维护。</w:t>
      </w:r>
    </w:p>
    <w:p w14:paraId="4FFA1C89">
      <w:pPr>
        <w:spacing w:line="360" w:lineRule="auto"/>
        <w:ind w:firstLine="480" w:firstLineChars="200"/>
        <w:rPr>
          <w:rFonts w:ascii="宋体" w:hAnsi="宋体"/>
          <w:sz w:val="24"/>
          <w:highlight w:val="none"/>
        </w:rPr>
      </w:pPr>
      <w:r>
        <w:rPr>
          <w:rFonts w:hint="eastAsia" w:ascii="宋体" w:hAnsi="宋体"/>
          <w:sz w:val="24"/>
          <w:highlight w:val="none"/>
        </w:rPr>
        <w:t>（6）验收由采购人负责组织或者邀请有关专家、质检机构、采购代理机构共同进行验收,验收须以合同、招标文件、澄清、及国家相应的标准、规范等为依据。</w:t>
      </w:r>
    </w:p>
    <w:p w14:paraId="66CD8AC0">
      <w:pPr>
        <w:spacing w:line="360" w:lineRule="auto"/>
        <w:ind w:firstLine="480" w:firstLineChars="200"/>
        <w:rPr>
          <w:rFonts w:ascii="宋体" w:hAnsi="宋体"/>
          <w:sz w:val="24"/>
          <w:highlight w:val="none"/>
          <w:lang w:val="hr-HR"/>
        </w:rPr>
      </w:pPr>
      <w:r>
        <w:rPr>
          <w:rFonts w:hint="eastAsia" w:ascii="宋体" w:hAnsi="宋体"/>
          <w:sz w:val="24"/>
          <w:highlight w:val="none"/>
          <w:lang w:val="hr-HR"/>
        </w:rPr>
        <w:t>（</w:t>
      </w:r>
      <w:r>
        <w:rPr>
          <w:rFonts w:hint="eastAsia" w:ascii="宋体" w:hAnsi="宋体"/>
          <w:sz w:val="24"/>
          <w:highlight w:val="none"/>
        </w:rPr>
        <w:t>7</w:t>
      </w:r>
      <w:r>
        <w:rPr>
          <w:rFonts w:hint="eastAsia" w:ascii="宋体" w:hAnsi="宋体"/>
          <w:sz w:val="24"/>
          <w:highlight w:val="none"/>
          <w:lang w:val="hr-HR"/>
        </w:rPr>
        <w:t>）项目验收另有国家强制性规定的,按国家规定执行,验收费用由投标人承担验收报告作为申请付款的凭证之一。验收过程中产生纠纷的，由质量技术监督部门认定的检测机构检测，如为投标人原因造成的,由投标人承担检测费用:否则由采购方承担。</w:t>
      </w:r>
    </w:p>
    <w:p w14:paraId="51861202">
      <w:pPr>
        <w:spacing w:line="360" w:lineRule="auto"/>
        <w:ind w:firstLine="480" w:firstLineChars="200"/>
        <w:rPr>
          <w:rFonts w:ascii="宋体" w:hAnsi="宋体"/>
          <w:sz w:val="24"/>
          <w:highlight w:val="none"/>
          <w:lang w:val="hr-HR"/>
        </w:rPr>
      </w:pPr>
      <w:r>
        <w:rPr>
          <w:rFonts w:hint="eastAsia" w:ascii="宋体" w:hAnsi="宋体"/>
          <w:sz w:val="24"/>
          <w:highlight w:val="none"/>
          <w:lang w:val="hr-HR"/>
        </w:rPr>
        <w:t>（</w:t>
      </w:r>
      <w:r>
        <w:rPr>
          <w:rFonts w:hint="eastAsia" w:ascii="宋体" w:hAnsi="宋体"/>
          <w:sz w:val="24"/>
          <w:highlight w:val="none"/>
        </w:rPr>
        <w:t>8</w:t>
      </w:r>
      <w:r>
        <w:rPr>
          <w:rFonts w:hint="eastAsia" w:ascii="宋体" w:hAnsi="宋体"/>
          <w:sz w:val="24"/>
          <w:highlight w:val="none"/>
          <w:lang w:val="hr-HR"/>
        </w:rPr>
        <w:t>）项目验收不合格由投标人返工直至合格，有关返工、再行验收,以及给采购方造成的损失等费用由投标人承担连续两次项目验收不合格的，采购方可终止合同，由此带来的一切损失由投标人承担。具体内容详见合同。</w:t>
      </w:r>
    </w:p>
    <w:p w14:paraId="22814191">
      <w:pPr>
        <w:spacing w:line="360" w:lineRule="auto"/>
        <w:ind w:firstLine="482" w:firstLineChars="200"/>
        <w:rPr>
          <w:rFonts w:ascii="宋体" w:hAnsi="宋体"/>
          <w:b/>
          <w:bCs/>
          <w:sz w:val="24"/>
          <w:highlight w:val="none"/>
        </w:rPr>
      </w:pPr>
      <w:r>
        <w:rPr>
          <w:rFonts w:hint="eastAsia" w:ascii="宋体" w:hAnsi="宋体"/>
          <w:b/>
          <w:bCs/>
          <w:sz w:val="24"/>
          <w:highlight w:val="none"/>
        </w:rPr>
        <w:t>十、售后服务：</w:t>
      </w:r>
    </w:p>
    <w:p w14:paraId="575317C4">
      <w:pPr>
        <w:spacing w:line="360" w:lineRule="auto"/>
        <w:ind w:firstLine="480" w:firstLineChars="200"/>
        <w:rPr>
          <w:rFonts w:ascii="宋体" w:hAnsi="宋体"/>
          <w:sz w:val="24"/>
          <w:highlight w:val="none"/>
        </w:rPr>
      </w:pPr>
      <w:r>
        <w:rPr>
          <w:rFonts w:hint="eastAsia" w:ascii="宋体" w:hAnsi="宋体"/>
          <w:sz w:val="24"/>
          <w:highlight w:val="none"/>
          <w:lang w:val="hr-HR"/>
        </w:rPr>
        <w:t>产品的质量保证期 不少于36个月（</w:t>
      </w:r>
      <w:r>
        <w:rPr>
          <w:rFonts w:hint="eastAsia" w:ascii="宋体" w:hAnsi="宋体"/>
          <w:sz w:val="24"/>
          <w:highlight w:val="none"/>
        </w:rPr>
        <w:t>供应商</w:t>
      </w:r>
      <w:r>
        <w:rPr>
          <w:rFonts w:hint="eastAsia" w:ascii="宋体" w:hAnsi="宋体"/>
          <w:sz w:val="24"/>
          <w:highlight w:val="none"/>
          <w:lang w:val="hr-HR"/>
        </w:rPr>
        <w:t>承诺质保期高于36个月，质保期为</w:t>
      </w:r>
      <w:r>
        <w:rPr>
          <w:rFonts w:hint="eastAsia" w:ascii="宋体" w:hAnsi="宋体"/>
          <w:sz w:val="24"/>
          <w:highlight w:val="none"/>
        </w:rPr>
        <w:t>供应商</w:t>
      </w:r>
      <w:r>
        <w:rPr>
          <w:rFonts w:hint="eastAsia" w:ascii="宋体" w:hAnsi="宋体"/>
          <w:sz w:val="24"/>
          <w:highlight w:val="none"/>
          <w:lang w:val="hr-HR"/>
        </w:rPr>
        <w:t>实际承诺的时间）。</w:t>
      </w:r>
    </w:p>
    <w:p w14:paraId="25D802B2">
      <w:pPr>
        <w:spacing w:line="360" w:lineRule="auto"/>
        <w:ind w:firstLine="482" w:firstLineChars="200"/>
        <w:rPr>
          <w:rFonts w:ascii="宋体" w:hAnsi="宋体"/>
          <w:b/>
          <w:sz w:val="24"/>
          <w:highlight w:val="none"/>
        </w:rPr>
      </w:pPr>
      <w:r>
        <w:rPr>
          <w:rFonts w:ascii="宋体" w:hAnsi="宋体"/>
          <w:b/>
          <w:sz w:val="24"/>
          <w:highlight w:val="none"/>
        </w:rPr>
        <w:t>十一、合同争议的解决：</w:t>
      </w:r>
    </w:p>
    <w:p w14:paraId="277F45AB">
      <w:pPr>
        <w:tabs>
          <w:tab w:val="left" w:pos="5355"/>
        </w:tabs>
        <w:spacing w:line="360" w:lineRule="auto"/>
        <w:ind w:firstLine="480" w:firstLineChars="200"/>
        <w:rPr>
          <w:rFonts w:ascii="宋体" w:hAnsi="宋体"/>
          <w:b/>
          <w:sz w:val="24"/>
          <w:highlight w:val="none"/>
        </w:rPr>
      </w:pPr>
      <w:r>
        <w:rPr>
          <w:rFonts w:ascii="宋体" w:hAnsi="宋体"/>
          <w:sz w:val="24"/>
          <w:highlight w:val="none"/>
        </w:rPr>
        <w:t>合同一经签订，不得随意变更、中止或终止。对确需变更、调整或者中止、终止合同的，应按规定履行相应的手续。</w:t>
      </w:r>
    </w:p>
    <w:p w14:paraId="3BD772A2">
      <w:pPr>
        <w:tabs>
          <w:tab w:val="left" w:pos="5355"/>
        </w:tabs>
        <w:spacing w:line="360" w:lineRule="auto"/>
        <w:ind w:firstLine="480" w:firstLineChars="200"/>
        <w:rPr>
          <w:rFonts w:ascii="宋体" w:hAnsi="宋体"/>
          <w:sz w:val="24"/>
          <w:highlight w:val="none"/>
        </w:rPr>
      </w:pPr>
      <w:r>
        <w:rPr>
          <w:rFonts w:ascii="宋体" w:hAnsi="宋体"/>
          <w:sz w:val="24"/>
          <w:highlight w:val="none"/>
        </w:rPr>
        <w:t>合同执行中发生争议的，甲、乙双方应协商解决，协商达不成一致时，可向</w:t>
      </w:r>
      <w:r>
        <w:rPr>
          <w:rFonts w:hint="eastAsia" w:ascii="宋体" w:hAnsi="宋体"/>
          <w:sz w:val="24"/>
          <w:highlight w:val="none"/>
        </w:rPr>
        <w:t>甲方所在</w:t>
      </w:r>
      <w:r>
        <w:rPr>
          <w:rFonts w:ascii="宋体" w:hAnsi="宋体"/>
          <w:sz w:val="24"/>
          <w:highlight w:val="none"/>
        </w:rPr>
        <w:t>地人民法院提请诉讼。</w:t>
      </w:r>
    </w:p>
    <w:p w14:paraId="51133929">
      <w:pPr>
        <w:tabs>
          <w:tab w:val="left" w:pos="980"/>
        </w:tabs>
        <w:spacing w:line="360" w:lineRule="auto"/>
        <w:ind w:firstLine="482" w:firstLineChars="200"/>
        <w:rPr>
          <w:rFonts w:ascii="宋体" w:hAnsi="宋体"/>
          <w:color w:val="000000"/>
          <w:sz w:val="24"/>
          <w:highlight w:val="none"/>
        </w:rPr>
      </w:pPr>
      <w:r>
        <w:rPr>
          <w:rFonts w:hint="eastAsia" w:ascii="宋体" w:hAnsi="宋体"/>
          <w:b/>
          <w:sz w:val="24"/>
          <w:highlight w:val="none"/>
        </w:rPr>
        <w:t>十二、本合同一式陆份，</w:t>
      </w:r>
      <w:r>
        <w:rPr>
          <w:rFonts w:hint="eastAsia" w:ascii="宋体" w:hAnsi="宋体"/>
          <w:color w:val="000000"/>
          <w:sz w:val="24"/>
          <w:highlight w:val="none"/>
        </w:rPr>
        <w:t>甲方肆份，乙方贰份。签字盖章后生效，合同执行完毕自动失效。（合同的服务承诺则长期有效）。</w:t>
      </w:r>
    </w:p>
    <w:p w14:paraId="1BC6B52E">
      <w:pPr>
        <w:spacing w:line="360" w:lineRule="auto"/>
        <w:ind w:firstLine="482" w:firstLineChars="200"/>
        <w:rPr>
          <w:rFonts w:ascii="宋体" w:hAnsi="宋体"/>
          <w:color w:val="FF0000"/>
          <w:sz w:val="24"/>
          <w:highlight w:val="none"/>
        </w:rPr>
      </w:pPr>
      <w:r>
        <w:rPr>
          <w:rFonts w:hint="eastAsia" w:ascii="宋体" w:hAnsi="宋体"/>
          <w:b/>
          <w:color w:val="FF0000"/>
          <w:sz w:val="24"/>
          <w:highlight w:val="none"/>
        </w:rPr>
        <w:t>十三、其它</w:t>
      </w:r>
      <w:r>
        <w:rPr>
          <w:rFonts w:hint="eastAsia" w:ascii="宋体" w:hAnsi="宋体"/>
          <w:b/>
          <w:bCs/>
          <w:color w:val="FF0000"/>
          <w:sz w:val="24"/>
          <w:highlight w:val="none"/>
        </w:rPr>
        <w:t>（乙方信息全部为必填项）</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8"/>
        <w:gridCol w:w="4629"/>
      </w:tblGrid>
      <w:tr w14:paraId="5DC7E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1DC9742">
            <w:pPr>
              <w:spacing w:line="360" w:lineRule="auto"/>
              <w:jc w:val="left"/>
              <w:rPr>
                <w:rFonts w:ascii="宋体" w:hAnsi="宋体"/>
                <w:sz w:val="24"/>
                <w:highlight w:val="none"/>
              </w:rPr>
            </w:pPr>
            <w:r>
              <w:rPr>
                <w:rFonts w:hint="eastAsia" w:ascii="宋体" w:hAnsi="宋体"/>
                <w:sz w:val="24"/>
                <w:highlight w:val="none"/>
              </w:rPr>
              <w:t>甲  方</w:t>
            </w:r>
          </w:p>
        </w:tc>
        <w:tc>
          <w:tcPr>
            <w:tcW w:w="4629" w:type="dxa"/>
            <w:tcBorders>
              <w:top w:val="single" w:color="auto" w:sz="4" w:space="0"/>
              <w:left w:val="single" w:color="auto" w:sz="4" w:space="0"/>
              <w:bottom w:val="single" w:color="auto" w:sz="4" w:space="0"/>
              <w:right w:val="single" w:color="auto" w:sz="4" w:space="0"/>
            </w:tcBorders>
            <w:vAlign w:val="center"/>
          </w:tcPr>
          <w:p w14:paraId="105A5AC9">
            <w:pPr>
              <w:spacing w:line="360" w:lineRule="auto"/>
              <w:jc w:val="left"/>
              <w:rPr>
                <w:rFonts w:ascii="宋体" w:hAnsi="宋体"/>
                <w:color w:val="FF0000"/>
                <w:sz w:val="24"/>
                <w:highlight w:val="none"/>
              </w:rPr>
            </w:pPr>
            <w:r>
              <w:rPr>
                <w:rFonts w:hint="eastAsia" w:ascii="宋体" w:hAnsi="宋体"/>
                <w:color w:val="FF0000"/>
                <w:sz w:val="24"/>
                <w:highlight w:val="none"/>
              </w:rPr>
              <w:t>乙  方</w:t>
            </w:r>
          </w:p>
        </w:tc>
      </w:tr>
      <w:tr w14:paraId="6457C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9BE5968">
            <w:pPr>
              <w:spacing w:line="360" w:lineRule="auto"/>
              <w:jc w:val="left"/>
              <w:rPr>
                <w:rFonts w:ascii="宋体" w:hAnsi="宋体"/>
                <w:sz w:val="24"/>
                <w:highlight w:val="none"/>
              </w:rPr>
            </w:pPr>
            <w:r>
              <w:rPr>
                <w:rFonts w:hint="eastAsia" w:ascii="宋体" w:hAnsi="宋体"/>
                <w:sz w:val="24"/>
                <w:highlight w:val="none"/>
              </w:rPr>
              <w:t>（盖章）</w:t>
            </w:r>
          </w:p>
        </w:tc>
        <w:tc>
          <w:tcPr>
            <w:tcW w:w="4629" w:type="dxa"/>
            <w:tcBorders>
              <w:top w:val="single" w:color="auto" w:sz="4" w:space="0"/>
              <w:left w:val="single" w:color="auto" w:sz="4" w:space="0"/>
              <w:bottom w:val="single" w:color="auto" w:sz="4" w:space="0"/>
              <w:right w:val="single" w:color="auto" w:sz="4" w:space="0"/>
            </w:tcBorders>
            <w:vAlign w:val="center"/>
          </w:tcPr>
          <w:p w14:paraId="58E214E6">
            <w:pPr>
              <w:spacing w:line="360" w:lineRule="auto"/>
              <w:jc w:val="left"/>
              <w:rPr>
                <w:rFonts w:ascii="宋体" w:hAnsi="宋体"/>
                <w:color w:val="FF0000"/>
                <w:sz w:val="24"/>
                <w:highlight w:val="none"/>
              </w:rPr>
            </w:pPr>
            <w:r>
              <w:rPr>
                <w:rFonts w:hint="eastAsia" w:ascii="宋体" w:hAnsi="宋体"/>
                <w:color w:val="FF0000"/>
                <w:sz w:val="24"/>
                <w:highlight w:val="none"/>
              </w:rPr>
              <w:t>成交单位全称</w:t>
            </w:r>
          </w:p>
          <w:p w14:paraId="6FC428EA">
            <w:pPr>
              <w:spacing w:line="360" w:lineRule="auto"/>
              <w:jc w:val="left"/>
              <w:rPr>
                <w:rFonts w:ascii="宋体" w:hAnsi="宋体"/>
                <w:color w:val="FF0000"/>
                <w:sz w:val="24"/>
                <w:highlight w:val="none"/>
              </w:rPr>
            </w:pPr>
            <w:r>
              <w:rPr>
                <w:rFonts w:hint="eastAsia" w:ascii="宋体" w:hAnsi="宋体"/>
                <w:color w:val="FF0000"/>
                <w:sz w:val="24"/>
                <w:highlight w:val="none"/>
              </w:rPr>
              <w:t>（盖章）</w:t>
            </w:r>
          </w:p>
        </w:tc>
      </w:tr>
      <w:tr w14:paraId="74C02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77C3544">
            <w:pPr>
              <w:spacing w:line="360" w:lineRule="auto"/>
              <w:jc w:val="left"/>
              <w:rPr>
                <w:rFonts w:ascii="宋体" w:hAnsi="宋体"/>
                <w:sz w:val="24"/>
                <w:highlight w:val="none"/>
              </w:rPr>
            </w:pPr>
            <w:r>
              <w:rPr>
                <w:rFonts w:hint="eastAsia" w:ascii="宋体" w:hAnsi="宋体"/>
                <w:sz w:val="24"/>
                <w:highlight w:val="none"/>
              </w:rPr>
              <w:t>地址：</w:t>
            </w:r>
          </w:p>
        </w:tc>
        <w:tc>
          <w:tcPr>
            <w:tcW w:w="4629" w:type="dxa"/>
            <w:tcBorders>
              <w:top w:val="single" w:color="auto" w:sz="4" w:space="0"/>
              <w:left w:val="single" w:color="auto" w:sz="4" w:space="0"/>
              <w:bottom w:val="single" w:color="auto" w:sz="4" w:space="0"/>
              <w:right w:val="single" w:color="auto" w:sz="4" w:space="0"/>
            </w:tcBorders>
            <w:vAlign w:val="center"/>
          </w:tcPr>
          <w:p w14:paraId="1F3537A0">
            <w:pPr>
              <w:jc w:val="left"/>
              <w:rPr>
                <w:rFonts w:ascii="宋体" w:hAnsi="宋体"/>
                <w:color w:val="FF0000"/>
                <w:sz w:val="24"/>
                <w:highlight w:val="none"/>
              </w:rPr>
            </w:pPr>
            <w:r>
              <w:rPr>
                <w:rFonts w:hint="eastAsia" w:ascii="宋体" w:hAnsi="宋体"/>
                <w:color w:val="FF0000"/>
                <w:sz w:val="24"/>
                <w:highlight w:val="none"/>
              </w:rPr>
              <w:t>地址：</w:t>
            </w:r>
          </w:p>
        </w:tc>
      </w:tr>
      <w:tr w14:paraId="06ED6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6C8F50B">
            <w:pPr>
              <w:spacing w:line="360" w:lineRule="auto"/>
              <w:jc w:val="left"/>
              <w:rPr>
                <w:rFonts w:ascii="宋体" w:hAnsi="宋体"/>
                <w:sz w:val="24"/>
                <w:highlight w:val="none"/>
              </w:rPr>
            </w:pPr>
            <w:r>
              <w:rPr>
                <w:rFonts w:hint="eastAsia" w:ascii="宋体" w:hAnsi="宋体"/>
                <w:sz w:val="24"/>
                <w:highlight w:val="none"/>
              </w:rPr>
              <w:t>邮编：</w:t>
            </w:r>
          </w:p>
        </w:tc>
        <w:tc>
          <w:tcPr>
            <w:tcW w:w="4629" w:type="dxa"/>
            <w:tcBorders>
              <w:top w:val="single" w:color="auto" w:sz="4" w:space="0"/>
              <w:left w:val="single" w:color="auto" w:sz="4" w:space="0"/>
              <w:bottom w:val="single" w:color="auto" w:sz="4" w:space="0"/>
              <w:right w:val="single" w:color="auto" w:sz="4" w:space="0"/>
            </w:tcBorders>
            <w:vAlign w:val="center"/>
          </w:tcPr>
          <w:p w14:paraId="22A6B2C0">
            <w:pPr>
              <w:spacing w:line="360" w:lineRule="auto"/>
              <w:jc w:val="left"/>
              <w:rPr>
                <w:rFonts w:ascii="宋体" w:hAnsi="宋体"/>
                <w:color w:val="FF0000"/>
                <w:sz w:val="24"/>
                <w:highlight w:val="none"/>
              </w:rPr>
            </w:pPr>
            <w:r>
              <w:rPr>
                <w:rFonts w:hint="eastAsia" w:ascii="宋体" w:hAnsi="宋体"/>
                <w:color w:val="FF0000"/>
                <w:sz w:val="24"/>
                <w:highlight w:val="none"/>
              </w:rPr>
              <w:t>邮编：</w:t>
            </w:r>
          </w:p>
        </w:tc>
      </w:tr>
      <w:tr w14:paraId="24342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vMerge w:val="restart"/>
            <w:tcBorders>
              <w:top w:val="single" w:color="auto" w:sz="4" w:space="0"/>
              <w:left w:val="single" w:color="auto" w:sz="4" w:space="0"/>
              <w:right w:val="single" w:color="auto" w:sz="4" w:space="0"/>
            </w:tcBorders>
            <w:vAlign w:val="center"/>
          </w:tcPr>
          <w:p w14:paraId="1D6561FA">
            <w:pPr>
              <w:spacing w:line="360" w:lineRule="auto"/>
              <w:jc w:val="left"/>
              <w:rPr>
                <w:rFonts w:ascii="宋体" w:hAnsi="宋体"/>
                <w:sz w:val="24"/>
                <w:highlight w:val="none"/>
              </w:rPr>
            </w:pPr>
            <w:r>
              <w:rPr>
                <w:rFonts w:hint="eastAsia" w:ascii="宋体" w:hAnsi="宋体"/>
                <w:sz w:val="24"/>
                <w:highlight w:val="none"/>
              </w:rPr>
              <w:t>法定代表人：（签字）</w:t>
            </w:r>
          </w:p>
        </w:tc>
        <w:tc>
          <w:tcPr>
            <w:tcW w:w="4629" w:type="dxa"/>
            <w:tcBorders>
              <w:top w:val="single" w:color="auto" w:sz="4" w:space="0"/>
              <w:left w:val="single" w:color="auto" w:sz="4" w:space="0"/>
              <w:bottom w:val="single" w:color="auto" w:sz="4" w:space="0"/>
              <w:right w:val="single" w:color="auto" w:sz="4" w:space="0"/>
            </w:tcBorders>
            <w:vAlign w:val="center"/>
          </w:tcPr>
          <w:p w14:paraId="6D34A9EB">
            <w:pPr>
              <w:spacing w:line="360" w:lineRule="auto"/>
              <w:jc w:val="left"/>
              <w:rPr>
                <w:rFonts w:ascii="宋体" w:hAnsi="宋体"/>
                <w:color w:val="FF0000"/>
                <w:sz w:val="24"/>
                <w:highlight w:val="none"/>
              </w:rPr>
            </w:pPr>
            <w:r>
              <w:rPr>
                <w:rFonts w:hint="eastAsia" w:ascii="宋体" w:hAnsi="宋体"/>
                <w:color w:val="FF0000"/>
                <w:sz w:val="24"/>
                <w:highlight w:val="none"/>
              </w:rPr>
              <w:t>法定代表人：</w:t>
            </w:r>
          </w:p>
        </w:tc>
      </w:tr>
      <w:tr w14:paraId="258DD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vMerge w:val="continue"/>
            <w:tcBorders>
              <w:left w:val="single" w:color="auto" w:sz="4" w:space="0"/>
              <w:bottom w:val="single" w:color="auto" w:sz="4" w:space="0"/>
              <w:right w:val="single" w:color="auto" w:sz="4" w:space="0"/>
            </w:tcBorders>
            <w:vAlign w:val="center"/>
          </w:tcPr>
          <w:p w14:paraId="0076F2C9">
            <w:pPr>
              <w:spacing w:line="360" w:lineRule="auto"/>
              <w:jc w:val="left"/>
              <w:rPr>
                <w:rFonts w:ascii="宋体" w:hAnsi="宋体"/>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04511664">
            <w:pPr>
              <w:spacing w:line="360" w:lineRule="auto"/>
              <w:jc w:val="left"/>
              <w:rPr>
                <w:rFonts w:ascii="宋体" w:hAnsi="宋体"/>
                <w:color w:val="FF0000"/>
                <w:sz w:val="24"/>
                <w:highlight w:val="none"/>
              </w:rPr>
            </w:pPr>
            <w:r>
              <w:rPr>
                <w:rFonts w:hint="eastAsia" w:ascii="宋体" w:hAnsi="宋体"/>
                <w:color w:val="FF0000"/>
                <w:sz w:val="24"/>
                <w:highlight w:val="none"/>
              </w:rPr>
              <w:t>被授权代表：（签字）</w:t>
            </w:r>
          </w:p>
        </w:tc>
      </w:tr>
      <w:tr w14:paraId="59518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194D18F4">
            <w:pPr>
              <w:spacing w:line="360" w:lineRule="auto"/>
              <w:jc w:val="left"/>
              <w:rPr>
                <w:rFonts w:ascii="宋体" w:hAnsi="宋体"/>
                <w:sz w:val="24"/>
                <w:highlight w:val="none"/>
              </w:rPr>
            </w:pPr>
            <w:r>
              <w:rPr>
                <w:rFonts w:hint="eastAsia" w:ascii="宋体" w:hAnsi="宋体"/>
                <w:sz w:val="24"/>
                <w:highlight w:val="none"/>
              </w:rPr>
              <w:t>电话：</w:t>
            </w:r>
          </w:p>
        </w:tc>
        <w:tc>
          <w:tcPr>
            <w:tcW w:w="4629" w:type="dxa"/>
            <w:tcBorders>
              <w:top w:val="single" w:color="auto" w:sz="4" w:space="0"/>
              <w:left w:val="single" w:color="auto" w:sz="4" w:space="0"/>
              <w:bottom w:val="single" w:color="auto" w:sz="4" w:space="0"/>
              <w:right w:val="single" w:color="auto" w:sz="4" w:space="0"/>
            </w:tcBorders>
            <w:vAlign w:val="center"/>
          </w:tcPr>
          <w:p w14:paraId="2C9C6FE0">
            <w:pPr>
              <w:spacing w:line="360" w:lineRule="auto"/>
              <w:jc w:val="left"/>
              <w:rPr>
                <w:rFonts w:ascii="宋体" w:hAnsi="宋体"/>
                <w:color w:val="FF0000"/>
                <w:sz w:val="24"/>
                <w:highlight w:val="none"/>
              </w:rPr>
            </w:pPr>
            <w:r>
              <w:rPr>
                <w:rFonts w:hint="eastAsia" w:ascii="宋体" w:hAnsi="宋体"/>
                <w:color w:val="FF0000"/>
                <w:sz w:val="24"/>
                <w:highlight w:val="none"/>
              </w:rPr>
              <w:t>电话：</w:t>
            </w:r>
          </w:p>
        </w:tc>
      </w:tr>
      <w:tr w14:paraId="53207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299F2140">
            <w:pPr>
              <w:spacing w:line="360" w:lineRule="auto"/>
              <w:jc w:val="left"/>
              <w:rPr>
                <w:rFonts w:ascii="宋体" w:hAnsi="宋体"/>
                <w:sz w:val="24"/>
                <w:highlight w:val="none"/>
              </w:rPr>
            </w:pPr>
            <w:r>
              <w:rPr>
                <w:rFonts w:hint="eastAsia" w:ascii="宋体" w:hAnsi="宋体"/>
                <w:sz w:val="24"/>
                <w:highlight w:val="none"/>
              </w:rPr>
              <w:t>传真：</w:t>
            </w:r>
          </w:p>
        </w:tc>
        <w:tc>
          <w:tcPr>
            <w:tcW w:w="4629" w:type="dxa"/>
            <w:tcBorders>
              <w:top w:val="single" w:color="auto" w:sz="4" w:space="0"/>
              <w:left w:val="single" w:color="auto" w:sz="4" w:space="0"/>
              <w:bottom w:val="single" w:color="auto" w:sz="4" w:space="0"/>
              <w:right w:val="single" w:color="auto" w:sz="4" w:space="0"/>
            </w:tcBorders>
            <w:vAlign w:val="center"/>
          </w:tcPr>
          <w:p w14:paraId="01A805E7">
            <w:pPr>
              <w:spacing w:line="360" w:lineRule="auto"/>
              <w:jc w:val="left"/>
              <w:rPr>
                <w:rFonts w:ascii="宋体" w:hAnsi="宋体"/>
                <w:color w:val="FF0000"/>
                <w:sz w:val="24"/>
                <w:highlight w:val="none"/>
              </w:rPr>
            </w:pPr>
            <w:r>
              <w:rPr>
                <w:rFonts w:hint="eastAsia" w:ascii="宋体" w:hAnsi="宋体"/>
                <w:color w:val="FF0000"/>
                <w:sz w:val="24"/>
                <w:highlight w:val="none"/>
              </w:rPr>
              <w:t>传真：</w:t>
            </w:r>
          </w:p>
        </w:tc>
      </w:tr>
      <w:tr w14:paraId="61D63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3189D19C">
            <w:pPr>
              <w:spacing w:line="360" w:lineRule="auto"/>
              <w:jc w:val="left"/>
              <w:rPr>
                <w:rFonts w:ascii="宋体" w:hAnsi="宋体"/>
                <w:sz w:val="24"/>
                <w:highlight w:val="none"/>
              </w:rPr>
            </w:pPr>
            <w:r>
              <w:rPr>
                <w:rFonts w:hint="eastAsia" w:ascii="宋体" w:hAnsi="宋体"/>
                <w:sz w:val="24"/>
                <w:highlight w:val="none"/>
              </w:rPr>
              <w:t>开户银行：</w:t>
            </w:r>
          </w:p>
        </w:tc>
        <w:tc>
          <w:tcPr>
            <w:tcW w:w="4629" w:type="dxa"/>
            <w:tcBorders>
              <w:top w:val="single" w:color="auto" w:sz="4" w:space="0"/>
              <w:left w:val="single" w:color="auto" w:sz="4" w:space="0"/>
              <w:bottom w:val="single" w:color="auto" w:sz="4" w:space="0"/>
              <w:right w:val="single" w:color="auto" w:sz="4" w:space="0"/>
            </w:tcBorders>
            <w:vAlign w:val="center"/>
          </w:tcPr>
          <w:p w14:paraId="1A0DA746">
            <w:pPr>
              <w:spacing w:line="360" w:lineRule="auto"/>
              <w:jc w:val="left"/>
              <w:rPr>
                <w:rFonts w:ascii="宋体" w:hAnsi="宋体"/>
                <w:color w:val="FF0000"/>
                <w:sz w:val="24"/>
                <w:highlight w:val="none"/>
              </w:rPr>
            </w:pPr>
            <w:r>
              <w:rPr>
                <w:rFonts w:hint="eastAsia" w:ascii="宋体" w:hAnsi="宋体"/>
                <w:color w:val="FF0000"/>
                <w:sz w:val="24"/>
                <w:highlight w:val="none"/>
              </w:rPr>
              <w:t>开户银行：</w:t>
            </w:r>
          </w:p>
        </w:tc>
      </w:tr>
      <w:tr w14:paraId="711A6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E50E019">
            <w:pPr>
              <w:spacing w:line="360" w:lineRule="auto"/>
              <w:jc w:val="left"/>
              <w:rPr>
                <w:rFonts w:ascii="宋体" w:hAnsi="宋体"/>
                <w:sz w:val="24"/>
                <w:highlight w:val="none"/>
              </w:rPr>
            </w:pPr>
            <w:r>
              <w:rPr>
                <w:rFonts w:hint="eastAsia" w:ascii="宋体" w:hAnsi="宋体"/>
                <w:sz w:val="24"/>
                <w:highlight w:val="none"/>
              </w:rPr>
              <w:t>账号：</w:t>
            </w:r>
          </w:p>
        </w:tc>
        <w:tc>
          <w:tcPr>
            <w:tcW w:w="4629" w:type="dxa"/>
            <w:tcBorders>
              <w:top w:val="single" w:color="auto" w:sz="4" w:space="0"/>
              <w:left w:val="single" w:color="auto" w:sz="4" w:space="0"/>
              <w:bottom w:val="single" w:color="auto" w:sz="4" w:space="0"/>
              <w:right w:val="single" w:color="auto" w:sz="4" w:space="0"/>
            </w:tcBorders>
            <w:vAlign w:val="center"/>
          </w:tcPr>
          <w:p w14:paraId="486FAFF3">
            <w:pPr>
              <w:spacing w:line="360" w:lineRule="auto"/>
              <w:jc w:val="left"/>
              <w:rPr>
                <w:rFonts w:ascii="宋体" w:hAnsi="宋体"/>
                <w:color w:val="FF0000"/>
                <w:sz w:val="24"/>
                <w:highlight w:val="none"/>
              </w:rPr>
            </w:pPr>
            <w:r>
              <w:rPr>
                <w:rFonts w:hint="eastAsia" w:ascii="宋体" w:hAnsi="宋体"/>
                <w:color w:val="FF0000"/>
                <w:sz w:val="24"/>
                <w:highlight w:val="none"/>
              </w:rPr>
              <w:t>账号:</w:t>
            </w:r>
          </w:p>
        </w:tc>
      </w:tr>
      <w:tr w14:paraId="345B4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A62D775">
            <w:pPr>
              <w:spacing w:line="360" w:lineRule="auto"/>
              <w:jc w:val="left"/>
              <w:rPr>
                <w:rFonts w:ascii="宋体" w:hAnsi="宋体"/>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5000137C">
            <w:pPr>
              <w:spacing w:line="360" w:lineRule="auto"/>
              <w:jc w:val="left"/>
              <w:rPr>
                <w:rFonts w:ascii="宋体" w:hAnsi="宋体"/>
                <w:color w:val="FF0000"/>
                <w:sz w:val="24"/>
                <w:highlight w:val="none"/>
              </w:rPr>
            </w:pPr>
            <w:r>
              <w:rPr>
                <w:rFonts w:hint="eastAsia" w:ascii="宋体" w:hAnsi="宋体"/>
                <w:color w:val="FF0000"/>
                <w:sz w:val="24"/>
                <w:highlight w:val="none"/>
              </w:rPr>
              <w:t>开户名称：</w:t>
            </w:r>
          </w:p>
        </w:tc>
      </w:tr>
      <w:tr w14:paraId="41D0D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27AAFC9C">
            <w:pPr>
              <w:spacing w:line="360" w:lineRule="auto"/>
              <w:jc w:val="left"/>
              <w:rPr>
                <w:rFonts w:ascii="宋体" w:hAnsi="宋体"/>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27490127">
            <w:pPr>
              <w:spacing w:line="360" w:lineRule="auto"/>
              <w:jc w:val="left"/>
              <w:rPr>
                <w:rFonts w:ascii="宋体" w:hAnsi="宋体"/>
                <w:color w:val="FF0000"/>
                <w:sz w:val="24"/>
                <w:highlight w:val="none"/>
              </w:rPr>
            </w:pPr>
            <w:r>
              <w:rPr>
                <w:rFonts w:hint="eastAsia" w:ascii="宋体" w:hAnsi="宋体"/>
                <w:color w:val="FF0000"/>
                <w:sz w:val="24"/>
                <w:highlight w:val="none"/>
              </w:rPr>
              <w:t>企业规模：</w:t>
            </w:r>
          </w:p>
        </w:tc>
      </w:tr>
      <w:tr w14:paraId="47FE8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2FF707E">
            <w:pPr>
              <w:spacing w:line="360" w:lineRule="auto"/>
              <w:jc w:val="left"/>
              <w:rPr>
                <w:rFonts w:ascii="宋体" w:hAnsi="宋体"/>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4813AE53">
            <w:pPr>
              <w:spacing w:line="360" w:lineRule="auto"/>
              <w:jc w:val="left"/>
              <w:rPr>
                <w:rFonts w:ascii="宋体" w:hAnsi="宋体"/>
                <w:color w:val="FF0000"/>
                <w:sz w:val="24"/>
                <w:highlight w:val="none"/>
              </w:rPr>
            </w:pPr>
            <w:r>
              <w:rPr>
                <w:rFonts w:hint="eastAsia" w:ascii="宋体" w:hAnsi="宋体"/>
                <w:color w:val="FF0000"/>
                <w:sz w:val="24"/>
                <w:highlight w:val="none"/>
              </w:rPr>
              <w:t>纳税人识别号：</w:t>
            </w:r>
          </w:p>
        </w:tc>
      </w:tr>
      <w:tr w14:paraId="6453F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F315653">
            <w:pPr>
              <w:spacing w:line="360" w:lineRule="auto"/>
              <w:jc w:val="left"/>
              <w:rPr>
                <w:rFonts w:ascii="宋体" w:hAnsi="宋体"/>
                <w:sz w:val="24"/>
                <w:highlight w:val="none"/>
              </w:rPr>
            </w:pPr>
            <w:r>
              <w:rPr>
                <w:rFonts w:hint="eastAsia" w:ascii="宋体" w:hAnsi="宋体"/>
                <w:sz w:val="24"/>
                <w:highlight w:val="none"/>
              </w:rPr>
              <w:t>日期：  年   月   日</w:t>
            </w:r>
          </w:p>
        </w:tc>
        <w:tc>
          <w:tcPr>
            <w:tcW w:w="4629" w:type="dxa"/>
            <w:tcBorders>
              <w:top w:val="single" w:color="auto" w:sz="4" w:space="0"/>
              <w:left w:val="single" w:color="auto" w:sz="4" w:space="0"/>
              <w:bottom w:val="single" w:color="auto" w:sz="4" w:space="0"/>
              <w:right w:val="single" w:color="auto" w:sz="4" w:space="0"/>
            </w:tcBorders>
            <w:vAlign w:val="center"/>
          </w:tcPr>
          <w:p w14:paraId="76004C15">
            <w:pPr>
              <w:spacing w:line="360" w:lineRule="auto"/>
              <w:jc w:val="left"/>
              <w:rPr>
                <w:rFonts w:ascii="宋体" w:hAnsi="宋体"/>
                <w:color w:val="FF0000"/>
                <w:sz w:val="24"/>
                <w:highlight w:val="none"/>
              </w:rPr>
            </w:pPr>
            <w:r>
              <w:rPr>
                <w:rFonts w:hint="eastAsia" w:ascii="宋体" w:hAnsi="宋体"/>
                <w:color w:val="FF0000"/>
                <w:sz w:val="24"/>
                <w:highlight w:val="none"/>
              </w:rPr>
              <w:t>日期：  年   月   日</w:t>
            </w:r>
          </w:p>
        </w:tc>
      </w:tr>
    </w:tbl>
    <w:p w14:paraId="3716296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2852B1"/>
    <w:rsid w:val="33285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2025-12-04T11:46:00Z</dcterms:created>
  <dc:creator>饣耳</dc:creator>
  <cp:lastModifiedBy>饣耳</cp:lastModifiedBy>
  <dcterms:modified xsi:type="dcterms:W3CDTF">2025-12-04T11:46:57Z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EE4CB666C95D4C729D0275789725B963_11</vt:lpwstr>
  </property>
  <property fmtid="{D5CDD505-2E9C-101B-9397-08002B2CF9AE}" pid="4" name="KSOTemplateDocerSaveRecord">
    <vt:lpwstr>eyJoZGlkIjoiYWMyZGEzMDVkZmYyMmUwMDAyY2MyMWRkMDIzODQ1YjEiLCJ1c2VySWQiOiI2MTQ1NzE3NTUifQ==</vt:lpwstr>
  </property>
</Properties>
</file>