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版本号：ZX2025-10-06(二次)20251205001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古地磁学超导磁力仪自动化测试平台采购项目(二次)</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ZX2025-10-06(二次)</w:t>
      </w:r>
      <w:r>
        <w:br/>
      </w:r>
      <w:r>
        <w:br/>
      </w:r>
      <w:r>
        <w:br/>
      </w:r>
      <w:r>
        <w:br/>
      </w:r>
      <w:r>
        <w:br/>
      </w:r>
    </w:p>
    <w:p>
      <w:pPr>
        <w:pStyle w:val="null3"/>
        <w:jc w:val="center"/>
        <w:outlineLvl w:val="5"/>
      </w:pPr>
      <w:r>
        <w:rPr>
          <w:rFonts w:ascii="仿宋_GB2312" w:hAnsi="仿宋_GB2312" w:cs="仿宋_GB2312" w:eastAsia="仿宋_GB2312"/>
          <w:sz w:val="15"/>
          <w:b/>
        </w:rPr>
        <w:t>西北大学</w:t>
      </w:r>
    </w:p>
    <w:p>
      <w:pPr>
        <w:pStyle w:val="null3"/>
        <w:jc w:val="center"/>
        <w:outlineLvl w:val="5"/>
      </w:pPr>
      <w:r>
        <w:rPr>
          <w:rFonts w:ascii="仿宋_GB2312" w:hAnsi="仿宋_GB2312" w:cs="仿宋_GB2312" w:eastAsia="仿宋_GB2312"/>
          <w:sz w:val="15"/>
          <w:b/>
        </w:rPr>
        <w:t>陕西正信招标有限公司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古地磁学超导磁力仪自动化测试平台采购项目(二次)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ZX2025-10-06(二次)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古地磁学超导磁力仪自动化测试平台采购项目(二次)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古地磁学超导磁力仪自动化测试平台采购项目，具体详见采购文件第二部分。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协商的，须提供身份证复印件；法定代表人授权他人参加协商的，须提供法定代表人授权委托书及被授权人身份证复印件。供应商需在项目电子化交易系统中按要求填写并进行电子签章。</w:t>
      </w:r>
    </w:p>
    <w:p>
      <w:pPr>
        <w:pStyle w:val="null3"/>
      </w:pPr>
      <w:r>
        <w:rPr>
          <w:rFonts w:ascii="仿宋_GB2312" w:hAnsi="仿宋_GB2312" w:cs="仿宋_GB2312" w:eastAsia="仿宋_GB2312"/>
        </w:rPr>
        <w:t>2、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填写并进行电子签章。</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祁鑫 胡怡洁 马演 王宇轩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采购包1：9,600,000.00元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采购包1保证金金额：151,006.00元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凭中标通知书向采购人缴纳合同金额的5%作为履约保证金，缴纳方式：银行转账、支票/汇票/本票、保函/保险；退还方式：待验收合格后凭收据和验收单复印件无息退还。2.转账账号：西北大学；611301015018001145006；交通银行太白路支行。转账金额到账后，可持银行回执到国有资产管理处换取收据。3.除不可抗力原因外，如遇下列情况之一者，采购人有权不予退还投标人所缴纳的合同履约保证金，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古地磁学超导磁力仪自动化测试平台采购项目，具体详见采购文件。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9,600,000.00</w:t>
      </w:r>
    </w:p>
    <w:p>
      <w:pPr>
        <w:pStyle w:val="null3"/>
      </w:pPr>
      <w:r>
        <w:rPr>
          <w:rFonts w:ascii="仿宋_GB2312" w:hAnsi="仿宋_GB2312" w:cs="仿宋_GB2312" w:eastAsia="仿宋_GB2312"/>
        </w:rPr>
        <w:t>采购包最高限价（元）: 9,600,000.00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古地磁学超导磁力仪自动化测试平台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标的名称：古地磁学超导磁力仪自动化测试平台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一、采购清单</w:t>
            </w:r>
          </w:p>
          <w:tbl>
            <w:tblPr>
              <w:tblInd w:type="dxa" w:w="105"/>
              <w:tblBorders>
                <w:top w:val="none" w:color="000000" w:sz="4"/>
                <w:left w:val="none" w:color="000000" w:sz="4"/>
                <w:bottom w:val="none" w:color="000000" w:sz="4"/>
                <w:right w:val="none" w:color="000000" w:sz="4"/>
                <w:insideH w:val="none"/>
                <w:insideV w:val="none"/>
              </w:tblBorders>
            </w:tblPr>
            <w:tblGrid>
              <w:gridCol w:w="326"/>
              <w:gridCol w:w="1377"/>
              <w:gridCol w:w="458"/>
              <w:gridCol w:w="390"/>
            </w:tblGrid>
            <w:tr>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货物名称</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古地磁学超导磁力仪自动化测试平台</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核心产品</w:t>
                  </w:r>
                  <w:r>
                    <w:rPr>
                      <w:rFonts w:ascii="仿宋_GB2312" w:hAnsi="仿宋_GB2312" w:cs="仿宋_GB2312" w:eastAsia="仿宋_GB2312"/>
                      <w:sz w:val="20"/>
                    </w:rPr>
                    <w:t>）</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bl>
          <w:p>
            <w:pPr>
              <w:pStyle w:val="null3"/>
            </w:pPr>
            <w:r>
              <w:rPr>
                <w:rFonts w:ascii="仿宋_GB2312" w:hAnsi="仿宋_GB2312" w:cs="仿宋_GB2312" w:eastAsia="仿宋_GB2312"/>
                <w:sz w:val="20"/>
              </w:rPr>
              <w:t>二、技术参数</w:t>
            </w:r>
          </w:p>
          <w:p>
            <w:pPr>
              <w:pStyle w:val="null3"/>
              <w:jc w:val="both"/>
            </w:pPr>
            <w:r>
              <w:rPr>
                <w:rFonts w:ascii="仿宋_GB2312" w:hAnsi="仿宋_GB2312" w:cs="仿宋_GB2312" w:eastAsia="仿宋_GB2312"/>
                <w:sz w:val="20"/>
              </w:rPr>
              <w:t>（一）古地磁学自动化超导磁力仪</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0"/>
              </w:rPr>
              <w:t>1.磁化强度测量范围：2.0</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vertAlign w:val="superscript"/>
              </w:rPr>
              <w:t>-12</w:t>
            </w:r>
            <w:r>
              <w:rPr>
                <w:rFonts w:ascii="仿宋_GB2312" w:hAnsi="仿宋_GB2312" w:cs="仿宋_GB2312" w:eastAsia="仿宋_GB2312"/>
                <w:sz w:val="20"/>
              </w:rPr>
              <w:t>～</w:t>
            </w: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vertAlign w:val="superscript"/>
              </w:rPr>
              <w:t>-4</w:t>
            </w:r>
            <w:r>
              <w:rPr>
                <w:rFonts w:ascii="仿宋_GB2312" w:hAnsi="仿宋_GB2312" w:cs="仿宋_GB2312" w:eastAsia="仿宋_GB2312"/>
                <w:sz w:val="20"/>
              </w:rPr>
              <w:t>Am</w:t>
            </w:r>
            <w:r>
              <w:rPr>
                <w:rFonts w:ascii="仿宋_GB2312" w:hAnsi="仿宋_GB2312" w:cs="仿宋_GB2312" w:eastAsia="仿宋_GB2312"/>
                <w:sz w:val="20"/>
                <w:vertAlign w:val="superscript"/>
              </w:rPr>
              <w:t>2</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2.磁化强度测试灵敏度：2.0×10</w:t>
            </w:r>
            <w:r>
              <w:rPr>
                <w:rFonts w:ascii="仿宋_GB2312" w:hAnsi="仿宋_GB2312" w:cs="仿宋_GB2312" w:eastAsia="仿宋_GB2312"/>
                <w:sz w:val="20"/>
                <w:vertAlign w:val="superscript"/>
              </w:rPr>
              <w:t>-12</w:t>
            </w:r>
            <w:r>
              <w:rPr>
                <w:rFonts w:ascii="仿宋_GB2312" w:hAnsi="仿宋_GB2312" w:cs="仿宋_GB2312" w:eastAsia="仿宋_GB2312"/>
                <w:sz w:val="20"/>
              </w:rPr>
              <w:t>Am</w:t>
            </w:r>
            <w:r>
              <w:rPr>
                <w:rFonts w:ascii="仿宋_GB2312" w:hAnsi="仿宋_GB2312" w:cs="仿宋_GB2312" w:eastAsia="仿宋_GB2312"/>
                <w:sz w:val="20"/>
                <w:vertAlign w:val="superscript"/>
              </w:rPr>
              <w:t>2</w:t>
            </w:r>
            <w:r>
              <w:rPr>
                <w:rFonts w:ascii="仿宋_GB2312" w:hAnsi="仿宋_GB2312" w:cs="仿宋_GB2312" w:eastAsia="仿宋_GB2312"/>
                <w:sz w:val="20"/>
              </w:rPr>
              <w:t>(2.0×10</w:t>
            </w:r>
            <w:r>
              <w:rPr>
                <w:rFonts w:ascii="仿宋_GB2312" w:hAnsi="仿宋_GB2312" w:cs="仿宋_GB2312" w:eastAsia="仿宋_GB2312"/>
                <w:sz w:val="20"/>
                <w:vertAlign w:val="superscript"/>
              </w:rPr>
              <w:t>-9</w:t>
            </w:r>
            <w:r>
              <w:rPr>
                <w:rFonts w:ascii="仿宋_GB2312" w:hAnsi="仿宋_GB2312" w:cs="仿宋_GB2312" w:eastAsia="仿宋_GB2312"/>
                <w:sz w:val="20"/>
              </w:rPr>
              <w:t>emu)</w:t>
            </w:r>
          </w:p>
          <w:p>
            <w:pPr>
              <w:pStyle w:val="null3"/>
              <w:jc w:val="both"/>
            </w:pPr>
            <w:r>
              <w:rPr>
                <w:rFonts w:ascii="仿宋_GB2312" w:hAnsi="仿宋_GB2312" w:cs="仿宋_GB2312" w:eastAsia="仿宋_GB2312"/>
                <w:sz w:val="20"/>
              </w:rPr>
              <w:t>3.标准通道：标准入口直径为4.2cm</w:t>
            </w:r>
          </w:p>
          <w:p>
            <w:pPr>
              <w:pStyle w:val="null3"/>
              <w:jc w:val="both"/>
            </w:pPr>
            <w:r>
              <w:rPr>
                <w:rFonts w:ascii="仿宋_GB2312" w:hAnsi="仿宋_GB2312" w:cs="仿宋_GB2312" w:eastAsia="仿宋_GB2312"/>
                <w:sz w:val="20"/>
              </w:rPr>
              <w:t>4.入口方向：垂向</w:t>
            </w:r>
          </w:p>
          <w:p>
            <w:pPr>
              <w:pStyle w:val="null3"/>
              <w:jc w:val="both"/>
            </w:pPr>
            <w:r>
              <w:rPr>
                <w:rFonts w:ascii="仿宋_GB2312" w:hAnsi="仿宋_GB2312" w:cs="仿宋_GB2312" w:eastAsia="仿宋_GB2312"/>
                <w:sz w:val="20"/>
              </w:rPr>
              <w:t>5.磁场噪音：对于4.2cm的样品通道，低于2.0×10</w:t>
            </w:r>
            <w:r>
              <w:rPr>
                <w:rFonts w:ascii="仿宋_GB2312" w:hAnsi="仿宋_GB2312" w:cs="仿宋_GB2312" w:eastAsia="仿宋_GB2312"/>
                <w:sz w:val="20"/>
                <w:vertAlign w:val="superscript"/>
              </w:rPr>
              <w:t>-9</w:t>
            </w:r>
            <w:r>
              <w:rPr>
                <w:rFonts w:ascii="仿宋_GB2312" w:hAnsi="仿宋_GB2312" w:cs="仿宋_GB2312" w:eastAsia="仿宋_GB2312"/>
                <w:sz w:val="20"/>
              </w:rPr>
              <w:t>emu/cm</w:t>
            </w:r>
            <w:r>
              <w:rPr>
                <w:rFonts w:ascii="仿宋_GB2312" w:hAnsi="仿宋_GB2312" w:cs="仿宋_GB2312" w:eastAsia="仿宋_GB2312"/>
                <w:sz w:val="20"/>
                <w:vertAlign w:val="superscript"/>
              </w:rPr>
              <w:t>3</w:t>
            </w:r>
          </w:p>
          <w:p>
            <w:pPr>
              <w:pStyle w:val="null3"/>
              <w:jc w:val="both"/>
            </w:pPr>
            <w:r>
              <w:rPr>
                <w:rFonts w:ascii="仿宋_GB2312" w:hAnsi="仿宋_GB2312" w:cs="仿宋_GB2312" w:eastAsia="仿宋_GB2312"/>
                <w:sz w:val="20"/>
              </w:rPr>
              <w:t>6.遇热接通超导防护：系统可在10分钟内充满液氦，平均每分钟0.5L</w:t>
            </w:r>
          </w:p>
          <w:p>
            <w:pPr>
              <w:pStyle w:val="null3"/>
              <w:jc w:val="both"/>
            </w:pPr>
            <w:r>
              <w:rPr>
                <w:rFonts w:ascii="仿宋_GB2312" w:hAnsi="仿宋_GB2312" w:cs="仿宋_GB2312" w:eastAsia="仿宋_GB2312"/>
                <w:sz w:val="20"/>
              </w:rPr>
              <w:t>7.场衰减：横线线圈为106，轴向线圈为1011</w:t>
            </w:r>
          </w:p>
          <w:p>
            <w:pPr>
              <w:pStyle w:val="null3"/>
              <w:jc w:val="both"/>
            </w:pPr>
            <w:r>
              <w:rPr>
                <w:rFonts w:ascii="仿宋_GB2312" w:hAnsi="仿宋_GB2312" w:cs="仿宋_GB2312" w:eastAsia="仿宋_GB2312"/>
                <w:sz w:val="20"/>
              </w:rPr>
              <w:t>8.数字通量计算：单量程数字通量计算的动态范围高于180db；</w:t>
            </w:r>
          </w:p>
          <w:p>
            <w:pPr>
              <w:pStyle w:val="null3"/>
              <w:jc w:val="both"/>
            </w:pPr>
            <w:r>
              <w:rPr>
                <w:rFonts w:ascii="仿宋_GB2312" w:hAnsi="仿宋_GB2312" w:cs="仿宋_GB2312" w:eastAsia="仿宋_GB2312"/>
                <w:sz w:val="20"/>
              </w:rPr>
              <w:t>9.外部接口：Rs-232接口</w:t>
            </w:r>
          </w:p>
          <w:p>
            <w:pPr>
              <w:pStyle w:val="null3"/>
              <w:jc w:val="both"/>
            </w:pPr>
            <w:r>
              <w:rPr>
                <w:rFonts w:ascii="仿宋_GB2312" w:hAnsi="仿宋_GB2312" w:cs="仿宋_GB2312" w:eastAsia="仿宋_GB2312"/>
                <w:sz w:val="20"/>
              </w:rPr>
              <w:t>10.电源：AC：220V及380V，50Hz</w:t>
            </w:r>
          </w:p>
          <w:p>
            <w:pPr>
              <w:pStyle w:val="null3"/>
              <w:jc w:val="both"/>
            </w:pPr>
            <w:r>
              <w:rPr>
                <w:rFonts w:ascii="仿宋_GB2312" w:hAnsi="仿宋_GB2312" w:cs="仿宋_GB2312" w:eastAsia="仿宋_GB2312"/>
                <w:sz w:val="20"/>
              </w:rPr>
              <w:t>11.连续不间断电源UPS：10kW,保证停电状态下能工作1小时</w:t>
            </w:r>
          </w:p>
          <w:p>
            <w:pPr>
              <w:pStyle w:val="null3"/>
              <w:jc w:val="both"/>
            </w:pPr>
            <w:r>
              <w:rPr>
                <w:rFonts w:ascii="仿宋_GB2312" w:hAnsi="仿宋_GB2312" w:cs="仿宋_GB2312" w:eastAsia="仿宋_GB2312"/>
                <w:sz w:val="20"/>
              </w:rPr>
              <w:t>12.两轴退磁系统，用于交变退磁清洗天然剩磁；轴向退磁场最大1500 Gauss(0.15T),横向退磁场最大1050 Gauss(0.105T)</w:t>
            </w:r>
          </w:p>
          <w:p>
            <w:pPr>
              <w:pStyle w:val="null3"/>
              <w:jc w:val="both"/>
            </w:pPr>
            <w:r>
              <w:rPr>
                <w:rFonts w:ascii="仿宋_GB2312" w:hAnsi="仿宋_GB2312" w:cs="仿宋_GB2312" w:eastAsia="仿宋_GB2312"/>
                <w:sz w:val="20"/>
              </w:rPr>
              <w:t>13.环境磁学测量系统：最大IRM场: 10K Gauss (1T), 最大ARM场：10 Gauss(1mT)</w:t>
            </w:r>
          </w:p>
          <w:p>
            <w:pPr>
              <w:pStyle w:val="null3"/>
              <w:jc w:val="both"/>
            </w:pPr>
            <w:r>
              <w:rPr>
                <w:rFonts w:ascii="仿宋_GB2312" w:hAnsi="仿宋_GB2312" w:cs="仿宋_GB2312" w:eastAsia="仿宋_GB2312"/>
                <w:sz w:val="20"/>
              </w:rPr>
              <w:t>14.快速自动进样：一次最多可处理99个离散样品</w:t>
            </w:r>
          </w:p>
          <w:p>
            <w:pPr>
              <w:pStyle w:val="null3"/>
              <w:jc w:val="both"/>
            </w:pPr>
            <w:r>
              <w:rPr>
                <w:rFonts w:ascii="仿宋_GB2312" w:hAnsi="仿宋_GB2312" w:cs="仿宋_GB2312" w:eastAsia="仿宋_GB2312"/>
                <w:sz w:val="20"/>
              </w:rPr>
              <w:t>15.完全免液氦设计</w:t>
            </w:r>
          </w:p>
          <w:p>
            <w:pPr>
              <w:pStyle w:val="null3"/>
              <w:jc w:val="both"/>
            </w:pPr>
            <w:r>
              <w:rPr>
                <w:rFonts w:ascii="仿宋_GB2312" w:hAnsi="仿宋_GB2312" w:cs="仿宋_GB2312" w:eastAsia="仿宋_GB2312"/>
                <w:sz w:val="20"/>
              </w:rPr>
              <w:t>16.快速冷却：从室温冷却至工作温度≤36小时</w:t>
            </w:r>
          </w:p>
          <w:p>
            <w:pPr>
              <w:pStyle w:val="null3"/>
              <w:jc w:val="both"/>
            </w:pPr>
            <w:r>
              <w:rPr>
                <w:rFonts w:ascii="仿宋_GB2312" w:hAnsi="仿宋_GB2312" w:cs="仿宋_GB2312" w:eastAsia="仿宋_GB2312"/>
                <w:sz w:val="20"/>
              </w:rPr>
              <w:t>（二）磁屏蔽室</w:t>
            </w:r>
          </w:p>
          <w:p>
            <w:pPr>
              <w:pStyle w:val="null3"/>
              <w:jc w:val="both"/>
            </w:pPr>
            <w:r>
              <w:rPr>
                <w:rFonts w:ascii="仿宋_GB2312" w:hAnsi="仿宋_GB2312" w:cs="仿宋_GB2312" w:eastAsia="仿宋_GB2312"/>
                <w:sz w:val="20"/>
              </w:rPr>
              <w:t>1.磁屏蔽室室内尺寸不小于45m</w:t>
            </w:r>
            <w:r>
              <w:rPr>
                <w:rFonts w:ascii="仿宋_GB2312" w:hAnsi="仿宋_GB2312" w:cs="仿宋_GB2312" w:eastAsia="仿宋_GB2312"/>
                <w:sz w:val="20"/>
                <w:vertAlign w:val="superscript"/>
              </w:rPr>
              <w:t>2</w:t>
            </w:r>
          </w:p>
          <w:p>
            <w:pPr>
              <w:pStyle w:val="null3"/>
              <w:jc w:val="both"/>
            </w:pPr>
            <w:r>
              <w:rPr>
                <w:rFonts w:ascii="仿宋_GB2312" w:hAnsi="仿宋_GB2312" w:cs="仿宋_GB2312" w:eastAsia="仿宋_GB2312"/>
                <w:sz w:val="20"/>
              </w:rPr>
              <w:t>2.结构及材质：磁屏蔽室采用双屏蔽合成层结构，材料确保无磁环保，符合国家相关标准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2.1框架材质：无磁铝型材</w:t>
            </w:r>
          </w:p>
          <w:p>
            <w:pPr>
              <w:pStyle w:val="null3"/>
              <w:jc w:val="both"/>
            </w:pPr>
            <w:r>
              <w:rPr>
                <w:rFonts w:ascii="仿宋_GB2312" w:hAnsi="仿宋_GB2312" w:cs="仿宋_GB2312" w:eastAsia="仿宋_GB2312"/>
                <w:sz w:val="20"/>
              </w:rPr>
              <w:t>2.2屏蔽材料：高导磁取向硅钢</w:t>
            </w:r>
          </w:p>
          <w:p>
            <w:pPr>
              <w:pStyle w:val="null3"/>
              <w:jc w:val="both"/>
            </w:pPr>
            <w:r>
              <w:rPr>
                <w:rFonts w:ascii="仿宋_GB2312" w:hAnsi="仿宋_GB2312" w:cs="仿宋_GB2312" w:eastAsia="仿宋_GB2312"/>
                <w:sz w:val="20"/>
              </w:rPr>
              <w:t>2.3紧固件：所有紧固件采用消磁处理的304不锈钢或铜、塑料材质等，使用前甲方抽测，10厘米内剩磁不大于2nT</w:t>
            </w:r>
          </w:p>
          <w:p>
            <w:pPr>
              <w:pStyle w:val="null3"/>
              <w:jc w:val="both"/>
            </w:pPr>
            <w:r>
              <w:rPr>
                <w:rFonts w:ascii="仿宋_GB2312" w:hAnsi="仿宋_GB2312" w:cs="仿宋_GB2312" w:eastAsia="仿宋_GB2312"/>
                <w:sz w:val="20"/>
              </w:rPr>
              <w:t>3.屏蔽效果：整体屏蔽效果满足2G-Rapid岩石超导磁力仪测试工作要求</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3.1室内静磁总场达到45-55dB</w:t>
            </w:r>
          </w:p>
          <w:p>
            <w:pPr>
              <w:pStyle w:val="null3"/>
              <w:jc w:val="both"/>
            </w:pPr>
            <w:r>
              <w:rPr>
                <w:rFonts w:ascii="仿宋_GB2312" w:hAnsi="仿宋_GB2312" w:cs="仿宋_GB2312" w:eastAsia="仿宋_GB2312"/>
                <w:sz w:val="20"/>
              </w:rPr>
              <w:t>3.2室内交变磁场总场（50Hz）达到8-15dB</w:t>
            </w:r>
          </w:p>
          <w:p>
            <w:pPr>
              <w:pStyle w:val="null3"/>
              <w:jc w:val="both"/>
            </w:pPr>
            <w:r>
              <w:rPr>
                <w:rFonts w:ascii="仿宋_GB2312" w:hAnsi="仿宋_GB2312" w:cs="仿宋_GB2312" w:eastAsia="仿宋_GB2312"/>
                <w:sz w:val="20"/>
              </w:rPr>
              <w:t>3.3磁屏蔽室工频（50Hz）交变磁场影响功率谱密度（RMS）小于10nT@50Hz</w:t>
            </w:r>
          </w:p>
          <w:p>
            <w:pPr>
              <w:pStyle w:val="null3"/>
              <w:jc w:val="both"/>
            </w:pPr>
            <w:r>
              <w:rPr>
                <w:rFonts w:ascii="仿宋_GB2312" w:hAnsi="仿宋_GB2312" w:cs="仿宋_GB2312" w:eastAsia="仿宋_GB2312"/>
                <w:sz w:val="20"/>
              </w:rPr>
              <w:t>3.4磁屏蔽室内墙周边0.5米以外、内室门2米区域外，以及空调进风口0.5米以外的区域测量得到的平均剩余磁场强度小于150 nT</w:t>
            </w:r>
          </w:p>
          <w:p>
            <w:pPr>
              <w:pStyle w:val="null3"/>
              <w:jc w:val="both"/>
            </w:pPr>
            <w:r>
              <w:rPr>
                <w:rFonts w:ascii="仿宋_GB2312" w:hAnsi="仿宋_GB2312" w:cs="仿宋_GB2312" w:eastAsia="仿宋_GB2312"/>
                <w:sz w:val="20"/>
              </w:rPr>
              <w:t>3.5电气设置影响低至10</w:t>
            </w:r>
            <w:r>
              <w:rPr>
                <w:rFonts w:ascii="仿宋_GB2312" w:hAnsi="仿宋_GB2312" w:cs="仿宋_GB2312" w:eastAsia="仿宋_GB2312"/>
                <w:sz w:val="20"/>
              </w:rPr>
              <w:t>～</w:t>
            </w:r>
            <w:r>
              <w:rPr>
                <w:rFonts w:ascii="仿宋_GB2312" w:hAnsi="仿宋_GB2312" w:cs="仿宋_GB2312" w:eastAsia="仿宋_GB2312"/>
                <w:sz w:val="20"/>
              </w:rPr>
              <w:t>100nT</w:t>
            </w:r>
          </w:p>
          <w:p>
            <w:pPr>
              <w:pStyle w:val="null3"/>
              <w:jc w:val="both"/>
            </w:pPr>
            <w:r>
              <w:rPr>
                <w:rFonts w:ascii="仿宋_GB2312" w:hAnsi="仿宋_GB2312" w:cs="仿宋_GB2312" w:eastAsia="仿宋_GB2312"/>
                <w:sz w:val="20"/>
              </w:rPr>
              <w:t>4.屏蔽室配置自动消磁系统，可定期为屏蔽室退磁，保证长期屏蔽效果</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4.1退磁频率可设置10</w:t>
            </w:r>
            <w:r>
              <w:rPr>
                <w:rFonts w:ascii="仿宋_GB2312" w:hAnsi="仿宋_GB2312" w:cs="仿宋_GB2312" w:eastAsia="仿宋_GB2312"/>
                <w:sz w:val="20"/>
              </w:rPr>
              <w:t>～</w:t>
            </w:r>
            <w:r>
              <w:rPr>
                <w:rFonts w:ascii="仿宋_GB2312" w:hAnsi="仿宋_GB2312" w:cs="仿宋_GB2312" w:eastAsia="仿宋_GB2312"/>
                <w:sz w:val="20"/>
              </w:rPr>
              <w:t>200Hz</w:t>
            </w:r>
          </w:p>
          <w:p>
            <w:pPr>
              <w:pStyle w:val="null3"/>
              <w:jc w:val="both"/>
            </w:pPr>
            <w:r>
              <w:rPr>
                <w:rFonts w:ascii="仿宋_GB2312" w:hAnsi="仿宋_GB2312" w:cs="仿宋_GB2312" w:eastAsia="仿宋_GB2312"/>
                <w:sz w:val="20"/>
              </w:rPr>
              <w:t>4.2退磁电流峰值可设置0.5A到5A</w:t>
            </w:r>
          </w:p>
          <w:p>
            <w:pPr>
              <w:pStyle w:val="null3"/>
              <w:jc w:val="both"/>
            </w:pPr>
            <w:r>
              <w:rPr>
                <w:rFonts w:ascii="仿宋_GB2312" w:hAnsi="仿宋_GB2312" w:cs="仿宋_GB2312" w:eastAsia="仿宋_GB2312"/>
                <w:sz w:val="20"/>
              </w:rPr>
              <w:t>4.3计算机程序控制，退磁电流实时监测</w:t>
            </w:r>
          </w:p>
          <w:p>
            <w:pPr>
              <w:pStyle w:val="null3"/>
              <w:jc w:val="both"/>
            </w:pPr>
            <w:r>
              <w:rPr>
                <w:rFonts w:ascii="仿宋_GB2312" w:hAnsi="仿宋_GB2312" w:cs="仿宋_GB2312" w:eastAsia="仿宋_GB2312"/>
                <w:sz w:val="20"/>
              </w:rPr>
              <w:t>5.交付验收时提供室内三维磁场矢量分布图及法定第三方检测机构检测报告，费用由</w:t>
            </w:r>
            <w:r>
              <w:rPr>
                <w:rFonts w:ascii="仿宋_GB2312" w:hAnsi="仿宋_GB2312" w:cs="仿宋_GB2312" w:eastAsia="仿宋_GB2312"/>
                <w:sz w:val="20"/>
              </w:rPr>
              <w:t>中标人</w:t>
            </w:r>
            <w:r>
              <w:rPr>
                <w:rFonts w:ascii="仿宋_GB2312" w:hAnsi="仿宋_GB2312" w:cs="仿宋_GB2312" w:eastAsia="仿宋_GB2312"/>
                <w:sz w:val="20"/>
              </w:rPr>
              <w:t>承担。</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自合同签订之日起1095天内到货，90天内安装调试并交付使用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西北大学地质学系指定地点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 国产货物（进口设备国内供货）：合同生效后，供应商开具合同金额等额银行保函，采购人收到银行保函正本后预付合同货款，待货物到达指定地点、安装调试验收合格后，采购人退还银行保函正本；②进口货物：合同生效后，由采购人通过进出口业务代理公司向供应商开出100%信用证，待货物到货、安装调试、并经学校组织验收合格后，由采购人通知进出口业务代理公司向供应商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1.质保期自学校验收合格之日起1年（质保期内中标人负责维修并更换除消耗品以外的零部件，维修人员的路费、食宿等，以上要求所产生的费用由中标人承担）。 2.中标人需为本项目配备足够的售后服务力量，具有国内本地化的服务团队。 3.售后服务响应时间：电话响应时间要求4小时内，到场响应时间要求2个工作日内（指从接到报障至到达故障现场的时间）。 4.提供技术支持热线电话。 5.中标人需提供该设备的技术使用说明书及外购配件仪器说明书，并指导在使用该设备时的操作注意事项等。 6.中标人应提供配套软件至少三年的升级服务和维保服务，以上要求所产生的费用由投标人承担。 7.培训要求 1）为保证仪器设备安全、可靠运行，便于采购人的运行维护，必须对采购人培训合格的维护和管理人员。培训内容包括但不限于系统原理培训、使用培训、基本维护培训、安全要点等。以上要求所产生的费用由中标人承担。 2）中标人负责派技术工程师对采购人提供至少一次现场技术培训，使采购方人员能掌握有关系统设备的使用、维护和管理工作，达到能独立进行操作、日常测试、系统维护等工作的目的，并能及时排除大部分的系统障碍。以上要求所产生的费用由中标人承担。 8.即时响应（包括电话响应）；电话响应无法解决时，48小时内到达现场。修复时间72小时内；如72小时内无法修复，应提供相应解决方案。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响应文件正本壹份、副本壹份、电子版壹份（U盘一份，标明供应商名称，随正本密封）。若电子响应文件与纸质响应文件不一致的，以电子响应文件为准；若正本和副本不符，以正本为准。线下递交文件时间：详见本项目文件递交截止时间；线下递交文件地点：西安市莲湖区环城西路南段元晟合中心6层。 2、保证金注意事项：（1）保证金须从供应商户名支付，如从个人户名或非投标人户名支付，将被拒绝，视为自动放弃投标权利（该个人是供应商的情形除外）；保证金缴纳时间：开标时间之前；以保函形式交纳保证金的，供应商应在投标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连带责任；（2）保证金的提交金额、时间不满足采购文件要求的，投标无效；（3）投标保证金以采购代理机构到账凭证为准，投标人无需更换交纳凭证，由采购代理机构统一提供； （4）未按指定账户提交的，我公司将退回，供应商须在文件递交截止时间前按照指定账户再次提交。 3、供应商无正当理由拒签合同的，或在接到中标通知书规定的时间内，借故拖延、拒签合同者，采购人取消其中标资格，其投标保证金不予退还； 给采购人造成的损失超过投标保证金数额的，供应商还应对超过部分予以赔偿。同时报请政府采购监督机构通报全省，取消其进入政府采购市场的资格，并按规定予以处罚。 4、①进口设备报价：响应报价是指到达使用地点、验收合格达到正常使用条件前的所有费用，包括但不限于以下费用：货物价值、安装调试费、国内外运杂费（含保险）、仓储保管费、技术培训费、检测费、施工费、人工费、进口业务相关费用（按合同金额的0.68%收取。包括外贸代理公司进口业务代理费、国内外银行手续费、报关费、商检费等）及进口货物按国家政策征收的一切税费（按国家政策规定甲方可以享受的免税部分除外）等，以磋商文件的内容和要求作为响应依据；进口产品（经专家论证允许采购的情况下）按人民币报价，此报价不受市场价格及外汇汇率波动影响。采购人及招标代理机构不接受任何未办理合法进口手续的非国内生产产品的响应报价。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②国产设备报价：响应总报价是指设备到达使用地点、验收合格达到正常使用条件前的所有费用，包括但不限于以下费用：货物价值、安装调试费、国内外运杂费（含保险）、仓储保管费、技术培训费、检测费、施工费、人工费等及按国家政策征收的一切税费等。③响应报价表中标明本次货物、服务的所有单项价格和总价，任何有选择的报价将不予接受，否则按无效响应处理。 5、本项目通过进口产品备案，允许采购进口产品：古地磁学超导磁力仪自动化测试平台。 6、根据法律规定中标公告只公布主要标的的名称、规格型号、数量、单价，本项目主要标的为：核心产品。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11月1日以来至少一个月的纳税证明或完税证明，纳税证明或完税证明上应有代收机构或税务机关的公章或业务专用章；其他组织和自然人提供自2024年11月1日以来至少一个月缴纳税收的凭据；依法免税的或者依法不需缴税的供应商应提供相关文件证明； ③社会保障资金缴纳证明：提供自2024年11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有效的2024年度审计报告（审计报告须具有注册会计师行业统一监管平台赋予的验证码）（成立时间至提交投标文件截止时间不足一年的可提供成立后任意时段的资产负债表），或提交自2025年5月1日以来银行出具的资信证明，或信用担保机构出具的投标担保函（以上三种形式的资料提供任何一种即可）；其他组织和自然人提供银行出具的资信证明或财务报表。 提供“陕西省政府采购供应商信用承诺书”的，可不再提供其他证明文件。 2.供应商需在项目电子化交易系统中按要求上传相应证明文件并进行电子签章。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法定代表人参加协商的，须提供身份证复印件；法定代表人授权他人参加协商的，须提供法定代表人授权委托书及被授权人身份证复印件。供应商需在项目电子化交易系统中按要求填写并进行电子签章。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填写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满足本单一来源采购文件中第三章3.3商务要求中“交货时间、交货地点、采购资金的支付方式及约定、质量保修范围和保修期”的要求。</w:t>
            </w:r>
          </w:p>
        </w:tc>
        <w:tc>
          <w:tcPr>
            <w:tcW w:type="dxa" w:w="1661"/>
          </w:tcPr>
          <w:p>
            <w:pPr>
              <w:pStyle w:val="null3"/>
            </w:pPr>
            <w:r>
              <w:rPr>
                <w:rFonts w:ascii="仿宋_GB2312" w:hAnsi="仿宋_GB2312" w:cs="仿宋_GB2312" w:eastAsia="仿宋_GB2312"/>
              </w:rPr>
              <w:t>商务部分偏离表.docx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报价未超过采购文件中规定的采购预算或最高限价的</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响应文件按照单一来源文件规定要求签署、盖章的</w:t>
            </w:r>
          </w:p>
        </w:tc>
        <w:tc>
          <w:tcPr>
            <w:tcW w:type="dxa" w:w="1661"/>
          </w:tcPr>
          <w:p>
            <w:pPr>
              <w:pStyle w:val="null3"/>
            </w:pPr>
            <w:r>
              <w:rPr>
                <w:rFonts w:ascii="仿宋_GB2312" w:hAnsi="仿宋_GB2312" w:cs="仿宋_GB2312" w:eastAsia="仿宋_GB2312"/>
              </w:rPr>
              <w:t>响应文件封面 中小企业声明函 残疾人福利性单位声明函 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响应有效期满足单一来源文件要求的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不属于法律、法规和单一来源文件规定的其他无效情形</w:t>
            </w:r>
          </w:p>
        </w:tc>
        <w:tc>
          <w:tcPr>
            <w:tcW w:type="dxa" w:w="1661"/>
          </w:tcPr>
          <w:p>
            <w:pPr>
              <w:pStyle w:val="null3"/>
            </w:pPr>
            <w:r>
              <w:rPr>
                <w:rFonts w:ascii="仿宋_GB2312" w:hAnsi="仿宋_GB2312" w:cs="仿宋_GB2312" w:eastAsia="仿宋_GB2312"/>
              </w:rPr>
              <w:t>技术方案及实施方案、组织机构、售后服务承诺.docx 技术响应与偏离表.docx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详见附件：技术方案及实施方案、组织机构、售后服务承诺.docx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详见附件：合同正文.docx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