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版本号：WSQ-2025-81520251205001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包西铁路张桥至何寨段增建三四线工程考古勘探劳务协作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WSQ-2025-815</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包西铁路张桥至何寨段增建三四线工程考古勘探劳务协作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WSQ-2025-815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包西铁路张桥至何寨段增建三四线工程考古勘探劳务协作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包西铁路张桥至何寨段增建三四线工程考古勘探劳务协作，共分为三个包，具体内容详见磋商文件第三章。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采购包1（包西铁路张桥至何寨段增建三四线工程考古勘探劳务协作包1）：属于专门面向中小企业采购。</w:t>
      </w:r>
    </w:p>
    <w:p>
      <w:pPr>
        <w:pStyle w:val="null3"/>
      </w:pPr>
      <w:r>
        <w:rPr>
          <w:rFonts w:ascii="仿宋_GB2312" w:hAnsi="仿宋_GB2312" w:cs="仿宋_GB2312" w:eastAsia="仿宋_GB2312"/>
        </w:rPr>
        <w:t>采购包2（包西铁路张桥至何寨段增建三四线工程考古勘探劳务协作包2）：属于专门面向中小企业采购。</w:t>
      </w:r>
    </w:p>
    <w:p>
      <w:pPr>
        <w:pStyle w:val="null3"/>
      </w:pPr>
      <w:r>
        <w:rPr>
          <w:rFonts w:ascii="仿宋_GB2312" w:hAnsi="仿宋_GB2312" w:cs="仿宋_GB2312" w:eastAsia="仿宋_GB2312"/>
        </w:rPr>
        <w:t>采购包3（包西铁路张桥至何寨段增建三四线工程考古勘探劳务协作包3）：属于专门面向中小企业采购。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采购包1：996,674.40元</w:t>
            </w:r>
          </w:p>
          <w:p>
            <w:pPr>
              <w:pStyle w:val="null3"/>
            </w:pPr>
            <w:r>
              <w:rPr>
                <w:rFonts w:ascii="仿宋_GB2312" w:hAnsi="仿宋_GB2312" w:cs="仿宋_GB2312" w:eastAsia="仿宋_GB2312"/>
              </w:rPr>
              <w:t>采购包2：996,674.40元</w:t>
            </w:r>
          </w:p>
          <w:p>
            <w:pPr>
              <w:pStyle w:val="null3"/>
            </w:pPr>
            <w:r>
              <w:rPr>
                <w:rFonts w:ascii="仿宋_GB2312" w:hAnsi="仿宋_GB2312" w:cs="仿宋_GB2312" w:eastAsia="仿宋_GB2312"/>
              </w:rPr>
              <w:t>采购包3：996,674.40元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联系电话：15389248069</w:t>
      </w:r>
    </w:p>
    <w:p>
      <w:pPr>
        <w:pStyle w:val="null3"/>
      </w:pPr>
      <w:r>
        <w:rPr>
          <w:rFonts w:ascii="仿宋_GB2312" w:hAnsi="仿宋_GB2312" w:cs="仿宋_GB2312" w:eastAsia="仿宋_GB2312"/>
        </w:rPr>
        <w:t>地址：陕西省西安市高新区沣惠南路34号摩尔中心A座16层11601室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本项目位于陕西省西安市阎良区、临潼区、渭南市富平县，面积为276854㎡，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 包2：本项目位于陕西省西安市阎良区、临潼区、渭南市富平县，面积为276854㎡，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 包3：本项目位于陕西省西安市阎良区、临潼区、渭南市富平县，面积为276854㎡，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996,674.40</w:t>
      </w:r>
    </w:p>
    <w:p>
      <w:pPr>
        <w:pStyle w:val="null3"/>
      </w:pPr>
      <w:r>
        <w:rPr>
          <w:rFonts w:ascii="仿宋_GB2312" w:hAnsi="仿宋_GB2312" w:cs="仿宋_GB2312" w:eastAsia="仿宋_GB2312"/>
        </w:rPr>
        <w:t>采购包最高限价（元）: 996,674.40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996,674.40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996,674.40</w:t>
      </w:r>
    </w:p>
    <w:p>
      <w:pPr>
        <w:pStyle w:val="null3"/>
      </w:pPr>
      <w:r>
        <w:rPr>
          <w:rFonts w:ascii="仿宋_GB2312" w:hAnsi="仿宋_GB2312" w:cs="仿宋_GB2312" w:eastAsia="仿宋_GB2312"/>
        </w:rPr>
        <w:t>采购包最高限价（元）: 996,674.40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996,674.40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996,674.40</w:t>
      </w:r>
    </w:p>
    <w:p>
      <w:pPr>
        <w:pStyle w:val="null3"/>
      </w:pPr>
      <w:r>
        <w:rPr>
          <w:rFonts w:ascii="仿宋_GB2312" w:hAnsi="仿宋_GB2312" w:cs="仿宋_GB2312" w:eastAsia="仿宋_GB2312"/>
        </w:rPr>
        <w:t>采购包最高限价（元）: 996,674.40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996,674.40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50个工作日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陕西省西安市阎良区、临潼区、渭南市富平县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陕西省西安市阎良区、临潼区、渭南市富平县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陕西省西安市阎良区、临潼区、渭南市富平县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完成合同内容，验收合格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法律途径</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若为多个标包项目，则供应商可以对一个标包进行投标，也可对多个标包进行投标，但只能中一个标包。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法定代表人授权委托书.docx 响应函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法定代表人授权委托书.docx 响应函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