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版本号：SNJZ-2025-16220251205001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2025年度陕西省调度指挥视频系统及视频网运营服务项目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SNJZ-2025-162</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2025年度陕西省调度指挥视频系统及视频网运营服务项目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2025年度陕西省调度指挥视频系统及视频网运营服务项目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深入贯彻党中央关于网络强国、数字中国等文件精神，落实陕西省数字政府 “十四五 ” 规划建设要求，以集约节约、安全高效、资源整合、多跨协同为核心，充分利旧陕西省政法综治视联网与其他视频会议资源，提升调度指挥视频系统一体化服务能力与视频网支撑水平，强化调度指挥视频系统一体化的便捷性和协同办公的高效性，为全省调度指挥工作提供精准、快速、稳定的视频会议和视频网络支撑。本项目服务范围为省级层面，以省级视频网为基础网络承载省级的 58 家单位调度指挥视频系统一体化服务，其中，为 42 家单位提供视频会议接入服务，为 14 家单位提供其他视频会议系统对接服务，对 2 家单位视频会议系统进行利旧。本项目服务内容主要由调度指挥视频系统一体化服务、政务视频网承载服务和运营保障服务三个部分。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 自然人，提供营业执照/事业单位法人证书/非企 业专业服务机构执业许可证/自然人身份证。</w:t>
      </w:r>
    </w:p>
    <w:p>
      <w:pPr>
        <w:pStyle w:val="null3"/>
      </w:pPr>
      <w:r>
        <w:rPr>
          <w:rFonts w:ascii="仿宋_GB2312" w:hAnsi="仿宋_GB2312" w:cs="仿宋_GB2312" w:eastAsia="仿宋_GB2312"/>
        </w:rPr>
        <w:t>2、法定代表人或负责人授权书（证明书）：法定代表人或负责人参加投标时，提供法定代表人或负责人证明书 ；授权代表参加投标时，提供法定代表人或负责人授权书 ；非法人单位参照执行。</w:t>
      </w:r>
    </w:p>
    <w:p>
      <w:pPr>
        <w:pStyle w:val="null3"/>
      </w:pPr>
      <w:r>
        <w:rPr>
          <w:rFonts w:ascii="仿宋_GB2312" w:hAnsi="仿宋_GB2312" w:cs="仿宋_GB2312" w:eastAsia="仿宋_GB2312"/>
        </w:rPr>
        <w:t>3、财务状况报告：法人提供经审计的2024年度财务报告或提交投 标文件递交截止时间前12个月内银行出具的资 信证明；其他组织和自然人提供银行出具的资信 证明或财务报表，或政府采购信用担保机构出具 的《政府采购投标担保函》。</w:t>
      </w:r>
    </w:p>
    <w:p>
      <w:pPr>
        <w:pStyle w:val="null3"/>
      </w:pPr>
      <w:r>
        <w:rPr>
          <w:rFonts w:ascii="仿宋_GB2312" w:hAnsi="仿宋_GB2312" w:cs="仿宋_GB2312" w:eastAsia="仿宋_GB2312"/>
        </w:rPr>
        <w:t>4、税收缴纳证明：提供投标文件递交截止时间前12个月内至少一 个月已缴纳的纳税凭据或完税证明，依法免税的 投标人应提供相关证明文件。</w:t>
      </w:r>
    </w:p>
    <w:p>
      <w:pPr>
        <w:pStyle w:val="null3"/>
      </w:pPr>
      <w:r>
        <w:rPr>
          <w:rFonts w:ascii="仿宋_GB2312" w:hAnsi="仿宋_GB2312" w:cs="仿宋_GB2312" w:eastAsia="仿宋_GB2312"/>
        </w:rPr>
        <w:t>5、社会保障资金缴纳证明：提供投标文件递交截止时间前12个月内已缴存 的至少一个月的社会保障资金缴存单据或社保机 构开具的社会保险参保缴费情况证明，依法不需 要缴纳社会保障资金的单位应提供相关证明材料 。</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 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陕西省西安市新城区新城大院11号楼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孙博 程钰 王力 崔斌 左建强 马子啸 鲁方方 胡荣 朱芳泽 石磊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029-88222461 88224929 88221929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采购包1：4,188,000.00元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人在中标结果公告发布后，按照原国家计委《招标代理服务收费管理暂行办法》(计价格〔2002〕1980号)及发改办价格[2003]857号文件规定的收费标准，向陕西教育招标有限责任公司交纳招标代理服务费，招标代理服务费采用现金、电汇或银行转账方式交纳。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验收依据：1. 国家有关法律法规； 2.经批准的项目实施方案及批复文件；3.项目变更审批文件或备案文件；4.项目合同文件或协议文件，项目招标文件、投标文件（交付的服务必须等同或优于本项目招标文件“服务要求”所述的标准。若中标人在投标文件中承诺的技术标准优于本项目招标文件“服务内容及要求”所述标准的，按中标人的承诺执行。）；5.与项目服务采购、管理有关的其他具有法律效力的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联系人：孙博 程钰</w:t>
      </w:r>
    </w:p>
    <w:p>
      <w:pPr>
        <w:pStyle w:val="null3"/>
      </w:pPr>
      <w:r>
        <w:rPr>
          <w:rFonts w:ascii="仿宋_GB2312" w:hAnsi="仿宋_GB2312" w:cs="仿宋_GB2312" w:eastAsia="仿宋_GB2312"/>
        </w:rPr>
        <w:t>联系电话：029-88222461 88224929 88221929</w:t>
      </w:r>
    </w:p>
    <w:p>
      <w:pPr>
        <w:pStyle w:val="null3"/>
      </w:pPr>
      <w:r>
        <w:rPr>
          <w:rFonts w:ascii="仿宋_GB2312" w:hAnsi="仿宋_GB2312" w:cs="仿宋_GB2312" w:eastAsia="仿宋_GB2312"/>
        </w:rPr>
        <w:t>地址：陕西省西安市雁塔区太白南路181号西部电子社区A座B区401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深入贯彻党中央关于网络强国、数字中国等文件精神，落实陕西省数字政府 “十四五 ” 规划建设要求，以集约节约、安全高效、资源整合、多跨协同为核心，充分利旧陕西省政法综治视联网与其他视频会议资源，提升调度指挥视频系统一体化服务能力与视频网支撑水平，强化调度指挥视频系统一体化的便捷性和协同办公的高效性，为全省调度指挥工作提供精准、快速、稳定的视频会议和视频网络支撑。本项目服务范围为省级层面，以省级视频网为基础网络承载省级的 58 家单位调度指挥视频系统一体化服务，其中，为 42 家单位提供视频会议接入服务，为 14 家单位提供其他视频会议系统对接服务，对 2 家单位视频会议系统进行利旧。本项目服务内容主要由调度指挥视频系统一体化服务、政务视频网承载服务和运营保障服务三个部分。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4,188,000.00</w:t>
      </w:r>
    </w:p>
    <w:p>
      <w:pPr>
        <w:pStyle w:val="null3"/>
      </w:pPr>
      <w:r>
        <w:rPr>
          <w:rFonts w:ascii="仿宋_GB2312" w:hAnsi="仿宋_GB2312" w:cs="仿宋_GB2312" w:eastAsia="仿宋_GB2312"/>
        </w:rPr>
        <w:t>采购包最高限价（元）: 4,188,000.00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left"/>
            </w:pPr>
            <w:r>
              <w:rPr>
                <w:rFonts w:ascii="仿宋_GB2312" w:hAnsi="仿宋_GB2312" w:cs="仿宋_GB2312" w:eastAsia="仿宋_GB2312"/>
                <w:sz w:val="19"/>
                <w:b/>
                <w:color w:val="000000"/>
              </w:rPr>
              <w:t>一、项目背景</w:t>
            </w:r>
          </w:p>
          <w:p>
            <w:pPr>
              <w:pStyle w:val="null3"/>
              <w:ind w:firstLine="380"/>
              <w:jc w:val="left"/>
            </w:pPr>
            <w:r>
              <w:rPr>
                <w:rFonts w:ascii="仿宋_GB2312" w:hAnsi="仿宋_GB2312" w:cs="仿宋_GB2312" w:eastAsia="仿宋_GB2312"/>
                <w:sz w:val="19"/>
                <w:color w:val="000000"/>
              </w:rPr>
              <w:t>深入贯彻党中央关于网络强国、数字中国等文件精神，落实陕西省数字政府</w:t>
            </w:r>
            <w:r>
              <w:rPr>
                <w:rFonts w:ascii="仿宋_GB2312" w:hAnsi="仿宋_GB2312" w:cs="仿宋_GB2312" w:eastAsia="仿宋_GB2312"/>
                <w:sz w:val="19"/>
                <w:color w:val="000000"/>
              </w:rPr>
              <w:t>“十四五”规划建设要求，以集约节约、安全高效、资源整合、多跨协同为核心，充分利旧陕西省政法综治视联网与其他视频会议资源，提升调度指挥视频系统一体化服务能力与视频网支撑水平，强化调度指挥视频系统一体化的便捷性和协同办公的高效性，为全省调度指挥工作提供精准、快速、稳定的视频会议和视频网络支撑。</w:t>
            </w:r>
          </w:p>
          <w:p>
            <w:pPr>
              <w:pStyle w:val="null3"/>
              <w:ind w:left="420"/>
              <w:jc w:val="left"/>
            </w:pPr>
            <w:r>
              <w:rPr>
                <w:rFonts w:ascii="仿宋_GB2312" w:hAnsi="仿宋_GB2312" w:cs="仿宋_GB2312" w:eastAsia="仿宋_GB2312"/>
                <w:sz w:val="19"/>
                <w:b/>
                <w:color w:val="000000"/>
              </w:rPr>
              <w:t>二、项目目标</w:t>
            </w:r>
          </w:p>
          <w:p>
            <w:pPr>
              <w:pStyle w:val="null3"/>
              <w:ind w:firstLine="380"/>
              <w:jc w:val="left"/>
            </w:pPr>
            <w:r>
              <w:rPr>
                <w:rFonts w:ascii="仿宋_GB2312" w:hAnsi="仿宋_GB2312" w:cs="仿宋_GB2312" w:eastAsia="仿宋_GB2312"/>
                <w:sz w:val="19"/>
                <w:color w:val="000000"/>
              </w:rPr>
              <w:t>本项目构建省</w:t>
            </w:r>
            <w:r>
              <w:rPr>
                <w:rFonts w:ascii="仿宋_GB2312" w:hAnsi="仿宋_GB2312" w:cs="仿宋_GB2312" w:eastAsia="仿宋_GB2312"/>
                <w:sz w:val="19"/>
                <w:color w:val="000000"/>
              </w:rPr>
              <w:t>-市视频广域网与省级视频城域网，在核心层与接入层实现与省级电子政务外网的互联互通。本次服务</w:t>
            </w:r>
            <w:r>
              <w:rPr>
                <w:rFonts w:ascii="仿宋_GB2312" w:hAnsi="仿宋_GB2312" w:cs="仿宋_GB2312" w:eastAsia="仿宋_GB2312"/>
                <w:sz w:val="19"/>
                <w:color w:val="000000"/>
              </w:rPr>
              <w:t>需</w:t>
            </w:r>
            <w:r>
              <w:rPr>
                <w:rFonts w:ascii="仿宋_GB2312" w:hAnsi="仿宋_GB2312" w:cs="仿宋_GB2312" w:eastAsia="仿宋_GB2312"/>
                <w:sz w:val="19"/>
                <w:color w:val="000000"/>
              </w:rPr>
              <w:t>提供</w:t>
            </w:r>
            <w:r>
              <w:rPr>
                <w:rFonts w:ascii="仿宋_GB2312" w:hAnsi="仿宋_GB2312" w:cs="仿宋_GB2312" w:eastAsia="仿宋_GB2312"/>
                <w:sz w:val="19"/>
                <w:color w:val="000000"/>
              </w:rPr>
              <w:t>11条1G链路、43条 20M链路、1条100M链路、1条 200M链路，提供3台涵盖防火墙、入侵防御系统、入侵检测系统的安全设备，以及78台高性能交换机、路由器等网络设备，以打造出稳定、高效的网络架构为目标，其承载能力可满足省级58 家单位的视频会议需求，同时调度指挥视频系统具备在同一时间段内，支持最多同时召开 200场会议，并具备后期接入省级其他单位视频业务的能力，为实现全省视频业务的统一承载奠定基础。</w:t>
            </w:r>
          </w:p>
          <w:p>
            <w:pPr>
              <w:pStyle w:val="null3"/>
              <w:ind w:left="420"/>
              <w:jc w:val="left"/>
            </w:pPr>
            <w:r>
              <w:rPr>
                <w:rFonts w:ascii="仿宋_GB2312" w:hAnsi="仿宋_GB2312" w:cs="仿宋_GB2312" w:eastAsia="仿宋_GB2312"/>
                <w:sz w:val="19"/>
                <w:b/>
                <w:color w:val="000000"/>
              </w:rPr>
              <w:t>三、服务范围</w:t>
            </w:r>
          </w:p>
          <w:p>
            <w:pPr>
              <w:pStyle w:val="null3"/>
              <w:ind w:firstLine="380"/>
              <w:jc w:val="left"/>
            </w:pPr>
            <w:r>
              <w:rPr>
                <w:rFonts w:ascii="仿宋_GB2312" w:hAnsi="仿宋_GB2312" w:cs="仿宋_GB2312" w:eastAsia="仿宋_GB2312"/>
                <w:sz w:val="19"/>
                <w:color w:val="000000"/>
              </w:rPr>
              <w:t>本项目服务范围为省级层面。以省级视频网为基础网络承载省级的</w:t>
            </w:r>
            <w:r>
              <w:rPr>
                <w:rFonts w:ascii="仿宋_GB2312" w:hAnsi="仿宋_GB2312" w:cs="仿宋_GB2312" w:eastAsia="仿宋_GB2312"/>
                <w:sz w:val="19"/>
                <w:color w:val="000000"/>
              </w:rPr>
              <w:t>58家单位调度指挥视频系统一体化服务，其中，为42家单位提供视频会议接入服务，为14家单位提供其他视频会议系统对接服务，对2家单位视频会议系统进行利旧。</w:t>
            </w:r>
          </w:p>
          <w:p>
            <w:pPr>
              <w:pStyle w:val="null3"/>
              <w:jc w:val="center"/>
            </w:pPr>
            <w:r>
              <w:rPr>
                <w:rFonts w:ascii="仿宋_GB2312" w:hAnsi="仿宋_GB2312" w:cs="仿宋_GB2312" w:eastAsia="仿宋_GB2312"/>
                <w:sz w:val="19"/>
                <w:b/>
                <w:color w:val="000000"/>
              </w:rPr>
              <w:t>表</w:t>
            </w:r>
            <w:r>
              <w:rPr>
                <w:rFonts w:ascii="仿宋_GB2312" w:hAnsi="仿宋_GB2312" w:cs="仿宋_GB2312" w:eastAsia="仿宋_GB2312"/>
                <w:sz w:val="19"/>
                <w:b/>
                <w:color w:val="000000"/>
              </w:rPr>
              <w:t>1</w:t>
            </w:r>
            <w:r>
              <w:rPr>
                <w:rFonts w:ascii="仿宋_GB2312" w:hAnsi="仿宋_GB2312" w:cs="仿宋_GB2312" w:eastAsia="仿宋_GB2312"/>
                <w:sz w:val="19"/>
                <w:b/>
                <w:color w:val="000000"/>
              </w:rPr>
              <w:t>-</w:t>
            </w:r>
            <w:r>
              <w:rPr>
                <w:rFonts w:ascii="仿宋_GB2312" w:hAnsi="仿宋_GB2312" w:cs="仿宋_GB2312" w:eastAsia="仿宋_GB2312"/>
                <w:sz w:val="19"/>
                <w:b/>
                <w:color w:val="000000"/>
              </w:rPr>
              <w:t>1</w:t>
            </w:r>
            <w:r>
              <w:rPr>
                <w:rFonts w:ascii="仿宋_GB2312" w:hAnsi="仿宋_GB2312" w:cs="仿宋_GB2312" w:eastAsia="仿宋_GB2312"/>
                <w:sz w:val="19"/>
                <w:b/>
                <w:color w:val="000000"/>
              </w:rPr>
              <w:t>服务单位情况表</w:t>
            </w:r>
          </w:p>
          <w:tbl>
            <w:tblPr>
              <w:tblBorders>
                <w:top w:val="none" w:color="000000" w:sz="4"/>
                <w:left w:val="none" w:color="000000" w:sz="4"/>
                <w:bottom w:val="none" w:color="000000" w:sz="4"/>
                <w:right w:val="none" w:color="000000" w:sz="4"/>
                <w:insideH w:val="none"/>
                <w:insideV w:val="none"/>
              </w:tblBorders>
            </w:tblPr>
            <w:tblGrid>
              <w:gridCol w:w="526"/>
              <w:gridCol w:w="1329"/>
              <w:gridCol w:w="1329"/>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1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单位名称</w:t>
                  </w:r>
                </w:p>
              </w:tc>
              <w:tc>
                <w:tcPr>
                  <w:tcW w:type="dxa" w:w="1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服务类型</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省委办公厅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省人大办公厅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省政协办公厅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省政府办公厅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省数据和政务服务中心</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省公安厅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省司法厅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省自然资源厅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省工业和信息化厅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省科学技术厅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省卫生健康委</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省统计局</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省林业局</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省信访局</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省广播电视局</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省消防救援总队</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省科学院</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省通信管理局</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省委军民融合办</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省直机关工委</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省文物局</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测绘地理信息局</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陕西省公共资源交易中心</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妇联</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省社会工作部</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省红十字会</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省纪检监察委</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省委党校</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省委网信办</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省委宣传部</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省委组织部</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省交通运输厅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省水利厅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省教育厅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省农业农村厅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省审计厅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省生态环境厅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省文化和旅游厅</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省市场监督管理局</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省地震局</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省监狱管理局</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省高院</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视频会议接入服务</w:t>
                  </w:r>
                </w:p>
              </w:tc>
            </w:tr>
          </w:tbl>
          <w:p>
            <w:pPr>
              <w:pStyle w:val="null3"/>
              <w:jc w:val="center"/>
            </w:pPr>
            <w:r>
              <w:rPr>
                <w:rFonts w:ascii="仿宋_GB2312" w:hAnsi="仿宋_GB2312" w:cs="仿宋_GB2312" w:eastAsia="仿宋_GB2312"/>
                <w:sz w:val="19"/>
                <w:b/>
                <w:color w:val="000000"/>
              </w:rPr>
              <w:t>表</w:t>
            </w:r>
            <w:r>
              <w:rPr>
                <w:rFonts w:ascii="仿宋_GB2312" w:hAnsi="仿宋_GB2312" w:cs="仿宋_GB2312" w:eastAsia="仿宋_GB2312"/>
                <w:sz w:val="19"/>
                <w:b/>
                <w:color w:val="000000"/>
              </w:rPr>
              <w:t>1</w:t>
            </w:r>
            <w:r>
              <w:rPr>
                <w:rFonts w:ascii="仿宋_GB2312" w:hAnsi="仿宋_GB2312" w:cs="仿宋_GB2312" w:eastAsia="仿宋_GB2312"/>
                <w:sz w:val="19"/>
                <w:b/>
                <w:color w:val="000000"/>
              </w:rPr>
              <w:t>-</w:t>
            </w:r>
            <w:r>
              <w:rPr>
                <w:rFonts w:ascii="仿宋_GB2312" w:hAnsi="仿宋_GB2312" w:cs="仿宋_GB2312" w:eastAsia="仿宋_GB2312"/>
                <w:sz w:val="19"/>
                <w:b/>
                <w:color w:val="000000"/>
              </w:rPr>
              <w:t>2</w:t>
            </w:r>
            <w:r>
              <w:rPr>
                <w:rFonts w:ascii="仿宋_GB2312" w:hAnsi="仿宋_GB2312" w:cs="仿宋_GB2312" w:eastAsia="仿宋_GB2312"/>
                <w:sz w:val="19"/>
                <w:b/>
                <w:color w:val="000000"/>
              </w:rPr>
              <w:t>对接单位情况表</w:t>
            </w:r>
          </w:p>
          <w:tbl>
            <w:tblPr>
              <w:tblBorders>
                <w:top w:val="none" w:color="000000" w:sz="4"/>
                <w:left w:val="none" w:color="000000" w:sz="4"/>
                <w:bottom w:val="none" w:color="000000" w:sz="4"/>
                <w:right w:val="none" w:color="000000" w:sz="4"/>
                <w:insideH w:val="none"/>
                <w:insideV w:val="none"/>
              </w:tblBorders>
            </w:tblPr>
            <w:tblGrid>
              <w:gridCol w:w="413"/>
              <w:gridCol w:w="1564"/>
              <w:gridCol w:w="1202"/>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1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单位名称</w:t>
                  </w:r>
                </w:p>
              </w:tc>
              <w:tc>
                <w:tcPr>
                  <w:tcW w:type="dxa" w:w="1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服务类型</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省人力资源和社会保障厅</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省退役军人事务厅</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省应急厅</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省住房和城乡建设厅</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省发展和改革委员会</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省财政厅</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省民政厅</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省政府国有资产监督管理委员会</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省药监局</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省医疗保障局</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省税务局</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省地质调查院</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省气象局</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省总工会</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w:t>
                  </w:r>
                  <w:r>
                    <w:rPr>
                      <w:rFonts w:ascii="仿宋_GB2312" w:hAnsi="仿宋_GB2312" w:cs="仿宋_GB2312" w:eastAsia="仿宋_GB2312"/>
                      <w:sz w:val="19"/>
                      <w:color w:val="000000"/>
                    </w:rPr>
                    <w:t>视频会议对接服务</w:t>
                  </w:r>
                </w:p>
              </w:tc>
            </w:tr>
          </w:tbl>
          <w:p>
            <w:pPr>
              <w:pStyle w:val="null3"/>
              <w:jc w:val="center"/>
            </w:pPr>
            <w:r>
              <w:rPr>
                <w:rFonts w:ascii="仿宋_GB2312" w:hAnsi="仿宋_GB2312" w:cs="仿宋_GB2312" w:eastAsia="仿宋_GB2312"/>
                <w:sz w:val="19"/>
                <w:b/>
                <w:color w:val="000000"/>
              </w:rPr>
              <w:t>表</w:t>
            </w:r>
            <w:r>
              <w:rPr>
                <w:rFonts w:ascii="仿宋_GB2312" w:hAnsi="仿宋_GB2312" w:cs="仿宋_GB2312" w:eastAsia="仿宋_GB2312"/>
                <w:sz w:val="19"/>
                <w:b/>
                <w:color w:val="000000"/>
              </w:rPr>
              <w:t>1</w:t>
            </w:r>
            <w:r>
              <w:rPr>
                <w:rFonts w:ascii="仿宋_GB2312" w:hAnsi="仿宋_GB2312" w:cs="仿宋_GB2312" w:eastAsia="仿宋_GB2312"/>
                <w:sz w:val="19"/>
                <w:b/>
                <w:color w:val="000000"/>
              </w:rPr>
              <w:t>-</w:t>
            </w:r>
            <w:r>
              <w:rPr>
                <w:rFonts w:ascii="仿宋_GB2312" w:hAnsi="仿宋_GB2312" w:cs="仿宋_GB2312" w:eastAsia="仿宋_GB2312"/>
                <w:sz w:val="19"/>
                <w:b/>
                <w:color w:val="000000"/>
              </w:rPr>
              <w:t>3</w:t>
            </w:r>
            <w:r>
              <w:rPr>
                <w:rFonts w:ascii="仿宋_GB2312" w:hAnsi="仿宋_GB2312" w:cs="仿宋_GB2312" w:eastAsia="仿宋_GB2312"/>
                <w:sz w:val="19"/>
                <w:b/>
                <w:color w:val="000000"/>
              </w:rPr>
              <w:t>利旧</w:t>
            </w:r>
            <w:r>
              <w:rPr>
                <w:rFonts w:ascii="仿宋_GB2312" w:hAnsi="仿宋_GB2312" w:cs="仿宋_GB2312" w:eastAsia="仿宋_GB2312"/>
                <w:sz w:val="19"/>
                <w:b/>
                <w:color w:val="000000"/>
              </w:rPr>
              <w:t>单位情况表</w:t>
            </w:r>
          </w:p>
          <w:tbl>
            <w:tblPr>
              <w:tblBorders>
                <w:top w:val="none" w:color="000000" w:sz="4"/>
                <w:left w:val="none" w:color="000000" w:sz="4"/>
                <w:bottom w:val="none" w:color="000000" w:sz="4"/>
                <w:right w:val="none" w:color="000000" w:sz="4"/>
                <w:insideH w:val="none"/>
                <w:insideV w:val="none"/>
              </w:tblBorders>
            </w:tblPr>
            <w:tblGrid>
              <w:gridCol w:w="562"/>
              <w:gridCol w:w="1688"/>
              <w:gridCol w:w="936"/>
            </w:tblGrid>
            <w:tr>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1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单位名称</w:t>
                  </w:r>
                </w:p>
              </w:tc>
              <w:tc>
                <w:tcPr>
                  <w:tcW w:type="dxa" w:w="9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服务类型</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省人民检察院</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利旧</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省委政法委</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利旧</w:t>
                  </w:r>
                </w:p>
              </w:tc>
            </w:tr>
          </w:tbl>
          <w:p>
            <w:pPr>
              <w:pStyle w:val="null3"/>
              <w:ind w:firstLine="420"/>
              <w:jc w:val="left"/>
            </w:pPr>
            <w:r>
              <w:rPr>
                <w:rFonts w:ascii="仿宋_GB2312" w:hAnsi="仿宋_GB2312" w:cs="仿宋_GB2312" w:eastAsia="仿宋_GB2312"/>
                <w:sz w:val="19"/>
                <w:b/>
                <w:color w:val="000000"/>
              </w:rPr>
              <w:t>四、服务要求</w:t>
            </w:r>
          </w:p>
          <w:p>
            <w:pPr>
              <w:pStyle w:val="null3"/>
              <w:ind w:firstLine="380"/>
              <w:jc w:val="left"/>
            </w:pPr>
            <w:r>
              <w:rPr>
                <w:rFonts w:ascii="仿宋_GB2312" w:hAnsi="仿宋_GB2312" w:cs="仿宋_GB2312" w:eastAsia="仿宋_GB2312"/>
                <w:sz w:val="19"/>
                <w:color w:val="000000"/>
              </w:rPr>
              <w:t>4.1服务内容要求</w:t>
            </w:r>
          </w:p>
          <w:p>
            <w:pPr>
              <w:pStyle w:val="null3"/>
              <w:ind w:firstLine="380"/>
              <w:jc w:val="left"/>
            </w:pPr>
            <w:r>
              <w:rPr>
                <w:rFonts w:ascii="仿宋_GB2312" w:hAnsi="仿宋_GB2312" w:cs="仿宋_GB2312" w:eastAsia="仿宋_GB2312"/>
                <w:sz w:val="19"/>
                <w:color w:val="000000"/>
              </w:rPr>
              <w:t>本次服务内容需要提供并完成调度指挥视频系统一体化服务、视频网承载服务和运营保障服务三个部分，具体</w:t>
            </w:r>
            <w:r>
              <w:rPr>
                <w:rFonts w:ascii="仿宋_GB2312" w:hAnsi="仿宋_GB2312" w:cs="仿宋_GB2312" w:eastAsia="仿宋_GB2312"/>
                <w:sz w:val="19"/>
                <w:color w:val="000000"/>
              </w:rPr>
              <w:t>服务</w:t>
            </w:r>
            <w:r>
              <w:rPr>
                <w:rFonts w:ascii="仿宋_GB2312" w:hAnsi="仿宋_GB2312" w:cs="仿宋_GB2312" w:eastAsia="仿宋_GB2312"/>
                <w:sz w:val="19"/>
                <w:color w:val="000000"/>
              </w:rPr>
              <w:t>内容见下表。</w:t>
            </w:r>
          </w:p>
          <w:tbl>
            <w:tblPr>
              <w:tblBorders>
                <w:top w:val="none" w:color="000000" w:sz="4"/>
                <w:left w:val="none" w:color="000000" w:sz="4"/>
                <w:bottom w:val="none" w:color="000000" w:sz="4"/>
                <w:right w:val="none" w:color="000000" w:sz="4"/>
                <w:insideH w:val="none"/>
                <w:insideV w:val="none"/>
              </w:tblBorders>
            </w:tblPr>
            <w:tblGrid>
              <w:gridCol w:w="291"/>
              <w:gridCol w:w="660"/>
              <w:gridCol w:w="2235"/>
            </w:tblGrid>
            <w:tr>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服务类型</w:t>
                  </w:r>
                </w:p>
              </w:tc>
              <w:tc>
                <w:tcPr>
                  <w:tcW w:type="dxa" w:w="2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服务内容</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一</w:t>
                  </w:r>
                </w:p>
              </w:tc>
              <w:tc>
                <w:tcPr>
                  <w:tcW w:type="dxa" w:w="2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调度指挥视频系统一体化服务</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政务视频会议</w:t>
                  </w:r>
                  <w:r>
                    <w:rPr>
                      <w:rFonts w:ascii="仿宋_GB2312" w:hAnsi="仿宋_GB2312" w:cs="仿宋_GB2312" w:eastAsia="仿宋_GB2312"/>
                      <w:sz w:val="19"/>
                      <w:color w:val="000000"/>
                    </w:rPr>
                    <w:t>接入服务</w:t>
                  </w:r>
                </w:p>
              </w:tc>
              <w:tc>
                <w:tcPr>
                  <w:tcW w:type="dxa" w:w="2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需要为省级</w:t>
                  </w:r>
                  <w:r>
                    <w:rPr>
                      <w:rFonts w:ascii="仿宋_GB2312" w:hAnsi="仿宋_GB2312" w:cs="仿宋_GB2312" w:eastAsia="仿宋_GB2312"/>
                      <w:sz w:val="19"/>
                      <w:color w:val="000000"/>
                    </w:rPr>
                    <w:t>42家单位提供政务视频会议终端，满足政务视频会议等业务需要</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其他视频会议</w:t>
                  </w:r>
                  <w:r>
                    <w:rPr>
                      <w:rFonts w:ascii="仿宋_GB2312" w:hAnsi="仿宋_GB2312" w:cs="仿宋_GB2312" w:eastAsia="仿宋_GB2312"/>
                      <w:sz w:val="19"/>
                      <w:color w:val="000000"/>
                    </w:rPr>
                    <w:t>系统对接服务</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需要提供省级</w:t>
                  </w:r>
                  <w:r>
                    <w:rPr>
                      <w:rFonts w:ascii="仿宋_GB2312" w:hAnsi="仿宋_GB2312" w:cs="仿宋_GB2312" w:eastAsia="仿宋_GB2312"/>
                      <w:sz w:val="19"/>
                      <w:color w:val="000000"/>
                    </w:rPr>
                    <w:t>14家单位现</w:t>
                  </w:r>
                  <w:r>
                    <w:rPr>
                      <w:rFonts w:ascii="仿宋_GB2312" w:hAnsi="仿宋_GB2312" w:cs="仿宋_GB2312" w:eastAsia="仿宋_GB2312"/>
                      <w:sz w:val="19"/>
                      <w:color w:val="000000"/>
                    </w:rPr>
                    <w:t>有视频会议</w:t>
                  </w:r>
                  <w:r>
                    <w:rPr>
                      <w:rFonts w:ascii="仿宋_GB2312" w:hAnsi="仿宋_GB2312" w:cs="仿宋_GB2312" w:eastAsia="仿宋_GB2312"/>
                      <w:sz w:val="19"/>
                      <w:color w:val="000000"/>
                    </w:rPr>
                    <w:t>系统</w:t>
                  </w:r>
                  <w:r>
                    <w:rPr>
                      <w:rFonts w:ascii="仿宋_GB2312" w:hAnsi="仿宋_GB2312" w:cs="仿宋_GB2312" w:eastAsia="仿宋_GB2312"/>
                      <w:sz w:val="19"/>
                      <w:color w:val="000000"/>
                    </w:rPr>
                    <w:t>接入</w:t>
                  </w:r>
                  <w:r>
                    <w:rPr>
                      <w:rFonts w:ascii="仿宋_GB2312" w:hAnsi="仿宋_GB2312" w:cs="仿宋_GB2312" w:eastAsia="仿宋_GB2312"/>
                      <w:sz w:val="19"/>
                      <w:color w:val="000000"/>
                    </w:rPr>
                    <w:t>调度指挥视频系统</w:t>
                  </w:r>
                  <w:r>
                    <w:rPr>
                      <w:rFonts w:ascii="仿宋_GB2312" w:hAnsi="仿宋_GB2312" w:cs="仿宋_GB2312" w:eastAsia="仿宋_GB2312"/>
                      <w:sz w:val="19"/>
                      <w:color w:val="000000"/>
                    </w:rPr>
                    <w:t>服务</w:t>
                  </w:r>
                  <w:r>
                    <w:rPr>
                      <w:rFonts w:ascii="仿宋_GB2312" w:hAnsi="仿宋_GB2312" w:cs="仿宋_GB2312" w:eastAsia="仿宋_GB2312"/>
                      <w:sz w:val="19"/>
                      <w:color w:val="000000"/>
                    </w:rPr>
                    <w:t>，实现接入单位与本项目服务范围内</w:t>
                  </w:r>
                  <w:r>
                    <w:rPr>
                      <w:rFonts w:ascii="仿宋_GB2312" w:hAnsi="仿宋_GB2312" w:cs="仿宋_GB2312" w:eastAsia="仿宋_GB2312"/>
                      <w:sz w:val="19"/>
                      <w:color w:val="000000"/>
                    </w:rPr>
                    <w:t>其他</w:t>
                  </w:r>
                  <w:r>
                    <w:rPr>
                      <w:rFonts w:ascii="仿宋_GB2312" w:hAnsi="仿宋_GB2312" w:cs="仿宋_GB2312" w:eastAsia="仿宋_GB2312"/>
                      <w:sz w:val="19"/>
                      <w:color w:val="000000"/>
                    </w:rPr>
                    <w:t>单位组会服务</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2家单位（省委政法委、省检察院）直接利旧已建综治视联</w:t>
                  </w:r>
                </w:p>
                <w:p>
                  <w:pPr>
                    <w:pStyle w:val="null3"/>
                    <w:jc w:val="left"/>
                  </w:pPr>
                  <w:r>
                    <w:rPr>
                      <w:rFonts w:ascii="仿宋_GB2312" w:hAnsi="仿宋_GB2312" w:cs="仿宋_GB2312" w:eastAsia="仿宋_GB2312"/>
                      <w:sz w:val="19"/>
                      <w:color w:val="000000"/>
                    </w:rPr>
                    <w:t>网视频会议终端，直接接入调度指挥视频系统。</w:t>
                  </w:r>
                </w:p>
                <w:p>
                  <w:pPr>
                    <w:pStyle w:val="null3"/>
                    <w:jc w:val="left"/>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“秦政通”视频会议模块</w:t>
                  </w:r>
                  <w:r>
                    <w:rPr>
                      <w:rFonts w:ascii="仿宋_GB2312" w:hAnsi="仿宋_GB2312" w:cs="仿宋_GB2312" w:eastAsia="仿宋_GB2312"/>
                      <w:sz w:val="19"/>
                      <w:color w:val="000000"/>
                    </w:rPr>
                    <w:t>对接服务</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需要提供</w:t>
                  </w:r>
                  <w:r>
                    <w:rPr>
                      <w:rFonts w:ascii="仿宋_GB2312" w:hAnsi="仿宋_GB2312" w:cs="仿宋_GB2312" w:eastAsia="仿宋_GB2312"/>
                      <w:sz w:val="19"/>
                      <w:color w:val="000000"/>
                    </w:rPr>
                    <w:t>调度指挥视频系统</w:t>
                  </w:r>
                  <w:r>
                    <w:rPr>
                      <w:rFonts w:ascii="仿宋_GB2312" w:hAnsi="仿宋_GB2312" w:cs="仿宋_GB2312" w:eastAsia="仿宋_GB2312"/>
                      <w:sz w:val="19"/>
                      <w:color w:val="000000"/>
                    </w:rPr>
                    <w:t>与</w:t>
                  </w:r>
                  <w:r>
                    <w:rPr>
                      <w:rFonts w:ascii="仿宋_GB2312" w:hAnsi="仿宋_GB2312" w:cs="仿宋_GB2312" w:eastAsia="仿宋_GB2312"/>
                      <w:sz w:val="19"/>
                      <w:color w:val="000000"/>
                    </w:rPr>
                    <w:t>“秦政通”视频会议模块</w:t>
                  </w:r>
                  <w:r>
                    <w:rPr>
                      <w:rFonts w:ascii="仿宋_GB2312" w:hAnsi="仿宋_GB2312" w:cs="仿宋_GB2312" w:eastAsia="仿宋_GB2312"/>
                      <w:sz w:val="19"/>
                      <w:color w:val="000000"/>
                    </w:rPr>
                    <w:t>的互联互通</w:t>
                  </w:r>
                  <w:r>
                    <w:rPr>
                      <w:rFonts w:ascii="仿宋_GB2312" w:hAnsi="仿宋_GB2312" w:cs="仿宋_GB2312" w:eastAsia="仿宋_GB2312"/>
                      <w:sz w:val="19"/>
                      <w:color w:val="000000"/>
                    </w:rPr>
                    <w:t>服务</w:t>
                  </w:r>
                  <w:r>
                    <w:rPr>
                      <w:rFonts w:ascii="仿宋_GB2312" w:hAnsi="仿宋_GB2312" w:cs="仿宋_GB2312" w:eastAsia="仿宋_GB2312"/>
                      <w:sz w:val="19"/>
                      <w:color w:val="000000"/>
                    </w:rPr>
                    <w:t>，</w:t>
                  </w:r>
                  <w:r>
                    <w:rPr>
                      <w:rFonts w:ascii="仿宋_GB2312" w:hAnsi="仿宋_GB2312" w:cs="仿宋_GB2312" w:eastAsia="仿宋_GB2312"/>
                      <w:sz w:val="19"/>
                      <w:color w:val="000000"/>
                    </w:rPr>
                    <w:t>实现政务视频会议移动端能力覆盖</w:t>
                  </w:r>
                  <w:r>
                    <w:rPr>
                      <w:rFonts w:ascii="仿宋_GB2312" w:hAnsi="仿宋_GB2312" w:cs="仿宋_GB2312" w:eastAsia="仿宋_GB2312"/>
                      <w:sz w:val="19"/>
                      <w:color w:val="000000"/>
                    </w:rPr>
                    <w:t>。</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二</w:t>
                  </w:r>
                </w:p>
              </w:tc>
              <w:tc>
                <w:tcPr>
                  <w:tcW w:type="dxa" w:w="2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政务视频网</w:t>
                  </w:r>
                  <w:r>
                    <w:rPr>
                      <w:rFonts w:ascii="仿宋_GB2312" w:hAnsi="仿宋_GB2312" w:cs="仿宋_GB2312" w:eastAsia="仿宋_GB2312"/>
                      <w:sz w:val="19"/>
                      <w:b/>
                      <w:color w:val="000000"/>
                    </w:rPr>
                    <w:t>承载</w:t>
                  </w:r>
                  <w:r>
                    <w:rPr>
                      <w:rFonts w:ascii="仿宋_GB2312" w:hAnsi="仿宋_GB2312" w:cs="仿宋_GB2312" w:eastAsia="仿宋_GB2312"/>
                      <w:sz w:val="19"/>
                      <w:b/>
                      <w:color w:val="000000"/>
                    </w:rPr>
                    <w:t>服务</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政务视频网</w:t>
                  </w:r>
                  <w:r>
                    <w:rPr>
                      <w:rFonts w:ascii="仿宋_GB2312" w:hAnsi="仿宋_GB2312" w:cs="仿宋_GB2312" w:eastAsia="仿宋_GB2312"/>
                      <w:sz w:val="19"/>
                      <w:color w:val="000000"/>
                    </w:rPr>
                    <w:t>平台服务</w:t>
                  </w:r>
                </w:p>
              </w:tc>
              <w:tc>
                <w:tcPr>
                  <w:tcW w:type="dxa" w:w="2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省级政务视频网核心区由省级广域、城域及</w:t>
                  </w:r>
                  <w:r>
                    <w:rPr>
                      <w:rFonts w:ascii="仿宋_GB2312" w:hAnsi="仿宋_GB2312" w:cs="仿宋_GB2312" w:eastAsia="仿宋_GB2312"/>
                      <w:sz w:val="19"/>
                      <w:color w:val="000000"/>
                    </w:rPr>
                    <w:t>11地市核心路由器组成，均部署于政务外网机房，具备高性能、抗毁、超低时延、确定性转发能力，并通过管理区统一管控；安全区按三级等保部署防火墙、</w:t>
                  </w:r>
                  <w:r>
                    <w:rPr>
                      <w:rFonts w:ascii="仿宋_GB2312" w:hAnsi="仿宋_GB2312" w:cs="仿宋_GB2312" w:eastAsia="仿宋_GB2312"/>
                      <w:sz w:val="19"/>
                      <w:color w:val="000000"/>
                    </w:rPr>
                    <w:t>入侵防御</w:t>
                  </w:r>
                  <w:r>
                    <w:rPr>
                      <w:rFonts w:ascii="仿宋_GB2312" w:hAnsi="仿宋_GB2312" w:cs="仿宋_GB2312" w:eastAsia="仿宋_GB2312"/>
                      <w:sz w:val="19"/>
                      <w:color w:val="000000"/>
                    </w:rPr>
                    <w:t>等防护，全网管理设备经安全区交换机统一防护</w:t>
                  </w:r>
                  <w:r>
                    <w:rPr>
                      <w:rFonts w:ascii="仿宋_GB2312" w:hAnsi="仿宋_GB2312" w:cs="仿宋_GB2312" w:eastAsia="仿宋_GB2312"/>
                      <w:sz w:val="19"/>
                      <w:color w:val="000000"/>
                    </w:rPr>
                    <w:t>。</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政务视频网</w:t>
                  </w:r>
                  <w:r>
                    <w:rPr>
                      <w:rFonts w:ascii="仿宋_GB2312" w:hAnsi="仿宋_GB2312" w:cs="仿宋_GB2312" w:eastAsia="仿宋_GB2312"/>
                      <w:sz w:val="19"/>
                      <w:color w:val="000000"/>
                    </w:rPr>
                    <w:t>接入服</w:t>
                  </w:r>
                  <w:r>
                    <w:rPr>
                      <w:rFonts w:ascii="仿宋_GB2312" w:hAnsi="仿宋_GB2312" w:cs="仿宋_GB2312" w:eastAsia="仿宋_GB2312"/>
                      <w:sz w:val="19"/>
                      <w:color w:val="000000"/>
                    </w:rPr>
                    <w:t>务</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省级视频城域网接入服务包含各接入单位的网络设备，为省委园区、省人大园区、省政协园区、省政府园区</w:t>
                  </w:r>
                  <w:r>
                    <w:rPr>
                      <w:rFonts w:ascii="仿宋_GB2312" w:hAnsi="仿宋_GB2312" w:cs="仿宋_GB2312" w:eastAsia="仿宋_GB2312"/>
                      <w:sz w:val="21"/>
                      <w:color w:val="000000"/>
                    </w:rPr>
                    <w:t>等</w:t>
                  </w:r>
                  <w:r>
                    <w:rPr>
                      <w:rFonts w:ascii="仿宋_GB2312" w:hAnsi="仿宋_GB2312" w:cs="仿宋_GB2312" w:eastAsia="仿宋_GB2312"/>
                      <w:sz w:val="21"/>
                      <w:color w:val="000000"/>
                    </w:rPr>
                    <w:t>45家</w:t>
                  </w:r>
                  <w:r>
                    <w:rPr>
                      <w:rFonts w:ascii="仿宋_GB2312" w:hAnsi="仿宋_GB2312" w:cs="仿宋_GB2312" w:eastAsia="仿宋_GB2312"/>
                      <w:sz w:val="19"/>
                      <w:color w:val="000000"/>
                    </w:rPr>
                    <w:t>省级单位提供网络接入服务，</w:t>
                  </w:r>
                  <w:r>
                    <w:rPr>
                      <w:rFonts w:ascii="仿宋_GB2312" w:hAnsi="仿宋_GB2312" w:cs="仿宋_GB2312" w:eastAsia="仿宋_GB2312"/>
                      <w:sz w:val="19"/>
                      <w:color w:val="000000"/>
                    </w:rPr>
                    <w:t>需要</w:t>
                  </w:r>
                  <w:r>
                    <w:rPr>
                      <w:rFonts w:ascii="仿宋_GB2312" w:hAnsi="仿宋_GB2312" w:cs="仿宋_GB2312" w:eastAsia="仿宋_GB2312"/>
                      <w:sz w:val="19"/>
                      <w:color w:val="000000"/>
                    </w:rPr>
                    <w:t>通过运营商链路，上联省政务视频城域网核心路由器，为省级各委办厅局的网络业务提供接入服务。向下负责接入各园区</w:t>
                  </w:r>
                  <w:r>
                    <w:rPr>
                      <w:rFonts w:ascii="仿宋_GB2312" w:hAnsi="仿宋_GB2312" w:cs="仿宋_GB2312" w:eastAsia="仿宋_GB2312"/>
                      <w:sz w:val="19"/>
                      <w:color w:val="000000"/>
                    </w:rPr>
                    <w:t>/单位政务视频会议终端，同时可为各厅局单位提供政务数据通信服务。</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政务视频网</w:t>
                  </w:r>
                  <w:r>
                    <w:rPr>
                      <w:rFonts w:ascii="仿宋_GB2312" w:hAnsi="仿宋_GB2312" w:cs="仿宋_GB2312" w:eastAsia="仿宋_GB2312"/>
                      <w:sz w:val="19"/>
                      <w:color w:val="000000"/>
                    </w:rPr>
                    <w:t>链路服</w:t>
                  </w:r>
                  <w:r>
                    <w:rPr>
                      <w:rFonts w:ascii="仿宋_GB2312" w:hAnsi="仿宋_GB2312" w:cs="仿宋_GB2312" w:eastAsia="仿宋_GB2312"/>
                      <w:sz w:val="19"/>
                      <w:color w:val="000000"/>
                    </w:rPr>
                    <w:t>务</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需要</w:t>
                  </w:r>
                  <w:r>
                    <w:rPr>
                      <w:rFonts w:ascii="仿宋_GB2312" w:hAnsi="仿宋_GB2312" w:cs="仿宋_GB2312" w:eastAsia="仿宋_GB2312"/>
                      <w:sz w:val="19"/>
                      <w:color w:val="000000"/>
                    </w:rPr>
                    <w:t>提供</w:t>
                  </w:r>
                  <w:r>
                    <w:rPr>
                      <w:rFonts w:ascii="仿宋_GB2312" w:hAnsi="仿宋_GB2312" w:cs="仿宋_GB2312" w:eastAsia="仿宋_GB2312"/>
                      <w:sz w:val="19"/>
                      <w:color w:val="000000"/>
                    </w:rPr>
                    <w:t>11条1G、1条200M、1条100M和43条20M专线服务</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政务外网</w:t>
                  </w:r>
                  <w:r>
                    <w:rPr>
                      <w:rFonts w:ascii="仿宋_GB2312" w:hAnsi="仿宋_GB2312" w:cs="仿宋_GB2312" w:eastAsia="仿宋_GB2312"/>
                      <w:sz w:val="19"/>
                      <w:color w:val="000000"/>
                    </w:rPr>
                    <w:t>互通</w:t>
                  </w:r>
                  <w:r>
                    <w:rPr>
                      <w:rFonts w:ascii="仿宋_GB2312" w:hAnsi="仿宋_GB2312" w:cs="仿宋_GB2312" w:eastAsia="仿宋_GB2312"/>
                      <w:sz w:val="19"/>
                      <w:color w:val="000000"/>
                    </w:rPr>
                    <w:t>服务</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政务外网互通服务通过光纤链路实现省级政务视频网与电子政务外网的城域核心设备连通，构建跨网络互联互通的通信架构，使两网内设备可相互访问，满足政务网络资源共享与业务协同的需求</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三</w:t>
                  </w:r>
                </w:p>
              </w:tc>
              <w:tc>
                <w:tcPr>
                  <w:tcW w:type="dxa" w:w="2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运营</w:t>
                  </w:r>
                  <w:r>
                    <w:rPr>
                      <w:rFonts w:ascii="仿宋_GB2312" w:hAnsi="仿宋_GB2312" w:cs="仿宋_GB2312" w:eastAsia="仿宋_GB2312"/>
                      <w:sz w:val="19"/>
                      <w:b/>
                      <w:color w:val="000000"/>
                    </w:rPr>
                    <w:t>保障</w:t>
                  </w:r>
                  <w:r>
                    <w:rPr>
                      <w:rFonts w:ascii="仿宋_GB2312" w:hAnsi="仿宋_GB2312" w:cs="仿宋_GB2312" w:eastAsia="仿宋_GB2312"/>
                      <w:sz w:val="19"/>
                      <w:b/>
                      <w:color w:val="000000"/>
                    </w:rPr>
                    <w:t>服务</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重保服务</w:t>
                  </w:r>
                </w:p>
              </w:tc>
              <w:tc>
                <w:tcPr>
                  <w:tcW w:type="dxa" w:w="2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需要</w:t>
                  </w:r>
                  <w:r>
                    <w:rPr>
                      <w:rFonts w:ascii="仿宋_GB2312" w:hAnsi="仿宋_GB2312" w:cs="仿宋_GB2312" w:eastAsia="仿宋_GB2312"/>
                      <w:sz w:val="19"/>
                      <w:color w:val="000000"/>
                    </w:rPr>
                    <w:t>协助政务视频会议及视频网运行保障部门，做好各项重保事务事前、事中、事后做好协调、总结和监督管理工作，以应对可能的安全威胁和风险，确保政务视频会议及视频网在重保期间安全稳定服务，支持应用系统正常运行。</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服务台服务</w:t>
                  </w:r>
                </w:p>
              </w:tc>
              <w:tc>
                <w:tcPr>
                  <w:tcW w:type="dxa" w:w="2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负责接收电话热线、系统工单、各种渠道的服务请求，并处理基本的运营服务需求，制定和完善服务台管理流程，按照流程进行受理、分发、跟踪等，受理客户发起的事件请求，收集、记录相关信息，跟踪事件的全过程流转，进行客户回访和客户满意度调查等。</w:t>
                  </w:r>
                </w:p>
              </w:tc>
            </w:tr>
          </w:tbl>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2</w:t>
            </w:r>
            <w:r>
              <w:rPr>
                <w:rFonts w:ascii="仿宋_GB2312" w:hAnsi="仿宋_GB2312" w:cs="仿宋_GB2312" w:eastAsia="仿宋_GB2312"/>
                <w:sz w:val="19"/>
                <w:color w:val="000000"/>
              </w:rPr>
              <w:t>功能要求</w:t>
            </w:r>
          </w:p>
          <w:p>
            <w:pPr>
              <w:pStyle w:val="null3"/>
              <w:ind w:firstLine="576"/>
              <w:jc w:val="left"/>
            </w:pPr>
            <w:r>
              <w:rPr>
                <w:rFonts w:ascii="仿宋_GB2312" w:hAnsi="仿宋_GB2312" w:cs="仿宋_GB2312" w:eastAsia="仿宋_GB2312"/>
                <w:sz w:val="19"/>
                <w:color w:val="000000"/>
              </w:rPr>
              <w:t>提供高清晰度的视频和高质量的音频，视频分辨率达到</w:t>
            </w:r>
            <w:r>
              <w:rPr>
                <w:rFonts w:ascii="仿宋_GB2312" w:hAnsi="仿宋_GB2312" w:cs="仿宋_GB2312" w:eastAsia="仿宋_GB2312"/>
                <w:sz w:val="19"/>
                <w:color w:val="000000"/>
              </w:rPr>
              <w:t xml:space="preserve"> 1080p 以上，音频支持回声消除和噪声抑制功能。</w:t>
            </w:r>
          </w:p>
          <w:p>
            <w:pPr>
              <w:pStyle w:val="null3"/>
              <w:ind w:firstLine="576"/>
              <w:jc w:val="left"/>
            </w:pPr>
            <w:r>
              <w:rPr>
                <w:rFonts w:ascii="仿宋_GB2312" w:hAnsi="仿宋_GB2312" w:cs="仿宋_GB2312" w:eastAsia="仿宋_GB2312"/>
                <w:sz w:val="19"/>
                <w:color w:val="000000"/>
              </w:rPr>
              <w:t>提供会议调度、可视电话、双流会议、多画面显示、字幕显示、唇音同步等多种终端功能服务。</w:t>
            </w:r>
          </w:p>
          <w:p>
            <w:pPr>
              <w:pStyle w:val="null3"/>
              <w:ind w:firstLine="576"/>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3</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技术要求</w:t>
            </w:r>
          </w:p>
          <w:p>
            <w:pPr>
              <w:pStyle w:val="null3"/>
              <w:ind w:firstLine="576"/>
              <w:jc w:val="left"/>
            </w:pPr>
            <w:r>
              <w:rPr>
                <w:rFonts w:ascii="仿宋_GB2312" w:hAnsi="仿宋_GB2312" w:cs="仿宋_GB2312" w:eastAsia="仿宋_GB2312"/>
                <w:sz w:val="19"/>
                <w:color w:val="000000"/>
              </w:rPr>
              <w:t>在会议计划内，可用会议点位总数</w:t>
            </w:r>
            <w:r>
              <w:rPr>
                <w:rFonts w:ascii="仿宋_GB2312" w:hAnsi="仿宋_GB2312" w:cs="仿宋_GB2312" w:eastAsia="仿宋_GB2312"/>
                <w:sz w:val="19"/>
                <w:color w:val="000000"/>
              </w:rPr>
              <w:t>/计划参会会议点位总数不低于 99%；</w:t>
            </w:r>
          </w:p>
          <w:p>
            <w:pPr>
              <w:pStyle w:val="null3"/>
              <w:ind w:firstLine="576"/>
              <w:jc w:val="left"/>
            </w:pPr>
            <w:r>
              <w:rPr>
                <w:rFonts w:ascii="仿宋_GB2312" w:hAnsi="仿宋_GB2312" w:cs="仿宋_GB2312" w:eastAsia="仿宋_GB2312"/>
                <w:sz w:val="19"/>
                <w:color w:val="000000"/>
              </w:rPr>
              <w:t>在同一时间段内，可同时召开会议的场次不超过</w:t>
            </w:r>
            <w:r>
              <w:rPr>
                <w:rFonts w:ascii="仿宋_GB2312" w:hAnsi="仿宋_GB2312" w:cs="仿宋_GB2312" w:eastAsia="仿宋_GB2312"/>
                <w:sz w:val="19"/>
                <w:color w:val="000000"/>
              </w:rPr>
              <w:t xml:space="preserve"> 200 场；</w:t>
            </w:r>
          </w:p>
          <w:p>
            <w:pPr>
              <w:pStyle w:val="null3"/>
              <w:ind w:firstLine="576"/>
              <w:jc w:val="left"/>
            </w:pPr>
            <w:r>
              <w:rPr>
                <w:rFonts w:ascii="仿宋_GB2312" w:hAnsi="仿宋_GB2312" w:cs="仿宋_GB2312" w:eastAsia="仿宋_GB2312"/>
                <w:sz w:val="19"/>
                <w:color w:val="000000"/>
              </w:rPr>
              <w:t>跨区域视频会议终端调度，传输延时不高于</w:t>
            </w:r>
            <w:r>
              <w:rPr>
                <w:rFonts w:ascii="仿宋_GB2312" w:hAnsi="仿宋_GB2312" w:cs="仿宋_GB2312" w:eastAsia="仿宋_GB2312"/>
                <w:sz w:val="19"/>
                <w:color w:val="000000"/>
              </w:rPr>
              <w:t xml:space="preserve"> 200ms；</w:t>
            </w:r>
          </w:p>
          <w:p>
            <w:pPr>
              <w:pStyle w:val="null3"/>
              <w:ind w:firstLine="576"/>
              <w:jc w:val="left"/>
            </w:pPr>
            <w:r>
              <w:rPr>
                <w:rFonts w:ascii="仿宋_GB2312" w:hAnsi="仿宋_GB2312" w:cs="仿宋_GB2312" w:eastAsia="仿宋_GB2312"/>
                <w:sz w:val="19"/>
                <w:color w:val="000000"/>
              </w:rPr>
              <w:t>视频系统重载丢包率不高于百万分之一；</w:t>
            </w:r>
          </w:p>
          <w:p>
            <w:pPr>
              <w:pStyle w:val="null3"/>
              <w:ind w:firstLine="576"/>
              <w:jc w:val="left"/>
            </w:pPr>
            <w:r>
              <w:rPr>
                <w:rFonts w:ascii="仿宋_GB2312" w:hAnsi="仿宋_GB2312" w:cs="仿宋_GB2312" w:eastAsia="仿宋_GB2312"/>
                <w:sz w:val="19"/>
                <w:color w:val="000000"/>
              </w:rPr>
              <w:t>视频系统带宽利用率不低于</w:t>
            </w:r>
            <w:r>
              <w:rPr>
                <w:rFonts w:ascii="仿宋_GB2312" w:hAnsi="仿宋_GB2312" w:cs="仿宋_GB2312" w:eastAsia="仿宋_GB2312"/>
                <w:sz w:val="19"/>
                <w:color w:val="000000"/>
              </w:rPr>
              <w:t xml:space="preserve"> 90%；</w:t>
            </w:r>
          </w:p>
          <w:p>
            <w:pPr>
              <w:pStyle w:val="null3"/>
              <w:ind w:firstLine="576"/>
              <w:jc w:val="left"/>
            </w:pPr>
            <w:r>
              <w:rPr>
                <w:rFonts w:ascii="仿宋_GB2312" w:hAnsi="仿宋_GB2312" w:cs="仿宋_GB2312" w:eastAsia="仿宋_GB2312"/>
                <w:sz w:val="19"/>
                <w:color w:val="000000"/>
              </w:rPr>
              <w:t>视频系统操作响应时间不高于</w:t>
            </w:r>
            <w:r>
              <w:rPr>
                <w:rFonts w:ascii="仿宋_GB2312" w:hAnsi="仿宋_GB2312" w:cs="仿宋_GB2312" w:eastAsia="仿宋_GB2312"/>
                <w:sz w:val="19"/>
                <w:color w:val="000000"/>
              </w:rPr>
              <w:t xml:space="preserve"> 1s；</w:t>
            </w:r>
          </w:p>
          <w:p>
            <w:pPr>
              <w:pStyle w:val="null3"/>
              <w:ind w:firstLine="576"/>
              <w:jc w:val="left"/>
            </w:pPr>
            <w:r>
              <w:rPr>
                <w:rFonts w:ascii="仿宋_GB2312" w:hAnsi="仿宋_GB2312" w:cs="仿宋_GB2312" w:eastAsia="仿宋_GB2312"/>
                <w:sz w:val="19"/>
                <w:color w:val="000000"/>
              </w:rPr>
              <w:t>视频会议终端入网响应时间小于</w:t>
            </w:r>
            <w:r>
              <w:rPr>
                <w:rFonts w:ascii="仿宋_GB2312" w:hAnsi="仿宋_GB2312" w:cs="仿宋_GB2312" w:eastAsia="仿宋_GB2312"/>
                <w:sz w:val="19"/>
                <w:color w:val="000000"/>
              </w:rPr>
              <w:t xml:space="preserve"> 10s；</w:t>
            </w:r>
          </w:p>
          <w:p>
            <w:pPr>
              <w:pStyle w:val="null3"/>
              <w:ind w:firstLine="576"/>
              <w:jc w:val="left"/>
            </w:pPr>
            <w:r>
              <w:rPr>
                <w:rFonts w:ascii="仿宋_GB2312" w:hAnsi="仿宋_GB2312" w:cs="仿宋_GB2312" w:eastAsia="仿宋_GB2312"/>
                <w:sz w:val="19"/>
                <w:color w:val="000000"/>
              </w:rPr>
              <w:t>视频会议终端退网或故障检测响应时间小于</w:t>
            </w:r>
            <w:r>
              <w:rPr>
                <w:rFonts w:ascii="仿宋_GB2312" w:hAnsi="仿宋_GB2312" w:cs="仿宋_GB2312" w:eastAsia="仿宋_GB2312"/>
                <w:sz w:val="19"/>
                <w:color w:val="000000"/>
              </w:rPr>
              <w:t xml:space="preserve"> 5s。</w:t>
            </w:r>
          </w:p>
          <w:p>
            <w:pPr>
              <w:pStyle w:val="null3"/>
              <w:ind w:firstLine="380"/>
              <w:jc w:val="left"/>
            </w:pPr>
            <w:r>
              <w:rPr>
                <w:rFonts w:ascii="仿宋_GB2312" w:hAnsi="仿宋_GB2312" w:cs="仿宋_GB2312" w:eastAsia="仿宋_GB2312"/>
                <w:sz w:val="19"/>
                <w:color w:val="000000"/>
              </w:rPr>
              <w:t>4.4性能要求</w:t>
            </w:r>
          </w:p>
          <w:p>
            <w:pPr>
              <w:pStyle w:val="null3"/>
              <w:ind w:firstLine="576"/>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4.4.1总体服务性能要求</w:t>
            </w:r>
          </w:p>
          <w:tbl>
            <w:tblPr>
              <w:tblInd w:type="dxa" w:w="135"/>
              <w:tblBorders>
                <w:top w:val="none" w:color="000000" w:sz="4"/>
                <w:left w:val="none" w:color="000000" w:sz="4"/>
                <w:bottom w:val="none" w:color="000000" w:sz="4"/>
                <w:right w:val="none" w:color="000000" w:sz="4"/>
                <w:insideH w:val="none"/>
                <w:insideV w:val="none"/>
              </w:tblBorders>
            </w:tblPr>
            <w:tblGrid>
              <w:gridCol w:w="162"/>
              <w:gridCol w:w="533"/>
              <w:gridCol w:w="1058"/>
              <w:gridCol w:w="500"/>
            </w:tblGrid>
            <w:tr>
              <w:tc>
                <w:tcPr>
                  <w:tcW w:type="dxa" w:w="16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color w:val="000000"/>
                    </w:rPr>
                    <w:t>序号</w:t>
                  </w:r>
                </w:p>
              </w:tc>
              <w:tc>
                <w:tcPr>
                  <w:tcW w:type="dxa" w:w="5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color w:val="000000"/>
                    </w:rPr>
                    <w:t>指标</w:t>
                  </w:r>
                </w:p>
              </w:tc>
              <w:tc>
                <w:tcPr>
                  <w:tcW w:type="dxa" w:w="10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color w:val="000000"/>
                    </w:rPr>
                    <w:t>指标解释</w:t>
                  </w:r>
                </w:p>
              </w:tc>
              <w:tc>
                <w:tcPr>
                  <w:tcW w:type="dxa" w:w="5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b/>
                      <w:color w:val="000000"/>
                    </w:rPr>
                    <w:t>指标值</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1</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政务</w:t>
                  </w:r>
                  <w:r>
                    <w:rPr>
                      <w:rFonts w:ascii="仿宋_GB2312" w:hAnsi="仿宋_GB2312" w:cs="仿宋_GB2312" w:eastAsia="仿宋_GB2312"/>
                      <w:sz w:val="19"/>
                      <w:color w:val="000000"/>
                    </w:rPr>
                    <w:t>视频会议点位可用率</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在会议计划内，可用会议点位总数</w:t>
                  </w:r>
                  <w:r>
                    <w:rPr>
                      <w:rFonts w:ascii="仿宋_GB2312" w:hAnsi="仿宋_GB2312" w:cs="仿宋_GB2312" w:eastAsia="仿宋_GB2312"/>
                      <w:sz w:val="19"/>
                      <w:color w:val="000000"/>
                    </w:rPr>
                    <w:t>/计划参会会议点位总数</w:t>
                  </w:r>
                </w:p>
              </w:tc>
              <w:tc>
                <w:tcPr>
                  <w:tcW w:type="dxa" w:w="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99%</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2</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政务视频会议平台</w:t>
                  </w:r>
                  <w:r>
                    <w:rPr>
                      <w:rFonts w:ascii="仿宋_GB2312" w:hAnsi="仿宋_GB2312" w:cs="仿宋_GB2312" w:eastAsia="仿宋_GB2312"/>
                      <w:sz w:val="19"/>
                      <w:color w:val="000000"/>
                    </w:rPr>
                    <w:t>并发数</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在同一时间段内，可同时召开会议的场次</w:t>
                  </w:r>
                </w:p>
              </w:tc>
              <w:tc>
                <w:tcPr>
                  <w:tcW w:type="dxa" w:w="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200</w:t>
                  </w:r>
                  <w:r>
                    <w:rPr>
                      <w:rFonts w:ascii="仿宋_GB2312" w:hAnsi="仿宋_GB2312" w:cs="仿宋_GB2312" w:eastAsia="仿宋_GB2312"/>
                      <w:sz w:val="19"/>
                      <w:color w:val="000000"/>
                    </w:rPr>
                    <w:t>场</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3</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单场会议</w:t>
                  </w:r>
                  <w:r>
                    <w:rPr>
                      <w:rFonts w:ascii="仿宋_GB2312" w:hAnsi="仿宋_GB2312" w:cs="仿宋_GB2312" w:eastAsia="仿宋_GB2312"/>
                      <w:sz w:val="19"/>
                      <w:color w:val="000000"/>
                    </w:rPr>
                    <w:t>固定会场</w:t>
                  </w:r>
                  <w:r>
                    <w:rPr>
                      <w:rFonts w:ascii="仿宋_GB2312" w:hAnsi="仿宋_GB2312" w:cs="仿宋_GB2312" w:eastAsia="仿宋_GB2312"/>
                      <w:sz w:val="19"/>
                      <w:color w:val="000000"/>
                    </w:rPr>
                    <w:t>参会会场数</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在同一场会议内，可同时参加的</w:t>
                  </w:r>
                  <w:r>
                    <w:rPr>
                      <w:rFonts w:ascii="仿宋_GB2312" w:hAnsi="仿宋_GB2312" w:cs="仿宋_GB2312" w:eastAsia="仿宋_GB2312"/>
                      <w:sz w:val="19"/>
                      <w:color w:val="000000"/>
                    </w:rPr>
                    <w:t>固定会场</w:t>
                  </w:r>
                  <w:r>
                    <w:rPr>
                      <w:rFonts w:ascii="仿宋_GB2312" w:hAnsi="仿宋_GB2312" w:cs="仿宋_GB2312" w:eastAsia="仿宋_GB2312"/>
                      <w:sz w:val="19"/>
                      <w:color w:val="000000"/>
                    </w:rPr>
                    <w:t>数量</w:t>
                  </w:r>
                </w:p>
              </w:tc>
              <w:tc>
                <w:tcPr>
                  <w:tcW w:type="dxa" w:w="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5</w:t>
                  </w:r>
                  <w:r>
                    <w:rPr>
                      <w:rFonts w:ascii="仿宋_GB2312" w:hAnsi="仿宋_GB2312" w:cs="仿宋_GB2312" w:eastAsia="仿宋_GB2312"/>
                      <w:sz w:val="19"/>
                      <w:color w:val="000000"/>
                    </w:rPr>
                    <w:t>000个</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4</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网络稳定性</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支持</w:t>
                  </w:r>
                  <w:r>
                    <w:rPr>
                      <w:rFonts w:ascii="仿宋_GB2312" w:hAnsi="仿宋_GB2312" w:cs="仿宋_GB2312" w:eastAsia="仿宋_GB2312"/>
                      <w:sz w:val="19"/>
                      <w:color w:val="000000"/>
                    </w:rPr>
                    <w:t>7*24小时音视频业务连续不间断运行</w:t>
                  </w:r>
                </w:p>
              </w:tc>
              <w:tc>
                <w:tcPr>
                  <w:tcW w:type="dxa" w:w="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99.99%；</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5</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网络传输</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网络抖动时间差</w:t>
                  </w:r>
                </w:p>
              </w:tc>
              <w:tc>
                <w:tcPr>
                  <w:tcW w:type="dxa" w:w="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不高于</w:t>
                  </w:r>
                  <w:r>
                    <w:rPr>
                      <w:rFonts w:ascii="仿宋_GB2312" w:hAnsi="仿宋_GB2312" w:cs="仿宋_GB2312" w:eastAsia="仿宋_GB2312"/>
                      <w:sz w:val="19"/>
                      <w:color w:val="000000"/>
                    </w:rPr>
                    <w:t>5ms</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6</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网络传输</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网络重载丢包率</w:t>
                  </w:r>
                </w:p>
              </w:tc>
              <w:tc>
                <w:tcPr>
                  <w:tcW w:type="dxa" w:w="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小于百万分之一</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7</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服务监测</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网络</w:t>
                  </w:r>
                  <w:r>
                    <w:rPr>
                      <w:rFonts w:ascii="仿宋_GB2312" w:hAnsi="仿宋_GB2312" w:cs="仿宋_GB2312" w:eastAsia="仿宋_GB2312"/>
                      <w:sz w:val="19"/>
                    </w:rPr>
                    <w:t>管理</w:t>
                  </w:r>
                  <w:r>
                    <w:rPr>
                      <w:rFonts w:ascii="仿宋_GB2312" w:hAnsi="仿宋_GB2312" w:cs="仿宋_GB2312" w:eastAsia="仿宋_GB2312"/>
                      <w:sz w:val="19"/>
                    </w:rPr>
                    <w:t>设备监测</w:t>
                  </w:r>
                  <w:r>
                    <w:rPr>
                      <w:rFonts w:ascii="仿宋_GB2312" w:hAnsi="仿宋_GB2312" w:cs="仿宋_GB2312" w:eastAsia="仿宋_GB2312"/>
                      <w:sz w:val="19"/>
                    </w:rPr>
                    <w:t>服务状态</w:t>
                  </w:r>
                  <w:r>
                    <w:rPr>
                      <w:rFonts w:ascii="仿宋_GB2312" w:hAnsi="仿宋_GB2312" w:cs="仿宋_GB2312" w:eastAsia="仿宋_GB2312"/>
                      <w:sz w:val="19"/>
                    </w:rPr>
                    <w:t>频率</w:t>
                  </w:r>
                  <w:r>
                    <w:rPr>
                      <w:rFonts w:ascii="仿宋_GB2312" w:hAnsi="仿宋_GB2312" w:cs="仿宋_GB2312" w:eastAsia="仿宋_GB2312"/>
                      <w:sz w:val="19"/>
                    </w:rPr>
                    <w:t>，包含网络管理、设备管理等。</w:t>
                  </w:r>
                </w:p>
              </w:tc>
              <w:tc>
                <w:tcPr>
                  <w:tcW w:type="dxa" w:w="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不低于</w:t>
                  </w:r>
                  <w:r>
                    <w:rPr>
                      <w:rFonts w:ascii="仿宋_GB2312" w:hAnsi="仿宋_GB2312" w:cs="仿宋_GB2312" w:eastAsia="仿宋_GB2312"/>
                      <w:sz w:val="19"/>
                      <w:color w:val="000000"/>
                    </w:rPr>
                    <w:t>1次/</w:t>
                  </w:r>
                  <w:r>
                    <w:rPr>
                      <w:rFonts w:ascii="仿宋_GB2312" w:hAnsi="仿宋_GB2312" w:cs="仿宋_GB2312" w:eastAsia="仿宋_GB2312"/>
                      <w:sz w:val="19"/>
                      <w:color w:val="000000"/>
                    </w:rPr>
                    <w:t>10分钟</w:t>
                  </w:r>
                </w:p>
              </w:tc>
            </w:tr>
            <w:tr>
              <w:tc>
                <w:tcPr>
                  <w:tcW w:type="dxa" w:w="1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8</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故障监测</w:t>
                  </w:r>
                </w:p>
              </w:tc>
              <w:tc>
                <w:tcPr>
                  <w:tcW w:type="dxa" w:w="10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实时监测网络故障、设备故障</w:t>
                  </w:r>
                </w:p>
              </w:tc>
              <w:tc>
                <w:tcPr>
                  <w:tcW w:type="dxa" w:w="5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7*24 小时</w:t>
                  </w:r>
                </w:p>
              </w:tc>
            </w:tr>
          </w:tbl>
          <w:p>
            <w:pPr>
              <w:pStyle w:val="null3"/>
              <w:ind w:firstLine="380"/>
              <w:jc w:val="left"/>
            </w:pPr>
            <w:r>
              <w:rPr>
                <w:rFonts w:ascii="仿宋_GB2312" w:hAnsi="仿宋_GB2312" w:cs="仿宋_GB2312" w:eastAsia="仿宋_GB2312"/>
                <w:sz w:val="19"/>
                <w:color w:val="000000"/>
              </w:rPr>
              <w:t>4.4.2设备参数性能要求</w:t>
            </w:r>
          </w:p>
          <w:tbl>
            <w:tblPr>
              <w:tblBorders>
                <w:top w:val="none" w:color="000000" w:sz="4"/>
                <w:left w:val="none" w:color="000000" w:sz="4"/>
                <w:bottom w:val="none" w:color="000000" w:sz="4"/>
                <w:right w:val="none" w:color="000000" w:sz="4"/>
                <w:insideH w:val="none"/>
                <w:insideV w:val="none"/>
              </w:tblBorders>
            </w:tblPr>
            <w:tblGrid>
              <w:gridCol w:w="300"/>
              <w:gridCol w:w="868"/>
              <w:gridCol w:w="1747"/>
              <w:gridCol w:w="271"/>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序号</w:t>
                  </w:r>
                </w:p>
              </w:tc>
              <w:tc>
                <w:tcPr>
                  <w:tcW w:type="dxa" w:w="8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设备名称</w:t>
                  </w:r>
                </w:p>
              </w:tc>
              <w:tc>
                <w:tcPr>
                  <w:tcW w:type="dxa" w:w="1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主要参数</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省级广域核心路由器</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9"/>
                      <w:color w:val="000000"/>
                    </w:rPr>
                    <w:t>板卡槽位数</w:t>
                  </w:r>
                  <w:r>
                    <w:rPr>
                      <w:rFonts w:ascii="仿宋_GB2312" w:hAnsi="仿宋_GB2312" w:cs="仿宋_GB2312" w:eastAsia="仿宋_GB2312"/>
                      <w:sz w:val="19"/>
                      <w:color w:val="000000"/>
                    </w:rPr>
                    <w:t>≥7 块，支持业务板数量≥6；</w:t>
                  </w:r>
                </w:p>
                <w:p>
                  <w:pPr>
                    <w:pStyle w:val="null3"/>
                    <w:jc w:val="left"/>
                  </w:pPr>
                  <w:r>
                    <w:rPr>
                      <w:rFonts w:ascii="仿宋_GB2312" w:hAnsi="仿宋_GB2312" w:cs="仿宋_GB2312" w:eastAsia="仿宋_GB2312"/>
                      <w:sz w:val="19"/>
                      <w:color w:val="000000"/>
                    </w:rPr>
                    <w:t>2.支持交换板数量≥1；</w:t>
                  </w:r>
                  <w:r>
                    <w:br/>
                  </w:r>
                  <w:r>
                    <w:rPr>
                      <w:rFonts w:ascii="仿宋_GB2312" w:hAnsi="仿宋_GB2312" w:cs="仿宋_GB2312" w:eastAsia="仿宋_GB2312"/>
                      <w:sz w:val="19"/>
                      <w:color w:val="000000"/>
                    </w:rPr>
                    <w:t>3.数据交换能力≥400Gbps；</w:t>
                  </w:r>
                  <w:r>
                    <w:br/>
                  </w:r>
                  <w:r>
                    <w:rPr>
                      <w:rFonts w:ascii="仿宋_GB2312" w:hAnsi="仿宋_GB2312" w:cs="仿宋_GB2312" w:eastAsia="仿宋_GB2312"/>
                      <w:sz w:val="19"/>
                      <w:color w:val="000000"/>
                    </w:rPr>
                    <w:t>4.支持冗余电源；</w:t>
                  </w:r>
                  <w:r>
                    <w:br/>
                  </w:r>
                  <w:r>
                    <w:rPr>
                      <w:rFonts w:ascii="仿宋_GB2312" w:hAnsi="仿宋_GB2312" w:cs="仿宋_GB2312" w:eastAsia="仿宋_GB2312"/>
                      <w:sz w:val="19"/>
                      <w:color w:val="000000"/>
                    </w:rPr>
                    <w:t>5.支持 BGP4、BGP4+、OSPFv2、OSPFv3、RIPv1、RIPv2、RIPng等路由协议。</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市级广域核心路由器</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1.板卡槽位数≥5 块，支持业务板数量≥4，支持交换板数量≥1；</w:t>
                  </w:r>
                  <w:r>
                    <w:br/>
                  </w:r>
                  <w:r>
                    <w:rPr>
                      <w:rFonts w:ascii="仿宋_GB2312" w:hAnsi="仿宋_GB2312" w:cs="仿宋_GB2312" w:eastAsia="仿宋_GB2312"/>
                      <w:sz w:val="19"/>
                      <w:color w:val="000000"/>
                    </w:rPr>
                    <w:t>2.数据交换能力≥200Gbps；</w:t>
                  </w:r>
                  <w:r>
                    <w:br/>
                  </w:r>
                  <w:r>
                    <w:rPr>
                      <w:rFonts w:ascii="仿宋_GB2312" w:hAnsi="仿宋_GB2312" w:cs="仿宋_GB2312" w:eastAsia="仿宋_GB2312"/>
                      <w:sz w:val="19"/>
                      <w:color w:val="000000"/>
                    </w:rPr>
                    <w:t>3.支持冗余电源；</w:t>
                  </w:r>
                  <w:r>
                    <w:br/>
                  </w:r>
                  <w:r>
                    <w:rPr>
                      <w:rFonts w:ascii="仿宋_GB2312" w:hAnsi="仿宋_GB2312" w:cs="仿宋_GB2312" w:eastAsia="仿宋_GB2312"/>
                      <w:sz w:val="19"/>
                      <w:color w:val="000000"/>
                    </w:rPr>
                    <w:t>4.支持BGP4、BGP4+、OSPFv2、OSPFv3、RIPv1等路由协议。</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省级城域核心路由器</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1.板卡槽位数≥7 块，支持业务板数量≥6，支持交换板数量≥1；</w:t>
                  </w:r>
                  <w:r>
                    <w:br/>
                  </w:r>
                  <w:r>
                    <w:rPr>
                      <w:rFonts w:ascii="仿宋_GB2312" w:hAnsi="仿宋_GB2312" w:cs="仿宋_GB2312" w:eastAsia="仿宋_GB2312"/>
                      <w:sz w:val="19"/>
                      <w:color w:val="000000"/>
                    </w:rPr>
                    <w:t>2.数据交换能力≥400Gbps；</w:t>
                  </w:r>
                  <w:r>
                    <w:br/>
                  </w:r>
                  <w:r>
                    <w:rPr>
                      <w:rFonts w:ascii="仿宋_GB2312" w:hAnsi="仿宋_GB2312" w:cs="仿宋_GB2312" w:eastAsia="仿宋_GB2312"/>
                      <w:sz w:val="19"/>
                      <w:color w:val="000000"/>
                    </w:rPr>
                    <w:t>3.支持冗余电源；</w:t>
                  </w:r>
                  <w:r>
                    <w:br/>
                  </w:r>
                  <w:r>
                    <w:rPr>
                      <w:rFonts w:ascii="仿宋_GB2312" w:hAnsi="仿宋_GB2312" w:cs="仿宋_GB2312" w:eastAsia="仿宋_GB2312"/>
                      <w:sz w:val="19"/>
                      <w:color w:val="000000"/>
                    </w:rPr>
                    <w:t>4.支持 BGP4、BGP4+、OSPFv2、OSPFv3、RIPv1、RIPv2、RIPng 等路由协议。</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网络管理平台</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可实现网络拓扑识别、</w:t>
                  </w:r>
                  <w:r>
                    <w:rPr>
                      <w:rFonts w:ascii="仿宋_GB2312" w:hAnsi="仿宋_GB2312" w:cs="仿宋_GB2312" w:eastAsia="仿宋_GB2312"/>
                      <w:sz w:val="19"/>
                      <w:color w:val="000000"/>
                    </w:rPr>
                    <w:t>MAC 地址管理、设备管理、实时设备监控及日志管理等操作，支持远程进行混合组网管理，可配置级联组网、配置混合组网、网络的邻接和级联关系等。</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管理区交换机</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1.单板卡交换能力≥84Gbps；</w:t>
                  </w:r>
                  <w:r>
                    <w:br/>
                  </w:r>
                  <w:r>
                    <w:rPr>
                      <w:rFonts w:ascii="仿宋_GB2312" w:hAnsi="仿宋_GB2312" w:cs="仿宋_GB2312" w:eastAsia="仿宋_GB2312"/>
                      <w:sz w:val="19"/>
                      <w:color w:val="000000"/>
                    </w:rPr>
                    <w:t>2.转发性能≥35000Mpps；</w:t>
                  </w:r>
                  <w:r>
                    <w:br/>
                  </w:r>
                  <w:r>
                    <w:rPr>
                      <w:rFonts w:ascii="仿宋_GB2312" w:hAnsi="仿宋_GB2312" w:cs="仿宋_GB2312" w:eastAsia="仿宋_GB2312"/>
                      <w:sz w:val="19"/>
                      <w:color w:val="000000"/>
                    </w:rPr>
                    <w:t>3.支持≥4 个万兆以太网光接口，≥44 个千兆接口。</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安全区交换机</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1.单板卡交换能力≥84Gbps；</w:t>
                  </w:r>
                  <w:r>
                    <w:br/>
                  </w:r>
                  <w:r>
                    <w:rPr>
                      <w:rFonts w:ascii="仿宋_GB2312" w:hAnsi="仿宋_GB2312" w:cs="仿宋_GB2312" w:eastAsia="仿宋_GB2312"/>
                      <w:sz w:val="19"/>
                      <w:color w:val="000000"/>
                    </w:rPr>
                    <w:t>2.最大转发性能≥35000Mpps；</w:t>
                  </w:r>
                  <w:r>
                    <w:br/>
                  </w:r>
                  <w:r>
                    <w:rPr>
                      <w:rFonts w:ascii="仿宋_GB2312" w:hAnsi="仿宋_GB2312" w:cs="仿宋_GB2312" w:eastAsia="仿宋_GB2312"/>
                      <w:sz w:val="19"/>
                      <w:color w:val="000000"/>
                    </w:rPr>
                    <w:t>3.支持≥4 个万兆以太网光接口，≥44 个千兆接口。</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防火墙</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1.网络层吞吐量≥40Gbps、并发连接≥750 万、新建连接能力≥30万/秒；</w:t>
                  </w:r>
                  <w:r>
                    <w:br/>
                  </w:r>
                  <w:r>
                    <w:rPr>
                      <w:rFonts w:ascii="仿宋_GB2312" w:hAnsi="仿宋_GB2312" w:cs="仿宋_GB2312" w:eastAsia="仿宋_GB2312"/>
                      <w:sz w:val="19"/>
                      <w:color w:val="000000"/>
                    </w:rPr>
                    <w:t>2.10GE 接口≥4个，千兆电口≥4 个。</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入侵防御</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1.网络层吞吐量≥20Gbps，10GE 接口≥2 （含光模块），千兆电口≥2 个；</w:t>
                  </w:r>
                  <w:r>
                    <w:br/>
                  </w:r>
                  <w:r>
                    <w:rPr>
                      <w:rFonts w:ascii="仿宋_GB2312" w:hAnsi="仿宋_GB2312" w:cs="仿宋_GB2312" w:eastAsia="仿宋_GB2312"/>
                      <w:sz w:val="19"/>
                      <w:color w:val="000000"/>
                    </w:rPr>
                    <w:t>2.可以对漏洞攻击、蠕虫病毒、间谍软件、木马后门、溢出攻击、数据库攻击、高级威胁攻击、暴力破解等多种深层攻击行为进行防御。</w:t>
                  </w:r>
                  <w:r>
                    <w:br/>
                  </w:r>
                  <w:r>
                    <w:rPr>
                      <w:rFonts w:ascii="仿宋_GB2312" w:hAnsi="仿宋_GB2312" w:cs="仿宋_GB2312" w:eastAsia="仿宋_GB2312"/>
                      <w:sz w:val="19"/>
                      <w:color w:val="000000"/>
                    </w:rPr>
                    <w:t>3.应用层吞吐≥5Gbps，最大并发连接数≥500 万，每秒新建连接数≥10 万；</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入侵检测</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1.支持配置≥6 个千兆以太网电接口，配置≥4 个千兆以太网光接口，≥2 个扩展槽位；</w:t>
                  </w:r>
                  <w:r>
                    <w:br/>
                  </w:r>
                  <w:r>
                    <w:rPr>
                      <w:rFonts w:ascii="仿宋_GB2312" w:hAnsi="仿宋_GB2312" w:cs="仿宋_GB2312" w:eastAsia="仿宋_GB2312"/>
                      <w:sz w:val="19"/>
                      <w:color w:val="000000"/>
                    </w:rPr>
                    <w:t>2.配置双电源；</w:t>
                  </w:r>
                  <w:r>
                    <w:br/>
                  </w:r>
                  <w:r>
                    <w:rPr>
                      <w:rFonts w:ascii="仿宋_GB2312" w:hAnsi="仿宋_GB2312" w:cs="仿宋_GB2312" w:eastAsia="仿宋_GB2312"/>
                      <w:sz w:val="19"/>
                      <w:color w:val="000000"/>
                    </w:rPr>
                    <w:t>3.应用层吞吐≥5Gbps，最大并发连接数≥500 万，每秒新建连接数≥10 万；</w:t>
                  </w:r>
                  <w:r>
                    <w:br/>
                  </w:r>
                  <w:r>
                    <w:rPr>
                      <w:rFonts w:ascii="仿宋_GB2312" w:hAnsi="仿宋_GB2312" w:cs="仿宋_GB2312" w:eastAsia="仿宋_GB2312"/>
                      <w:sz w:val="19"/>
                      <w:color w:val="000000"/>
                    </w:rPr>
                    <w:t>4.支持 HTTPS 安全检测。支持 TCP 代理和 SSL 代理，且代理策略中可同时配置多类过滤条件，具体包括：源安全域、目的安全域、源地址、目的地址、用户和服务。</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园区接入路由器</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1.板卡槽位数≥2 块，支持业务板数量≥2；</w:t>
                  </w:r>
                  <w:r>
                    <w:br/>
                  </w:r>
                  <w:r>
                    <w:rPr>
                      <w:rFonts w:ascii="仿宋_GB2312" w:hAnsi="仿宋_GB2312" w:cs="仿宋_GB2312" w:eastAsia="仿宋_GB2312"/>
                      <w:sz w:val="19"/>
                      <w:color w:val="000000"/>
                    </w:rPr>
                    <w:t>2.数据交换能力≥8Gbps；</w:t>
                  </w:r>
                  <w:r>
                    <w:br/>
                  </w:r>
                  <w:r>
                    <w:rPr>
                      <w:rFonts w:ascii="仿宋_GB2312" w:hAnsi="仿宋_GB2312" w:cs="仿宋_GB2312" w:eastAsia="仿宋_GB2312"/>
                      <w:sz w:val="19"/>
                      <w:color w:val="000000"/>
                    </w:rPr>
                    <w:t>3.支持冗余电源；</w:t>
                  </w:r>
                  <w:r>
                    <w:br/>
                  </w:r>
                  <w:r>
                    <w:rPr>
                      <w:rFonts w:ascii="仿宋_GB2312" w:hAnsi="仿宋_GB2312" w:cs="仿宋_GB2312" w:eastAsia="仿宋_GB2312"/>
                      <w:sz w:val="19"/>
                      <w:color w:val="000000"/>
                    </w:rPr>
                    <w:t>4. 支 持 BGP4 、 BGP4+ 、 OSPFv2 、OSPFv3 、 RIPv1 、RIPv2、RIPng 等路由协议。</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园区外接入路由器</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1.支持 IPv4、IPv6，支持 OSPF、OSPFv3、BGP、BGP4+协议 支持 MPLS VPN，支持 SRv6；</w:t>
                  </w:r>
                  <w:r>
                    <w:br/>
                  </w:r>
                  <w:r>
                    <w:rPr>
                      <w:rFonts w:ascii="仿宋_GB2312" w:hAnsi="仿宋_GB2312" w:cs="仿宋_GB2312" w:eastAsia="仿宋_GB2312"/>
                      <w:sz w:val="19"/>
                      <w:color w:val="000000"/>
                    </w:rPr>
                    <w:t>2.符合以太网 802.3 标准；</w:t>
                  </w:r>
                  <w:r>
                    <w:br/>
                  </w:r>
                  <w:r>
                    <w:rPr>
                      <w:rFonts w:ascii="仿宋_GB2312" w:hAnsi="仿宋_GB2312" w:cs="仿宋_GB2312" w:eastAsia="仿宋_GB2312"/>
                      <w:sz w:val="19"/>
                      <w:color w:val="000000"/>
                    </w:rPr>
                    <w:t>3.万兆光口≥4 个、千兆电口≥4 个；</w:t>
                  </w:r>
                  <w:r>
                    <w:br/>
                  </w:r>
                  <w:r>
                    <w:rPr>
                      <w:rFonts w:ascii="仿宋_GB2312" w:hAnsi="仿宋_GB2312" w:cs="仿宋_GB2312" w:eastAsia="仿宋_GB2312"/>
                      <w:sz w:val="19"/>
                      <w:color w:val="000000"/>
                    </w:rPr>
                    <w:t>4.交换能力≥4Gbps；</w:t>
                  </w:r>
                  <w:r>
                    <w:br/>
                  </w:r>
                  <w:r>
                    <w:rPr>
                      <w:rFonts w:ascii="仿宋_GB2312" w:hAnsi="仿宋_GB2312" w:cs="仿宋_GB2312" w:eastAsia="仿宋_GB2312"/>
                      <w:sz w:val="19"/>
                      <w:color w:val="000000"/>
                    </w:rPr>
                    <w:t>5.转发性能≥9Mpps。</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41台</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8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园区接入交换机</w:t>
                  </w:r>
                </w:p>
              </w:tc>
              <w:tc>
                <w:tcPr>
                  <w:tcW w:type="dxa" w:w="1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1.支持≥28 个 10/100/1000BASE-T 端口,≥8 个 1G/10G BASE- X SFP Plus 端口；</w:t>
                  </w:r>
                  <w:r>
                    <w:br/>
                  </w:r>
                  <w:r>
                    <w:rPr>
                      <w:rFonts w:ascii="仿宋_GB2312" w:hAnsi="仿宋_GB2312" w:cs="仿宋_GB2312" w:eastAsia="仿宋_GB2312"/>
                      <w:sz w:val="19"/>
                      <w:color w:val="000000"/>
                    </w:rPr>
                    <w:t>2.交换能力≥108Gbps；</w:t>
                  </w:r>
                  <w:r>
                    <w:br/>
                  </w:r>
                  <w:r>
                    <w:rPr>
                      <w:rFonts w:ascii="仿宋_GB2312" w:hAnsi="仿宋_GB2312" w:cs="仿宋_GB2312" w:eastAsia="仿宋_GB2312"/>
                      <w:sz w:val="19"/>
                      <w:color w:val="000000"/>
                    </w:rPr>
                    <w:t>3.包转发率≥170Mpps。</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4台</w:t>
                  </w:r>
                </w:p>
              </w:tc>
            </w:tr>
          </w:tbl>
          <w:p>
            <w:pPr>
              <w:pStyle w:val="null3"/>
              <w:ind w:firstLine="380"/>
              <w:jc w:val="left"/>
            </w:pPr>
            <w:r>
              <w:rPr>
                <w:rFonts w:ascii="仿宋_GB2312" w:hAnsi="仿宋_GB2312" w:cs="仿宋_GB2312" w:eastAsia="仿宋_GB2312"/>
                <w:sz w:val="19"/>
                <w:color w:val="000000"/>
              </w:rPr>
              <w:t>4.5安全要求</w:t>
            </w:r>
          </w:p>
          <w:p>
            <w:pPr>
              <w:pStyle w:val="null3"/>
              <w:ind w:firstLine="384"/>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4.5.1</w:t>
            </w:r>
            <w:r>
              <w:rPr>
                <w:rFonts w:ascii="仿宋_GB2312" w:hAnsi="仿宋_GB2312" w:cs="仿宋_GB2312" w:eastAsia="仿宋_GB2312"/>
                <w:sz w:val="19"/>
                <w:color w:val="000000"/>
              </w:rPr>
              <w:t>本项目服务应满足网络安全等级保护三级要求。（测评服务由采购人另行安排）；</w:t>
            </w:r>
          </w:p>
          <w:p>
            <w:pPr>
              <w:pStyle w:val="null3"/>
              <w:ind w:firstLine="384"/>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4.5.2</w:t>
            </w:r>
            <w:r>
              <w:rPr>
                <w:rFonts w:ascii="仿宋_GB2312" w:hAnsi="仿宋_GB2312" w:cs="仿宋_GB2312" w:eastAsia="仿宋_GB2312"/>
                <w:sz w:val="19"/>
                <w:color w:val="000000"/>
              </w:rPr>
              <w:t>满足</w:t>
            </w:r>
            <w:r>
              <w:rPr>
                <w:rFonts w:ascii="仿宋_GB2312" w:hAnsi="仿宋_GB2312" w:cs="仿宋_GB2312" w:eastAsia="仿宋_GB2312"/>
                <w:sz w:val="19"/>
                <w:color w:val="000000"/>
              </w:rPr>
              <w:t>GB/T 39786-2021《信息安全技术信息系统密码应用基本要求》中三级指标要求，并通过商用密码应用安全性评估</w:t>
            </w:r>
            <w:r>
              <w:rPr>
                <w:rFonts w:ascii="仿宋_GB2312" w:hAnsi="仿宋_GB2312" w:cs="仿宋_GB2312" w:eastAsia="仿宋_GB2312"/>
                <w:sz w:val="21"/>
                <w:color w:val="000000"/>
              </w:rPr>
              <w:t>（</w:t>
            </w:r>
            <w:r>
              <w:rPr>
                <w:rFonts w:ascii="仿宋_GB2312" w:hAnsi="仿宋_GB2312" w:cs="仿宋_GB2312" w:eastAsia="仿宋_GB2312"/>
                <w:sz w:val="19"/>
                <w:color w:val="000000"/>
              </w:rPr>
              <w:t>评估服务由采购人另行安排</w:t>
            </w:r>
            <w:r>
              <w:rPr>
                <w:rFonts w:ascii="仿宋_GB2312" w:hAnsi="仿宋_GB2312" w:cs="仿宋_GB2312" w:eastAsia="仿宋_GB2312"/>
                <w:sz w:val="19"/>
                <w:color w:val="000000"/>
              </w:rPr>
              <w:t>）。</w:t>
            </w:r>
          </w:p>
          <w:p>
            <w:pPr>
              <w:pStyle w:val="null3"/>
              <w:ind w:firstLine="380"/>
              <w:jc w:val="left"/>
            </w:pPr>
            <w:r>
              <w:rPr>
                <w:rFonts w:ascii="仿宋_GB2312" w:hAnsi="仿宋_GB2312" w:cs="仿宋_GB2312" w:eastAsia="仿宋_GB2312"/>
                <w:sz w:val="19"/>
                <w:color w:val="000000"/>
              </w:rPr>
              <w:t>4.6培训要求</w:t>
            </w:r>
          </w:p>
          <w:p>
            <w:pPr>
              <w:pStyle w:val="null3"/>
              <w:ind w:firstLine="380"/>
              <w:jc w:val="left"/>
            </w:pPr>
            <w:r>
              <w:rPr>
                <w:rFonts w:ascii="仿宋_GB2312" w:hAnsi="仿宋_GB2312" w:cs="仿宋_GB2312" w:eastAsia="仿宋_GB2312"/>
                <w:sz w:val="19"/>
                <w:color w:val="000000"/>
              </w:rPr>
              <w:t>针对视频会议接入单位，需要提供培训服务，通过系统化的线下或线上培训体系，提供调度指挥视频系统的实操技能，培训内容应涵盖系统操作、故障排查及会议管控等专业领域。</w:t>
            </w:r>
          </w:p>
          <w:p>
            <w:pPr>
              <w:pStyle w:val="null3"/>
              <w:ind w:firstLine="380"/>
              <w:jc w:val="left"/>
            </w:pPr>
            <w:r>
              <w:rPr>
                <w:rFonts w:ascii="仿宋_GB2312" w:hAnsi="仿宋_GB2312" w:cs="仿宋_GB2312" w:eastAsia="仿宋_GB2312"/>
                <w:sz w:val="19"/>
                <w:color w:val="000000"/>
              </w:rPr>
              <w:t>4.7</w:t>
            </w:r>
            <w:r>
              <w:rPr>
                <w:rFonts w:ascii="仿宋_GB2312" w:hAnsi="仿宋_GB2312" w:cs="仿宋_GB2312" w:eastAsia="仿宋_GB2312"/>
                <w:sz w:val="19"/>
                <w:color w:val="000000"/>
              </w:rPr>
              <w:t>档案管理</w:t>
            </w:r>
            <w:r>
              <w:rPr>
                <w:rFonts w:ascii="仿宋_GB2312" w:hAnsi="仿宋_GB2312" w:cs="仿宋_GB2312" w:eastAsia="仿宋_GB2312"/>
                <w:sz w:val="19"/>
                <w:color w:val="000000"/>
              </w:rPr>
              <w:t>要求</w:t>
            </w:r>
          </w:p>
          <w:p>
            <w:pPr>
              <w:pStyle w:val="null3"/>
              <w:spacing w:before="75"/>
              <w:ind w:right="255" w:firstLine="380"/>
              <w:jc w:val="left"/>
            </w:pPr>
            <w:r>
              <w:rPr>
                <w:rFonts w:ascii="仿宋_GB2312" w:hAnsi="仿宋_GB2312" w:cs="仿宋_GB2312" w:eastAsia="仿宋_GB2312"/>
                <w:sz w:val="19"/>
                <w:color w:val="000000"/>
              </w:rPr>
              <w:t>本项目不涉及档案专项验收，但仍需同步做好</w:t>
            </w:r>
            <w:r>
              <w:rPr>
                <w:rFonts w:ascii="仿宋_GB2312" w:hAnsi="仿宋_GB2312" w:cs="仿宋_GB2312" w:eastAsia="仿宋_GB2312"/>
                <w:sz w:val="19"/>
                <w:color w:val="000000"/>
              </w:rPr>
              <w:t>项目文件材料收集、整理、</w:t>
            </w:r>
            <w:r>
              <w:rPr>
                <w:rFonts w:ascii="仿宋_GB2312" w:hAnsi="仿宋_GB2312" w:cs="仿宋_GB2312" w:eastAsia="仿宋_GB2312"/>
                <w:sz w:val="19"/>
                <w:color w:val="000000"/>
              </w:rPr>
              <w:t>移交、归档和安全齐全保管，以备后期查询利用，</w:t>
            </w:r>
            <w:r>
              <w:rPr>
                <w:rFonts w:ascii="仿宋_GB2312" w:hAnsi="仿宋_GB2312" w:cs="仿宋_GB2312" w:eastAsia="仿宋_GB2312"/>
                <w:sz w:val="19"/>
                <w:color w:val="000000"/>
              </w:rPr>
              <w:t>并接受各类巡视、审计、检</w:t>
            </w:r>
            <w:r>
              <w:rPr>
                <w:rFonts w:ascii="仿宋_GB2312" w:hAnsi="仿宋_GB2312" w:cs="仿宋_GB2312" w:eastAsia="仿宋_GB2312"/>
                <w:sz w:val="19"/>
                <w:color w:val="000000"/>
              </w:rPr>
              <w:t>查。</w:t>
            </w:r>
          </w:p>
          <w:p>
            <w:pPr>
              <w:pStyle w:val="null3"/>
              <w:ind w:firstLine="380"/>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8</w:t>
            </w:r>
            <w:r>
              <w:rPr>
                <w:rFonts w:ascii="仿宋_GB2312" w:hAnsi="仿宋_GB2312" w:cs="仿宋_GB2312" w:eastAsia="仿宋_GB2312"/>
                <w:sz w:val="19"/>
                <w:color w:val="000000"/>
              </w:rPr>
              <w:t>人员要求</w:t>
            </w:r>
          </w:p>
          <w:p>
            <w:pPr>
              <w:pStyle w:val="null3"/>
              <w:ind w:firstLine="380"/>
              <w:jc w:val="left"/>
            </w:pP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应按照实际工作需要，提供不少于</w:t>
            </w:r>
            <w:r>
              <w:rPr>
                <w:rFonts w:ascii="仿宋_GB2312" w:hAnsi="仿宋_GB2312" w:cs="仿宋_GB2312" w:eastAsia="仿宋_GB2312"/>
                <w:sz w:val="19"/>
                <w:color w:val="000000"/>
              </w:rPr>
              <w:t>20 人的服务团队。服务团队人员需要具备丰富的视频会议组织、网络技术支撑等专业能力，能够高效开展日常运营的相关工作，服务团队主要成员须具备多年政务信息化项目经验。服务团队人员应通过采购人的考核和审查。</w:t>
            </w:r>
          </w:p>
          <w:p>
            <w:pPr>
              <w:pStyle w:val="null3"/>
              <w:ind w:firstLine="380"/>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9</w:t>
            </w:r>
            <w:r>
              <w:rPr>
                <w:rFonts w:ascii="仿宋_GB2312" w:hAnsi="仿宋_GB2312" w:cs="仿宋_GB2312" w:eastAsia="仿宋_GB2312"/>
                <w:sz w:val="19"/>
                <w:color w:val="000000"/>
              </w:rPr>
              <w:t>其他服务</w:t>
            </w:r>
            <w:r>
              <w:rPr>
                <w:rFonts w:ascii="仿宋_GB2312" w:hAnsi="仿宋_GB2312" w:cs="仿宋_GB2312" w:eastAsia="仿宋_GB2312"/>
                <w:sz w:val="19"/>
                <w:color w:val="000000"/>
              </w:rPr>
              <w:t>要求</w:t>
            </w:r>
            <w:r>
              <w:rPr>
                <w:rFonts w:ascii="仿宋_GB2312" w:hAnsi="仿宋_GB2312" w:cs="仿宋_GB2312" w:eastAsia="仿宋_GB2312"/>
                <w:sz w:val="21"/>
                <w:color w:val="000000"/>
              </w:rPr>
              <w:t xml:space="preserve"> </w:t>
            </w:r>
          </w:p>
          <w:p>
            <w:pPr>
              <w:pStyle w:val="null3"/>
              <w:ind w:firstLine="380"/>
              <w:jc w:val="left"/>
            </w:pPr>
            <w:r>
              <w:rPr>
                <w:rFonts w:ascii="仿宋_GB2312" w:hAnsi="仿宋_GB2312" w:cs="仿宋_GB2312" w:eastAsia="仿宋_GB2312"/>
                <w:sz w:val="19"/>
                <w:color w:val="000000"/>
              </w:rPr>
              <w:t>服务期满后，无条件免费配合采购人完成网络平稳过渡等工作。</w:t>
            </w:r>
          </w:p>
          <w:p>
            <w:pPr>
              <w:pStyle w:val="null3"/>
              <w:ind w:firstLine="380"/>
              <w:jc w:val="left"/>
            </w:pPr>
            <w:r>
              <w:rPr>
                <w:rFonts w:ascii="仿宋_GB2312" w:hAnsi="仿宋_GB2312" w:cs="仿宋_GB2312" w:eastAsia="仿宋_GB2312"/>
                <w:sz w:val="19"/>
                <w:color w:val="000000"/>
              </w:rPr>
              <w:t>提供技术咨询服务、特殊事件支持服务、网络或设备性能调优服务、业务割接或系统升级支持服务、辅助故障支持服务、输出应急方案等。特殊事件支持、业务割接或系统升级等相关情况，按需提供必要的预案准备，并根据实际情况提供相应级别的现场专人保障服务。</w:t>
            </w:r>
          </w:p>
          <w:p>
            <w:pPr>
              <w:pStyle w:val="null3"/>
              <w:ind w:firstLine="380"/>
              <w:jc w:val="left"/>
            </w:pPr>
            <w:r>
              <w:rPr>
                <w:rFonts w:ascii="仿宋_GB2312" w:hAnsi="仿宋_GB2312" w:cs="仿宋_GB2312" w:eastAsia="仿宋_GB2312"/>
                <w:sz w:val="19"/>
                <w:color w:val="000000"/>
              </w:rPr>
              <w:t>提供热线电话受理用户方反馈的问题，提供</w:t>
            </w:r>
            <w:r>
              <w:rPr>
                <w:rFonts w:ascii="仿宋_GB2312" w:hAnsi="仿宋_GB2312" w:cs="仿宋_GB2312" w:eastAsia="仿宋_GB2312"/>
                <w:sz w:val="19"/>
                <w:color w:val="000000"/>
              </w:rPr>
              <w:t>7*24 小时的电话技术支持服务。</w:t>
            </w:r>
          </w:p>
          <w:p>
            <w:pPr>
              <w:pStyle w:val="null3"/>
              <w:ind w:firstLine="384"/>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4.10限价要求</w:t>
            </w:r>
          </w:p>
          <w:p>
            <w:pPr>
              <w:pStyle w:val="null3"/>
              <w:ind w:firstLine="380"/>
              <w:jc w:val="left"/>
            </w:pPr>
            <w:r>
              <w:rPr>
                <w:rFonts w:ascii="仿宋_GB2312" w:hAnsi="仿宋_GB2312" w:cs="仿宋_GB2312" w:eastAsia="仿宋_GB2312"/>
                <w:sz w:val="19"/>
                <w:color w:val="000000"/>
              </w:rPr>
              <w:t>投标人报价时，</w:t>
            </w:r>
            <w:r>
              <w:rPr>
                <w:rFonts w:ascii="仿宋_GB2312" w:hAnsi="仿宋_GB2312" w:cs="仿宋_GB2312" w:eastAsia="仿宋_GB2312"/>
                <w:sz w:val="19"/>
                <w:color w:val="000000"/>
              </w:rPr>
              <w:t>各单项服务报价不得高于下表</w:t>
            </w:r>
            <w:r>
              <w:rPr>
                <w:rFonts w:ascii="仿宋_GB2312" w:hAnsi="仿宋_GB2312" w:cs="仿宋_GB2312" w:eastAsia="仿宋_GB2312"/>
                <w:sz w:val="19"/>
                <w:color w:val="000000"/>
              </w:rPr>
              <w:t>所列单项服务最高限价：</w:t>
            </w:r>
          </w:p>
          <w:tbl>
            <w:tblPr>
              <w:tblBorders>
                <w:top w:val="none" w:color="000000" w:sz="4"/>
                <w:left w:val="none" w:color="000000" w:sz="4"/>
                <w:bottom w:val="none" w:color="000000" w:sz="4"/>
                <w:right w:val="none" w:color="000000" w:sz="4"/>
                <w:insideH w:val="none"/>
                <w:insideV w:val="none"/>
              </w:tblBorders>
            </w:tblPr>
            <w:tblGrid>
              <w:gridCol w:w="400"/>
              <w:gridCol w:w="681"/>
              <w:gridCol w:w="800"/>
              <w:gridCol w:w="436"/>
              <w:gridCol w:w="270"/>
              <w:gridCol w:w="275"/>
              <w:gridCol w:w="358"/>
              <w:gridCol w:w="379"/>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服务项目</w:t>
                  </w:r>
                </w:p>
                <w:p>
                  <w:pPr>
                    <w:pStyle w:val="null3"/>
                    <w:jc w:val="center"/>
                  </w:pPr>
                  <w:r>
                    <w:rPr>
                      <w:rFonts w:ascii="仿宋_GB2312" w:hAnsi="仿宋_GB2312" w:cs="仿宋_GB2312" w:eastAsia="仿宋_GB2312"/>
                      <w:sz w:val="18"/>
                      <w:color w:val="000000"/>
                    </w:rPr>
                    <w:t>（一级）</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服务项目（二级）</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单项服务最高限价</w:t>
                  </w:r>
                  <w:r>
                    <w:br/>
                  </w:r>
                  <w:r>
                    <w:rPr>
                      <w:rFonts w:ascii="仿宋_GB2312" w:hAnsi="仿宋_GB2312" w:cs="仿宋_GB2312" w:eastAsia="仿宋_GB2312"/>
                      <w:sz w:val="18"/>
                      <w:color w:val="000000"/>
                    </w:rPr>
                    <w:t>（单价：元）</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服务期（月）</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备注</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319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调度指挥视频系统一体化服务</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视频会议接入服务</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视频会议接入服务</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722</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其他视频会议系统对接服务</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其他视频会议系统对接服务</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7440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“秦政通”视频会议模块对接服务</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“秦政通”视频会议模块对接服务</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77400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w:t>
                  </w:r>
                </w:p>
              </w:tc>
              <w:tc>
                <w:tcPr>
                  <w:tcW w:type="dxa" w:w="319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视频网承载服务</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视频网平台服务</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省级广域核心路由器</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11313</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市级广域核心路由器</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7270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省级城域核心路由器</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11320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网络管理平台</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21820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管理区交换机</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安全区交换机</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防火墙</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2990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入侵防御</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2990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入侵检测</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2990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6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视频网接入服务</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园区接入路由器</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园区外接入路由器</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园区接入交换机</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6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视频网链路服务</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1G 带宽</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3210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200M 带宽</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100M 带宽</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681"/>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20M </w:t>
                  </w:r>
                  <w:r>
                    <w:rPr>
                      <w:rFonts w:ascii="仿宋_GB2312" w:hAnsi="仿宋_GB2312" w:cs="仿宋_GB2312" w:eastAsia="仿宋_GB2312"/>
                      <w:sz w:val="18"/>
                      <w:color w:val="000000"/>
                    </w:rPr>
                    <w:t>带宽</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按数量及服务期报价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政务外网互通服务</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政务外网互通服务</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80200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（三）</w:t>
                  </w:r>
                </w:p>
              </w:tc>
              <w:tc>
                <w:tcPr>
                  <w:tcW w:type="dxa" w:w="3199"/>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运营保障服务</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重保服务</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重保服务</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198700</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按数量报价</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服务台服务</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服务台服务</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604800</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按数量报价</w:t>
                  </w:r>
                </w:p>
              </w:tc>
            </w:tr>
          </w:tbl>
          <w:p>
            <w:pPr>
              <w:pStyle w:val="null3"/>
              <w:ind w:firstLine="380"/>
              <w:jc w:val="left"/>
            </w:pPr>
            <w:r>
              <w:rPr>
                <w:rFonts w:ascii="仿宋_GB2312" w:hAnsi="仿宋_GB2312" w:cs="仿宋_GB2312" w:eastAsia="仿宋_GB2312"/>
                <w:sz w:val="19"/>
                <w:b/>
                <w:color w:val="000000"/>
              </w:rPr>
              <w:t>五、服务</w:t>
            </w:r>
            <w:r>
              <w:rPr>
                <w:rFonts w:ascii="仿宋_GB2312" w:hAnsi="仿宋_GB2312" w:cs="仿宋_GB2312" w:eastAsia="仿宋_GB2312"/>
                <w:sz w:val="19"/>
                <w:b/>
                <w:color w:val="000000"/>
              </w:rPr>
              <w:t>考核标准和方法</w:t>
            </w:r>
          </w:p>
          <w:p>
            <w:pPr>
              <w:pStyle w:val="null3"/>
              <w:ind w:firstLine="380"/>
              <w:jc w:val="left"/>
            </w:pPr>
            <w:r>
              <w:rPr>
                <w:rFonts w:ascii="仿宋_GB2312" w:hAnsi="仿宋_GB2312" w:cs="仿宋_GB2312" w:eastAsia="仿宋_GB2312"/>
                <w:sz w:val="19"/>
                <w:color w:val="000000"/>
              </w:rPr>
              <w:t>交付的服务必须等同或优于本项目招标文件</w:t>
            </w:r>
            <w:r>
              <w:rPr>
                <w:rFonts w:ascii="仿宋_GB2312" w:hAnsi="仿宋_GB2312" w:cs="仿宋_GB2312" w:eastAsia="仿宋_GB2312"/>
                <w:sz w:val="19"/>
                <w:color w:val="000000"/>
              </w:rPr>
              <w:t>“服务要求”所述的标准。若</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在</w:t>
            </w:r>
            <w:r>
              <w:rPr>
                <w:rFonts w:ascii="仿宋_GB2312" w:hAnsi="仿宋_GB2312" w:cs="仿宋_GB2312" w:eastAsia="仿宋_GB2312"/>
                <w:sz w:val="19"/>
                <w:color w:val="000000"/>
              </w:rPr>
              <w:t>投标</w:t>
            </w:r>
            <w:r>
              <w:rPr>
                <w:rFonts w:ascii="仿宋_GB2312" w:hAnsi="仿宋_GB2312" w:cs="仿宋_GB2312" w:eastAsia="仿宋_GB2312"/>
                <w:sz w:val="19"/>
                <w:color w:val="000000"/>
              </w:rPr>
              <w:t>文件中承诺的技术标准优于本项目招标文件</w:t>
            </w:r>
            <w:r>
              <w:rPr>
                <w:rFonts w:ascii="仿宋_GB2312" w:hAnsi="仿宋_GB2312" w:cs="仿宋_GB2312" w:eastAsia="仿宋_GB2312"/>
                <w:sz w:val="19"/>
                <w:color w:val="000000"/>
              </w:rPr>
              <w:t>“服务内容及要求”所述标准的，按</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的承诺执行。</w:t>
            </w:r>
          </w:p>
          <w:p>
            <w:pPr>
              <w:pStyle w:val="null3"/>
              <w:ind w:firstLine="380"/>
              <w:jc w:val="left"/>
            </w:pPr>
            <w:r>
              <w:rPr>
                <w:rFonts w:ascii="仿宋_GB2312" w:hAnsi="仿宋_GB2312" w:cs="仿宋_GB2312" w:eastAsia="仿宋_GB2312"/>
                <w:sz w:val="19"/>
                <w:color w:val="000000"/>
              </w:rPr>
              <w:t>中标</w:t>
            </w:r>
            <w:r>
              <w:rPr>
                <w:rFonts w:ascii="仿宋_GB2312" w:hAnsi="仿宋_GB2312" w:cs="仿宋_GB2312" w:eastAsia="仿宋_GB2312"/>
                <w:sz w:val="19"/>
                <w:color w:val="000000"/>
              </w:rPr>
              <w:t>人</w:t>
            </w:r>
            <w:r>
              <w:rPr>
                <w:rFonts w:ascii="仿宋_GB2312" w:hAnsi="仿宋_GB2312" w:cs="仿宋_GB2312" w:eastAsia="仿宋_GB2312"/>
                <w:sz w:val="19"/>
                <w:color w:val="000000"/>
              </w:rPr>
              <w:t>完成并交付的工作成果需经采购人验收合格，则视为接受。如果在验收时采购人表明不接受中标</w:t>
            </w:r>
            <w:r>
              <w:rPr>
                <w:rFonts w:ascii="仿宋_GB2312" w:hAnsi="仿宋_GB2312" w:cs="仿宋_GB2312" w:eastAsia="仿宋_GB2312"/>
                <w:sz w:val="19"/>
                <w:color w:val="000000"/>
              </w:rPr>
              <w:t>人</w:t>
            </w:r>
            <w:r>
              <w:rPr>
                <w:rFonts w:ascii="仿宋_GB2312" w:hAnsi="仿宋_GB2312" w:cs="仿宋_GB2312" w:eastAsia="仿宋_GB2312"/>
                <w:sz w:val="19"/>
                <w:color w:val="000000"/>
              </w:rPr>
              <w:t>提交的工作成果并明示不接受的原因，中标</w:t>
            </w:r>
            <w:r>
              <w:rPr>
                <w:rFonts w:ascii="仿宋_GB2312" w:hAnsi="仿宋_GB2312" w:cs="仿宋_GB2312" w:eastAsia="仿宋_GB2312"/>
                <w:sz w:val="19"/>
                <w:color w:val="000000"/>
              </w:rPr>
              <w:t>人</w:t>
            </w:r>
            <w:r>
              <w:rPr>
                <w:rFonts w:ascii="仿宋_GB2312" w:hAnsi="仿宋_GB2312" w:cs="仿宋_GB2312" w:eastAsia="仿宋_GB2312"/>
                <w:sz w:val="19"/>
                <w:color w:val="000000"/>
              </w:rPr>
              <w:t>应当采取合理之措施进行修改，以达到合同规定的要求。</w:t>
            </w:r>
          </w:p>
          <w:p>
            <w:pPr>
              <w:pStyle w:val="null3"/>
              <w:ind w:firstLine="380"/>
              <w:jc w:val="left"/>
            </w:pPr>
            <w:r>
              <w:rPr>
                <w:rFonts w:ascii="仿宋_GB2312" w:hAnsi="仿宋_GB2312" w:cs="仿宋_GB2312" w:eastAsia="仿宋_GB2312"/>
                <w:sz w:val="19"/>
                <w:color w:val="000000"/>
              </w:rPr>
              <w:t>5.1</w:t>
            </w:r>
            <w:r>
              <w:rPr>
                <w:rFonts w:ascii="仿宋_GB2312" w:hAnsi="仿宋_GB2312" w:cs="仿宋_GB2312" w:eastAsia="仿宋_GB2312"/>
                <w:sz w:val="19"/>
                <w:color w:val="000000"/>
              </w:rPr>
              <w:t>服务考核指标体系如下：</w:t>
            </w:r>
          </w:p>
          <w:tbl>
            <w:tblPr>
              <w:tblBorders>
                <w:top w:val="none" w:color="000000" w:sz="4"/>
                <w:left w:val="none" w:color="000000" w:sz="4"/>
                <w:bottom w:val="none" w:color="000000" w:sz="4"/>
                <w:right w:val="none" w:color="000000" w:sz="4"/>
                <w:insideH w:val="none"/>
                <w:insideV w:val="none"/>
              </w:tblBorders>
            </w:tblPr>
            <w:tblGrid>
              <w:gridCol w:w="239"/>
              <w:gridCol w:w="509"/>
              <w:gridCol w:w="1175"/>
              <w:gridCol w:w="1258"/>
            </w:tblGrid>
            <w:tr>
              <w:tc>
                <w:tcPr>
                  <w:tcW w:type="dxa" w:w="318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考核评分表</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考核项目</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考核内容</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加分</w:t>
                  </w:r>
                  <w:r>
                    <w:rPr>
                      <w:rFonts w:ascii="仿宋_GB2312" w:hAnsi="仿宋_GB2312" w:cs="仿宋_GB2312" w:eastAsia="仿宋_GB2312"/>
                      <w:sz w:val="19"/>
                      <w:b/>
                      <w:color w:val="000000"/>
                    </w:rPr>
                    <w:t>/扣分标准</w:t>
                  </w:r>
                </w:p>
              </w:tc>
            </w:tr>
            <w:tr>
              <w:tc>
                <w:tcPr>
                  <w:tcW w:type="dxa" w:w="318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一、服务提供期限考核</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系统对接</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应按</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的要求，在约定时间内完成系统或网络对接、迁移、联调等。</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因</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自身原因未完成的，每次扣</w:t>
                  </w:r>
                  <w:r>
                    <w:rPr>
                      <w:rFonts w:ascii="仿宋_GB2312" w:hAnsi="仿宋_GB2312" w:cs="仿宋_GB2312" w:eastAsia="仿宋_GB2312"/>
                      <w:sz w:val="19"/>
                      <w:color w:val="000000"/>
                    </w:rPr>
                    <w:t>5分。</w:t>
                  </w:r>
                </w:p>
              </w:tc>
            </w:tr>
            <w:tr>
              <w:tc>
                <w:tcPr>
                  <w:tcW w:type="dxa" w:w="318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二、服务安全考核情形</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重大安全事件</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因</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原因，导致被省级相关政府部门认定发生重大安全事件或造成恶劣影响的。</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该次考核评价为</w:t>
                  </w:r>
                  <w:r>
                    <w:rPr>
                      <w:rFonts w:ascii="仿宋_GB2312" w:hAnsi="仿宋_GB2312" w:cs="仿宋_GB2312" w:eastAsia="仿宋_GB2312"/>
                      <w:sz w:val="19"/>
                      <w:color w:val="000000"/>
                    </w:rPr>
                    <w:t>0分。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数据泄露或擅作他用</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因服</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原因导致网络及其承载数据泄露，或未经</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允许，擅自将网络及其承载数据另作他用或提供给任何第三方使用的。</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该次考核评价为</w:t>
                  </w:r>
                  <w:r>
                    <w:rPr>
                      <w:rFonts w:ascii="仿宋_GB2312" w:hAnsi="仿宋_GB2312" w:cs="仿宋_GB2312" w:eastAsia="仿宋_GB2312"/>
                      <w:sz w:val="19"/>
                      <w:color w:val="000000"/>
                    </w:rPr>
                    <w:t>0分。</w:t>
                  </w:r>
                  <w:r>
                    <w:br/>
                  </w:r>
                  <w:r>
                    <w:rPr>
                      <w:rFonts w:ascii="仿宋_GB2312" w:hAnsi="仿宋_GB2312" w:cs="仿宋_GB2312" w:eastAsia="仿宋_GB2312"/>
                      <w:sz w:val="19"/>
                      <w:color w:val="000000"/>
                    </w:rPr>
                    <w:t>同时</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有权立即终止本项目服务合同，拒绝支付相关费用，并保留追究相应法律责任的权利。若造成损失的，</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按要求赔偿损失。</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违规操作</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未经授权，</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私自进行违规操作的，一次扣</w:t>
                  </w:r>
                  <w:r>
                    <w:rPr>
                      <w:rFonts w:ascii="仿宋_GB2312" w:hAnsi="仿宋_GB2312" w:cs="仿宋_GB2312" w:eastAsia="仿宋_GB2312"/>
                      <w:sz w:val="19"/>
                      <w:color w:val="000000"/>
                    </w:rPr>
                    <w:t>2分；造成局部（单个网络接入点）网络中断的，一次扣3分；影响较大，被上级机关通报，一次扣10分。</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私自违规操作一次扣</w:t>
                  </w:r>
                  <w:r>
                    <w:rPr>
                      <w:rFonts w:ascii="仿宋_GB2312" w:hAnsi="仿宋_GB2312" w:cs="仿宋_GB2312" w:eastAsia="仿宋_GB2312"/>
                      <w:sz w:val="19"/>
                      <w:color w:val="000000"/>
                    </w:rPr>
                    <w:t>2分，造成局部（单个网络接入点）网络中断的，一次扣3分，影响较大，被上级机关通报，一次扣10分。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信息安全漏洞</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被省级相关政府部门或省政务数据服务局扫描发现信息安全漏洞，在规定时间内未完成整改的。</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每次扣</w:t>
                  </w:r>
                  <w:r>
                    <w:rPr>
                      <w:rFonts w:ascii="仿宋_GB2312" w:hAnsi="仿宋_GB2312" w:cs="仿宋_GB2312" w:eastAsia="仿宋_GB2312"/>
                      <w:sz w:val="19"/>
                      <w:color w:val="000000"/>
                    </w:rPr>
                    <w:t>10分。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其他</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发生其他安全事件。</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视情节严重，每次扣</w:t>
                  </w:r>
                  <w:r>
                    <w:rPr>
                      <w:rFonts w:ascii="仿宋_GB2312" w:hAnsi="仿宋_GB2312" w:cs="仿宋_GB2312" w:eastAsia="仿宋_GB2312"/>
                      <w:sz w:val="19"/>
                      <w:color w:val="000000"/>
                    </w:rPr>
                    <w:t>2-10分。</w:t>
                  </w:r>
                </w:p>
              </w:tc>
            </w:tr>
            <w:tr>
              <w:tc>
                <w:tcPr>
                  <w:tcW w:type="dxa" w:w="318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三、服务质量考核情形</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序号</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考核</w:t>
                  </w:r>
                  <w:r>
                    <w:rPr>
                      <w:rFonts w:ascii="仿宋_GB2312" w:hAnsi="仿宋_GB2312" w:cs="仿宋_GB2312" w:eastAsia="仿宋_GB2312"/>
                      <w:sz w:val="19"/>
                      <w:color w:val="000000"/>
                    </w:rPr>
                    <w:t>项目</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考核内容</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加分</w:t>
                  </w:r>
                  <w:r>
                    <w:rPr>
                      <w:rFonts w:ascii="仿宋_GB2312" w:hAnsi="仿宋_GB2312" w:cs="仿宋_GB2312" w:eastAsia="仿宋_GB2312"/>
                      <w:sz w:val="19"/>
                      <w:color w:val="000000"/>
                    </w:rPr>
                    <w:t>/扣分标准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重大网络故障</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因</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原因，导致</w:t>
                  </w:r>
                  <w:r>
                    <w:rPr>
                      <w:rFonts w:ascii="仿宋_GB2312" w:hAnsi="仿宋_GB2312" w:cs="仿宋_GB2312" w:eastAsia="仿宋_GB2312"/>
                      <w:sz w:val="19"/>
                      <w:color w:val="000000"/>
                    </w:rPr>
                    <w:t>视频网</w:t>
                  </w:r>
                  <w:r>
                    <w:rPr>
                      <w:rFonts w:ascii="仿宋_GB2312" w:hAnsi="仿宋_GB2312" w:cs="仿宋_GB2312" w:eastAsia="仿宋_GB2312"/>
                      <w:sz w:val="19"/>
                      <w:color w:val="000000"/>
                    </w:rPr>
                    <w:t>骨干网络或核心平台中断次数超过</w:t>
                  </w:r>
                  <w:r>
                    <w:rPr>
                      <w:rFonts w:ascii="仿宋_GB2312" w:hAnsi="仿宋_GB2312" w:cs="仿宋_GB2312" w:eastAsia="仿宋_GB2312"/>
                      <w:sz w:val="19"/>
                      <w:color w:val="000000"/>
                    </w:rPr>
                    <w:t>1次，中断服务时间超过30分钟。</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中断时间超过</w:t>
                  </w:r>
                  <w:r>
                    <w:rPr>
                      <w:rFonts w:ascii="仿宋_GB2312" w:hAnsi="仿宋_GB2312" w:cs="仿宋_GB2312" w:eastAsia="仿宋_GB2312"/>
                      <w:sz w:val="19"/>
                      <w:color w:val="000000"/>
                    </w:rPr>
                    <w:t>30分钟的，该周期考核评价为0分；未超过30分钟的，扣20分。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局部网络故障</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发生局部（单个网络接入点）网络中断、无法访问等事故。</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单次时长</w:t>
                  </w:r>
                  <w:r>
                    <w:rPr>
                      <w:rFonts w:ascii="仿宋_GB2312" w:hAnsi="仿宋_GB2312" w:cs="仿宋_GB2312" w:eastAsia="仿宋_GB2312"/>
                      <w:sz w:val="19"/>
                      <w:color w:val="000000"/>
                    </w:rPr>
                    <w:t>≤30分钟的，每次扣2分；30分钟&lt;单次时长≤60分钟的，每次扣3分；单次时长＞60分钟的，每次扣5分。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网络切换</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因</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或</w:t>
                  </w:r>
                  <w:r>
                    <w:rPr>
                      <w:rFonts w:ascii="仿宋_GB2312" w:hAnsi="仿宋_GB2312" w:cs="仿宋_GB2312" w:eastAsia="仿宋_GB2312"/>
                      <w:sz w:val="19"/>
                      <w:color w:val="000000"/>
                    </w:rPr>
                    <w:t>视频网</w:t>
                  </w:r>
                  <w:r>
                    <w:rPr>
                      <w:rFonts w:ascii="仿宋_GB2312" w:hAnsi="仿宋_GB2312" w:cs="仿宋_GB2312" w:eastAsia="仿宋_GB2312"/>
                      <w:sz w:val="19"/>
                      <w:color w:val="000000"/>
                    </w:rPr>
                    <w:t>设备、技术等故障原因，导致电子政务外网切换至</w:t>
                  </w:r>
                  <w:r>
                    <w:rPr>
                      <w:rFonts w:ascii="仿宋_GB2312" w:hAnsi="仿宋_GB2312" w:cs="仿宋_GB2312" w:eastAsia="仿宋_GB2312"/>
                      <w:sz w:val="19"/>
                      <w:color w:val="000000"/>
                    </w:rPr>
                    <w:t>视频网</w:t>
                  </w:r>
                  <w:r>
                    <w:rPr>
                      <w:rFonts w:ascii="仿宋_GB2312" w:hAnsi="仿宋_GB2312" w:cs="仿宋_GB2312" w:eastAsia="仿宋_GB2312"/>
                      <w:sz w:val="19"/>
                      <w:color w:val="000000"/>
                    </w:rPr>
                    <w:t>延迟或未成功。</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60秒内（含60秒）未完成电子政务外网向</w:t>
                  </w:r>
                  <w:r>
                    <w:rPr>
                      <w:rFonts w:ascii="仿宋_GB2312" w:hAnsi="仿宋_GB2312" w:cs="仿宋_GB2312" w:eastAsia="仿宋_GB2312"/>
                      <w:sz w:val="19"/>
                      <w:color w:val="000000"/>
                    </w:rPr>
                    <w:t>视频网</w:t>
                  </w:r>
                  <w:r>
                    <w:rPr>
                      <w:rFonts w:ascii="仿宋_GB2312" w:hAnsi="仿宋_GB2312" w:cs="仿宋_GB2312" w:eastAsia="仿宋_GB2312"/>
                      <w:sz w:val="19"/>
                      <w:color w:val="000000"/>
                    </w:rPr>
                    <w:t>的网络切换，每次扣</w:t>
                  </w:r>
                  <w:r>
                    <w:rPr>
                      <w:rFonts w:ascii="仿宋_GB2312" w:hAnsi="仿宋_GB2312" w:cs="仿宋_GB2312" w:eastAsia="仿宋_GB2312"/>
                      <w:sz w:val="19"/>
                      <w:color w:val="000000"/>
                    </w:rPr>
                    <w:t>5分。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网络通畅率</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在合同约定的服务期内，</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应保障全年</w:t>
                  </w:r>
                  <w:r>
                    <w:rPr>
                      <w:rFonts w:ascii="仿宋_GB2312" w:hAnsi="仿宋_GB2312" w:cs="仿宋_GB2312" w:eastAsia="仿宋_GB2312"/>
                      <w:sz w:val="19"/>
                      <w:color w:val="000000"/>
                    </w:rPr>
                    <w:t>视频网</w:t>
                  </w:r>
                  <w:r>
                    <w:rPr>
                      <w:rFonts w:ascii="仿宋_GB2312" w:hAnsi="仿宋_GB2312" w:cs="仿宋_GB2312" w:eastAsia="仿宋_GB2312"/>
                      <w:sz w:val="19"/>
                      <w:color w:val="000000"/>
                    </w:rPr>
                    <w:t>通畅率在</w:t>
                  </w:r>
                  <w:r>
                    <w:rPr>
                      <w:rFonts w:ascii="仿宋_GB2312" w:hAnsi="仿宋_GB2312" w:cs="仿宋_GB2312" w:eastAsia="仿宋_GB2312"/>
                      <w:sz w:val="19"/>
                      <w:color w:val="000000"/>
                    </w:rPr>
                    <w:t>99.99%以上。</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指标每下降</w:t>
                  </w:r>
                  <w:r>
                    <w:rPr>
                      <w:rFonts w:ascii="仿宋_GB2312" w:hAnsi="仿宋_GB2312" w:cs="仿宋_GB2312" w:eastAsia="仿宋_GB2312"/>
                      <w:sz w:val="19"/>
                      <w:color w:val="000000"/>
                    </w:rPr>
                    <w:t>0.03%扣5分。</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影响业务运行等</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因</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或</w:t>
                  </w:r>
                  <w:r>
                    <w:rPr>
                      <w:rFonts w:ascii="仿宋_GB2312" w:hAnsi="仿宋_GB2312" w:cs="仿宋_GB2312" w:eastAsia="仿宋_GB2312"/>
                      <w:sz w:val="19"/>
                      <w:color w:val="000000"/>
                    </w:rPr>
                    <w:t>视频网</w:t>
                  </w:r>
                  <w:r>
                    <w:rPr>
                      <w:rFonts w:ascii="仿宋_GB2312" w:hAnsi="仿宋_GB2312" w:cs="仿宋_GB2312" w:eastAsia="仿宋_GB2312"/>
                      <w:sz w:val="19"/>
                      <w:color w:val="000000"/>
                    </w:rPr>
                    <w:t>设备、技术等故障原因，导致相关业务运行停止、数据丢失的。</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一般情形，视情节严重扣</w:t>
                  </w:r>
                  <w:r>
                    <w:rPr>
                      <w:rFonts w:ascii="仿宋_GB2312" w:hAnsi="仿宋_GB2312" w:cs="仿宋_GB2312" w:eastAsia="仿宋_GB2312"/>
                      <w:sz w:val="19"/>
                      <w:color w:val="000000"/>
                    </w:rPr>
                    <w:t>10-20分。若造成影响范围巨大、情形恶劣、损失重大并被</w:t>
                  </w:r>
                  <w:r>
                    <w:rPr>
                      <w:rFonts w:ascii="仿宋_GB2312" w:hAnsi="仿宋_GB2312" w:cs="仿宋_GB2312" w:eastAsia="仿宋_GB2312"/>
                      <w:sz w:val="19"/>
                      <w:color w:val="000000"/>
                    </w:rPr>
                    <w:t>陕西省</w:t>
                  </w:r>
                  <w:r>
                    <w:rPr>
                      <w:rFonts w:ascii="仿宋_GB2312" w:hAnsi="仿宋_GB2312" w:cs="仿宋_GB2312" w:eastAsia="仿宋_GB2312"/>
                      <w:sz w:val="19"/>
                      <w:color w:val="000000"/>
                    </w:rPr>
                    <w:t>相关政府部门通报批评的，该周期考核评价为</w:t>
                  </w:r>
                  <w:r>
                    <w:rPr>
                      <w:rFonts w:ascii="仿宋_GB2312" w:hAnsi="仿宋_GB2312" w:cs="仿宋_GB2312" w:eastAsia="仿宋_GB2312"/>
                      <w:sz w:val="19"/>
                      <w:color w:val="000000"/>
                    </w:rPr>
                    <w:t>0分。</w:t>
                  </w:r>
                </w:p>
              </w:tc>
            </w:tr>
            <w:tr>
              <w:tc>
                <w:tcPr>
                  <w:tcW w:type="dxa" w:w="23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因</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或</w:t>
                  </w:r>
                  <w:r>
                    <w:rPr>
                      <w:rFonts w:ascii="仿宋_GB2312" w:hAnsi="仿宋_GB2312" w:cs="仿宋_GB2312" w:eastAsia="仿宋_GB2312"/>
                      <w:sz w:val="19"/>
                      <w:color w:val="000000"/>
                    </w:rPr>
                    <w:t>视频网</w:t>
                  </w:r>
                  <w:r>
                    <w:rPr>
                      <w:rFonts w:ascii="仿宋_GB2312" w:hAnsi="仿宋_GB2312" w:cs="仿宋_GB2312" w:eastAsia="仿宋_GB2312"/>
                      <w:sz w:val="19"/>
                      <w:color w:val="000000"/>
                    </w:rPr>
                    <w:t>本身设备、技术等故障原因，出现部分设备失效、系统性能下降，但不影响业务正常运行的。</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视情节严重扣</w:t>
                  </w:r>
                  <w:r>
                    <w:rPr>
                      <w:rFonts w:ascii="仿宋_GB2312" w:hAnsi="仿宋_GB2312" w:cs="仿宋_GB2312" w:eastAsia="仿宋_GB2312"/>
                      <w:sz w:val="19"/>
                      <w:color w:val="000000"/>
                    </w:rPr>
                    <w:t>1-5分。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视频会议保障</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因</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或设备故障、技术故障或调度失误出现会议事故，导致会议中断、调度视频质量不达预期或造成重大投诉的。</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作为主会场，每发生一次扣</w:t>
                  </w:r>
                  <w:r>
                    <w:rPr>
                      <w:rFonts w:ascii="仿宋_GB2312" w:hAnsi="仿宋_GB2312" w:cs="仿宋_GB2312" w:eastAsia="仿宋_GB2312"/>
                      <w:sz w:val="19"/>
                      <w:color w:val="000000"/>
                    </w:rPr>
                    <w:t>5分；作为分会场，每发生一次扣1分。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视频调度保障</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因</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或</w:t>
                  </w:r>
                  <w:r>
                    <w:rPr>
                      <w:rFonts w:ascii="仿宋_GB2312" w:hAnsi="仿宋_GB2312" w:cs="仿宋_GB2312" w:eastAsia="仿宋_GB2312"/>
                      <w:sz w:val="19"/>
                      <w:color w:val="000000"/>
                    </w:rPr>
                    <w:t>视频网</w:t>
                  </w:r>
                  <w:r>
                    <w:rPr>
                      <w:rFonts w:ascii="仿宋_GB2312" w:hAnsi="仿宋_GB2312" w:cs="仿宋_GB2312" w:eastAsia="仿宋_GB2312"/>
                      <w:sz w:val="19"/>
                      <w:color w:val="000000"/>
                    </w:rPr>
                    <w:t>设备故障、技术故障等原因出现调度事故、调度视频质量不达预期或造成重大投诉的。</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视情节严重，每次扣</w:t>
                  </w:r>
                  <w:r>
                    <w:rPr>
                      <w:rFonts w:ascii="仿宋_GB2312" w:hAnsi="仿宋_GB2312" w:cs="仿宋_GB2312" w:eastAsia="仿宋_GB2312"/>
                      <w:sz w:val="19"/>
                      <w:color w:val="000000"/>
                    </w:rPr>
                    <w:t>1-5分。</w:t>
                  </w:r>
                </w:p>
              </w:tc>
            </w:tr>
            <w:tr>
              <w:tc>
                <w:tcPr>
                  <w:tcW w:type="dxa" w:w="318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四、技术服务考核情形</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序号</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考核项目</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考核内容</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加分</w:t>
                  </w:r>
                  <w:r>
                    <w:rPr>
                      <w:rFonts w:ascii="仿宋_GB2312" w:hAnsi="仿宋_GB2312" w:cs="仿宋_GB2312" w:eastAsia="仿宋_GB2312"/>
                      <w:sz w:val="19"/>
                      <w:color w:val="000000"/>
                    </w:rPr>
                    <w:t>/扣分标准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故障响应</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在服务期内，</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需提供不低于</w:t>
                  </w:r>
                  <w:r>
                    <w:rPr>
                      <w:rFonts w:ascii="仿宋_GB2312" w:hAnsi="仿宋_GB2312" w:cs="仿宋_GB2312" w:eastAsia="仿宋_GB2312"/>
                      <w:sz w:val="19"/>
                      <w:color w:val="000000"/>
                    </w:rPr>
                    <w:t>7×24小时的技术支持服务，发生故障需在10分钟内响应。</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每超出</w:t>
                  </w:r>
                  <w:r>
                    <w:rPr>
                      <w:rFonts w:ascii="仿宋_GB2312" w:hAnsi="仿宋_GB2312" w:cs="仿宋_GB2312" w:eastAsia="仿宋_GB2312"/>
                      <w:sz w:val="19"/>
                      <w:color w:val="000000"/>
                    </w:rPr>
                    <w:t>1分钟扣1分，以此类推。</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故障恢复</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在服务期内，</w:t>
                  </w:r>
                  <w:r>
                    <w:rPr>
                      <w:rFonts w:ascii="仿宋_GB2312" w:hAnsi="仿宋_GB2312" w:cs="仿宋_GB2312" w:eastAsia="仿宋_GB2312"/>
                      <w:sz w:val="19"/>
                      <w:color w:val="000000"/>
                    </w:rPr>
                    <w:t>I级故障30分钟内修复，</w:t>
                  </w:r>
                  <w:r>
                    <w:rPr>
                      <w:rFonts w:ascii="仿宋_GB2312" w:hAnsi="仿宋_GB2312" w:cs="仿宋_GB2312" w:eastAsia="仿宋_GB2312"/>
                      <w:sz w:val="19"/>
                      <w:color w:val="000000"/>
                    </w:rPr>
                    <w:t>Ⅱ级故障1</w:t>
                  </w:r>
                  <w:r>
                    <w:rPr>
                      <w:rFonts w:ascii="仿宋_GB2312" w:hAnsi="仿宋_GB2312" w:cs="仿宋_GB2312" w:eastAsia="仿宋_GB2312"/>
                      <w:sz w:val="19"/>
                      <w:color w:val="000000"/>
                    </w:rPr>
                    <w:t>小时内修复，</w:t>
                  </w:r>
                  <w:r>
                    <w:rPr>
                      <w:rFonts w:ascii="仿宋_GB2312" w:hAnsi="仿宋_GB2312" w:cs="仿宋_GB2312" w:eastAsia="仿宋_GB2312"/>
                      <w:sz w:val="19"/>
                      <w:color w:val="000000"/>
                    </w:rPr>
                    <w:t>Ⅲ级</w:t>
                  </w:r>
                  <w:r>
                    <w:rPr>
                      <w:rFonts w:ascii="仿宋_GB2312" w:hAnsi="仿宋_GB2312" w:cs="仿宋_GB2312" w:eastAsia="仿宋_GB2312"/>
                      <w:sz w:val="19"/>
                      <w:color w:val="000000"/>
                    </w:rPr>
                    <w:t>故障</w:t>
                  </w:r>
                  <w:r>
                    <w:rPr>
                      <w:rFonts w:ascii="仿宋_GB2312" w:hAnsi="仿宋_GB2312" w:cs="仿宋_GB2312" w:eastAsia="仿宋_GB2312"/>
                      <w:sz w:val="19"/>
                      <w:color w:val="000000"/>
                    </w:rPr>
                    <w:t>2小时内修复；无法解决的设备故障，在 4 小时内提供相当档次的备机，修复或更换时间最长不超过 6 小时。</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超出时限的，该周期考核评价为</w:t>
                  </w:r>
                  <w:r>
                    <w:rPr>
                      <w:rFonts w:ascii="仿宋_GB2312" w:hAnsi="仿宋_GB2312" w:cs="仿宋_GB2312" w:eastAsia="仿宋_GB2312"/>
                      <w:sz w:val="19"/>
                      <w:color w:val="000000"/>
                    </w:rPr>
                    <w:t>0分，同时</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承担并赔偿造成的一切损失。</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技术支持及时性</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技术支持、系统维护人员接听故障处理电话的及时性进行考核。</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视情节严重，每次扣</w:t>
                  </w:r>
                  <w:r>
                    <w:rPr>
                      <w:rFonts w:ascii="仿宋_GB2312" w:hAnsi="仿宋_GB2312" w:cs="仿宋_GB2312" w:eastAsia="仿宋_GB2312"/>
                      <w:sz w:val="19"/>
                      <w:color w:val="000000"/>
                    </w:rPr>
                    <w:t>1-2分。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技术服务人员要求</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技术服务人员服务态度不端正，敷衍应付，推诿扯皮，不接受工作管理及技术工作安排。</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视工作态度表现，每次扣</w:t>
                  </w:r>
                  <w:r>
                    <w:rPr>
                      <w:rFonts w:ascii="仿宋_GB2312" w:hAnsi="仿宋_GB2312" w:cs="仿宋_GB2312" w:eastAsia="仿宋_GB2312"/>
                      <w:sz w:val="19"/>
                      <w:color w:val="000000"/>
                    </w:rPr>
                    <w:t>1-2分。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服务工作主动性</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对存在的问题，经指出后服务供应商未按时整改的；</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服务提供过程中工作不主动，经反复催促三次仍不能完成工作任务的。</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一次扣</w:t>
                  </w:r>
                  <w:r>
                    <w:rPr>
                      <w:rFonts w:ascii="仿宋_GB2312" w:hAnsi="仿宋_GB2312" w:cs="仿宋_GB2312" w:eastAsia="仿宋_GB2312"/>
                      <w:sz w:val="19"/>
                      <w:color w:val="000000"/>
                    </w:rPr>
                    <w:t>5分。</w:t>
                  </w:r>
                </w:p>
              </w:tc>
            </w:tr>
            <w:tr>
              <w:tc>
                <w:tcPr>
                  <w:tcW w:type="dxa" w:w="318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color w:val="000000"/>
                    </w:rPr>
                    <w:t>五、满意度考核情形</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序号</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考核项目</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考核内容</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加分</w:t>
                  </w:r>
                  <w:r>
                    <w:rPr>
                      <w:rFonts w:ascii="仿宋_GB2312" w:hAnsi="仿宋_GB2312" w:cs="仿宋_GB2312" w:eastAsia="仿宋_GB2312"/>
                      <w:sz w:val="19"/>
                      <w:color w:val="000000"/>
                    </w:rPr>
                    <w:t>/扣分标准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提出合理工作建议且被采纳</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对网络管理、网络运维运营等提出合理化工作建议且被采纳。</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每次加</w:t>
                  </w:r>
                  <w:r>
                    <w:rPr>
                      <w:rFonts w:ascii="仿宋_GB2312" w:hAnsi="仿宋_GB2312" w:cs="仿宋_GB2312" w:eastAsia="仿宋_GB2312"/>
                      <w:sz w:val="19"/>
                      <w:color w:val="000000"/>
                    </w:rPr>
                    <w:t>1分。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主动报告网络安全风险</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主动向网信、公安等网络安全监管机构和政务外网主管部门报告除</w:t>
                  </w:r>
                  <w:r>
                    <w:rPr>
                      <w:rFonts w:ascii="仿宋_GB2312" w:hAnsi="仿宋_GB2312" w:cs="仿宋_GB2312" w:eastAsia="仿宋_GB2312"/>
                      <w:sz w:val="19"/>
                      <w:color w:val="000000"/>
                    </w:rPr>
                    <w:t>视频网</w:t>
                  </w:r>
                  <w:r>
                    <w:rPr>
                      <w:rFonts w:ascii="仿宋_GB2312" w:hAnsi="仿宋_GB2312" w:cs="仿宋_GB2312" w:eastAsia="仿宋_GB2312"/>
                      <w:sz w:val="19"/>
                      <w:color w:val="000000"/>
                    </w:rPr>
                    <w:t>本身之外的网络安全风险隐患，有效避免重大网络安全事件发生，被网络安全监管机构或主管部门肯定或者表扬的。</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每次加</w:t>
                  </w:r>
                  <w:r>
                    <w:rPr>
                      <w:rFonts w:ascii="仿宋_GB2312" w:hAnsi="仿宋_GB2312" w:cs="仿宋_GB2312" w:eastAsia="仿宋_GB2312"/>
                      <w:sz w:val="19"/>
                      <w:color w:val="000000"/>
                    </w:rPr>
                    <w:t>2分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协助网络安全工作</w:t>
                  </w:r>
                </w:p>
              </w:tc>
              <w:tc>
                <w:tcPr>
                  <w:tcW w:type="dxa" w:w="117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积极协助相关政务部门开展攻防演练、网络安全建设等事项，被相关政务部门肯定或者表扬的。</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每次加</w:t>
                  </w:r>
                  <w:r>
                    <w:rPr>
                      <w:rFonts w:ascii="仿宋_GB2312" w:hAnsi="仿宋_GB2312" w:cs="仿宋_GB2312" w:eastAsia="仿宋_GB2312"/>
                      <w:sz w:val="19"/>
                      <w:color w:val="000000"/>
                    </w:rPr>
                    <w:t>1分。</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知识分享</w:t>
                  </w:r>
                </w:p>
              </w:tc>
              <w:tc>
                <w:tcPr>
                  <w:tcW w:type="dxa" w:w="1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主动进行网络运维运营知识、经验、数据管理等分享与总结。</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每次加</w:t>
                  </w:r>
                  <w:r>
                    <w:rPr>
                      <w:rFonts w:ascii="仿宋_GB2312" w:hAnsi="仿宋_GB2312" w:cs="仿宋_GB2312" w:eastAsia="仿宋_GB2312"/>
                      <w:sz w:val="19"/>
                      <w:color w:val="000000"/>
                    </w:rPr>
                    <w:t>2分。</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满意度评价</w:t>
                  </w: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服务期间，受到相关政务部门重大投诉的。</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每次扣</w:t>
                  </w:r>
                  <w:r>
                    <w:rPr>
                      <w:rFonts w:ascii="仿宋_GB2312" w:hAnsi="仿宋_GB2312" w:cs="仿宋_GB2312" w:eastAsia="仿宋_GB2312"/>
                      <w:sz w:val="19"/>
                      <w:color w:val="000000"/>
                    </w:rPr>
                    <w:t>2分。</w:t>
                  </w:r>
                </w:p>
              </w:tc>
            </w:tr>
            <w:tr>
              <w:tc>
                <w:tcPr>
                  <w:tcW w:type="dxa" w:w="23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主动担当、积极作为，在服务期内受到市级相关政务部门、大数据主管部门、网信部门、公安部门等肯定或表扬的，或被省（市）级媒体报道表彰的。</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每次加</w:t>
                  </w:r>
                  <w:r>
                    <w:rPr>
                      <w:rFonts w:ascii="仿宋_GB2312" w:hAnsi="仿宋_GB2312" w:cs="仿宋_GB2312" w:eastAsia="仿宋_GB2312"/>
                      <w:sz w:val="19"/>
                      <w:color w:val="000000"/>
                    </w:rPr>
                    <w:t>2分。</w:t>
                  </w:r>
                </w:p>
              </w:tc>
            </w:tr>
            <w:tr>
              <w:tc>
                <w:tcPr>
                  <w:tcW w:type="dxa" w:w="23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1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受到采购人上级机关通报表彰的，或被中央媒体报道表彰的。</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每次加</w:t>
                  </w:r>
                  <w:r>
                    <w:rPr>
                      <w:rFonts w:ascii="仿宋_GB2312" w:hAnsi="仿宋_GB2312" w:cs="仿宋_GB2312" w:eastAsia="仿宋_GB2312"/>
                      <w:sz w:val="19"/>
                      <w:color w:val="000000"/>
                    </w:rPr>
                    <w:t>5分。</w:t>
                  </w:r>
                </w:p>
              </w:tc>
            </w:tr>
          </w:tbl>
          <w:p>
            <w:pPr>
              <w:pStyle w:val="null3"/>
              <w:ind w:firstLine="380"/>
              <w:jc w:val="left"/>
            </w:pPr>
            <w:r>
              <w:rPr>
                <w:rFonts w:ascii="仿宋_GB2312" w:hAnsi="仿宋_GB2312" w:cs="仿宋_GB2312" w:eastAsia="仿宋_GB2312"/>
                <w:sz w:val="19"/>
                <w:color w:val="000000"/>
              </w:rPr>
              <w:t>5.2</w:t>
            </w:r>
            <w:r>
              <w:rPr>
                <w:rFonts w:ascii="仿宋_GB2312" w:hAnsi="仿宋_GB2312" w:cs="仿宋_GB2312" w:eastAsia="仿宋_GB2312"/>
                <w:sz w:val="21"/>
                <w:color w:val="000000"/>
              </w:rPr>
              <w:t xml:space="preserve"> </w:t>
            </w:r>
            <w:r>
              <w:rPr>
                <w:rFonts w:ascii="仿宋_GB2312" w:hAnsi="仿宋_GB2312" w:cs="仿宋_GB2312" w:eastAsia="仿宋_GB2312"/>
                <w:sz w:val="19"/>
                <w:color w:val="000000"/>
              </w:rPr>
              <w:t>由</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组织对</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实行定期考核，以半年为周期采取</w:t>
            </w:r>
            <w:r>
              <w:rPr>
                <w:rFonts w:ascii="仿宋_GB2312" w:hAnsi="仿宋_GB2312" w:cs="仿宋_GB2312" w:eastAsia="仿宋_GB2312"/>
                <w:sz w:val="19"/>
                <w:color w:val="000000"/>
              </w:rPr>
              <w:t>100分制进行考核。每次考核成绩高于或者等于90分，表明考核优秀，不扣减相关服务费用；考核评价得分低于90分但高于70分的，每低1分对</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进行总服务费</w:t>
            </w:r>
            <w:r>
              <w:rPr>
                <w:rFonts w:ascii="仿宋_GB2312" w:hAnsi="仿宋_GB2312" w:cs="仿宋_GB2312" w:eastAsia="仿宋_GB2312"/>
                <w:sz w:val="19"/>
                <w:color w:val="000000"/>
              </w:rPr>
              <w:t>0.5%-1%的罚款；考核评价得分低于70分的，</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有权提出终止合同，并对</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进行总服务费</w:t>
            </w:r>
            <w:r>
              <w:rPr>
                <w:rFonts w:ascii="仿宋_GB2312" w:hAnsi="仿宋_GB2312" w:cs="仿宋_GB2312" w:eastAsia="仿宋_GB2312"/>
                <w:sz w:val="19"/>
                <w:color w:val="000000"/>
              </w:rPr>
              <w:t>5%-10%的罚款。</w:t>
            </w:r>
          </w:p>
          <w:p>
            <w:pPr>
              <w:pStyle w:val="null3"/>
              <w:ind w:firstLine="420"/>
              <w:jc w:val="left"/>
            </w:pPr>
            <w:r>
              <w:rPr>
                <w:rFonts w:ascii="仿宋_GB2312" w:hAnsi="仿宋_GB2312" w:cs="仿宋_GB2312" w:eastAsia="仿宋_GB2312"/>
                <w:sz w:val="19"/>
                <w:b/>
                <w:color w:val="000000"/>
              </w:rPr>
              <w:t>★</w:t>
            </w:r>
            <w:r>
              <w:rPr>
                <w:rFonts w:ascii="仿宋_GB2312" w:hAnsi="仿宋_GB2312" w:cs="仿宋_GB2312" w:eastAsia="仿宋_GB2312"/>
                <w:sz w:val="19"/>
                <w:b/>
                <w:color w:val="000000"/>
              </w:rPr>
              <w:t>六、</w:t>
            </w:r>
            <w:r>
              <w:rPr>
                <w:rFonts w:ascii="仿宋_GB2312" w:hAnsi="仿宋_GB2312" w:cs="仿宋_GB2312" w:eastAsia="仿宋_GB2312"/>
                <w:sz w:val="19"/>
                <w:b/>
                <w:color w:val="000000"/>
              </w:rPr>
              <w:t>验收</w:t>
            </w:r>
          </w:p>
          <w:p>
            <w:pPr>
              <w:pStyle w:val="null3"/>
              <w:ind w:firstLine="376"/>
              <w:jc w:val="left"/>
            </w:pPr>
            <w:r>
              <w:rPr>
                <w:rFonts w:ascii="仿宋_GB2312" w:hAnsi="仿宋_GB2312" w:cs="仿宋_GB2312" w:eastAsia="仿宋_GB2312"/>
                <w:sz w:val="19"/>
                <w:color w:val="000000"/>
              </w:rPr>
              <w:t>按照</w:t>
            </w:r>
            <w:r>
              <w:rPr>
                <w:rFonts w:ascii="仿宋_GB2312" w:hAnsi="仿宋_GB2312" w:cs="仿宋_GB2312" w:eastAsia="仿宋_GB2312"/>
                <w:sz w:val="19"/>
                <w:color w:val="000000"/>
              </w:rPr>
              <w:t>《陕西省省级政务信息化项目竣工验收管理办法（试行）》要求</w:t>
            </w:r>
            <w:r>
              <w:rPr>
                <w:rFonts w:ascii="仿宋_GB2312" w:hAnsi="仿宋_GB2312" w:cs="仿宋_GB2312" w:eastAsia="仿宋_GB2312"/>
                <w:sz w:val="19"/>
                <w:color w:val="000000"/>
              </w:rPr>
              <w:t>执行。</w:t>
            </w:r>
          </w:p>
          <w:p>
            <w:pPr>
              <w:pStyle w:val="null3"/>
              <w:ind w:firstLine="380"/>
              <w:jc w:val="left"/>
            </w:pPr>
            <w:r>
              <w:rPr>
                <w:rFonts w:ascii="仿宋_GB2312" w:hAnsi="仿宋_GB2312" w:cs="仿宋_GB2312" w:eastAsia="仿宋_GB2312"/>
                <w:sz w:val="19"/>
                <w:color w:val="000000"/>
              </w:rPr>
              <w:t>6.1交付验收</w:t>
            </w:r>
          </w:p>
          <w:p>
            <w:pPr>
              <w:pStyle w:val="null3"/>
              <w:spacing w:before="75"/>
              <w:ind w:firstLine="360"/>
              <w:jc w:val="left"/>
            </w:pPr>
            <w:r>
              <w:rPr>
                <w:rFonts w:ascii="仿宋_GB2312" w:hAnsi="仿宋_GB2312" w:cs="仿宋_GB2312" w:eastAsia="仿宋_GB2312"/>
                <w:sz w:val="19"/>
                <w:color w:val="000000"/>
              </w:rPr>
              <w:t>6.1.1</w:t>
            </w:r>
            <w:r>
              <w:rPr>
                <w:rFonts w:ascii="仿宋_GB2312" w:hAnsi="仿宋_GB2312" w:cs="仿宋_GB2312" w:eastAsia="仿宋_GB2312"/>
                <w:sz w:val="19"/>
                <w:color w:val="000000"/>
              </w:rPr>
              <w:t>验收条件</w:t>
            </w:r>
          </w:p>
          <w:p>
            <w:pPr>
              <w:pStyle w:val="null3"/>
              <w:spacing w:before="75"/>
              <w:ind w:firstLine="376"/>
              <w:jc w:val="left"/>
            </w:pP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已按照合同约定，完成调度指挥视频系统部署，开通广域网纵向</w:t>
            </w:r>
            <w:r>
              <w:rPr>
                <w:rFonts w:ascii="仿宋_GB2312" w:hAnsi="仿宋_GB2312" w:cs="仿宋_GB2312" w:eastAsia="仿宋_GB2312"/>
                <w:sz w:val="19"/>
                <w:color w:val="000000"/>
              </w:rPr>
              <w:t>11条视频网线路，系统已完成内部测试和调试，达到合同相关指标要求，满足3家及以上单位会议业务需求。交付验收前未取得等保备案及密码测试报告，可先出具承诺函。</w:t>
            </w:r>
          </w:p>
          <w:p>
            <w:pPr>
              <w:pStyle w:val="null3"/>
              <w:spacing w:before="75"/>
              <w:ind w:firstLine="360"/>
              <w:jc w:val="left"/>
            </w:pPr>
            <w:r>
              <w:rPr>
                <w:rFonts w:ascii="仿宋_GB2312" w:hAnsi="仿宋_GB2312" w:cs="仿宋_GB2312" w:eastAsia="仿宋_GB2312"/>
                <w:sz w:val="19"/>
                <w:color w:val="000000"/>
              </w:rPr>
              <w:t>6.1.2参与方</w:t>
            </w:r>
          </w:p>
          <w:p>
            <w:pPr>
              <w:pStyle w:val="null3"/>
              <w:spacing w:before="75"/>
              <w:ind w:firstLine="376"/>
              <w:jc w:val="left"/>
            </w:pP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：负责组织</w:t>
            </w:r>
            <w:r>
              <w:rPr>
                <w:rFonts w:ascii="仿宋_GB2312" w:hAnsi="仿宋_GB2312" w:cs="仿宋_GB2312" w:eastAsia="仿宋_GB2312"/>
                <w:sz w:val="19"/>
                <w:color w:val="000000"/>
              </w:rPr>
              <w:t>交付验收</w:t>
            </w:r>
            <w:r>
              <w:rPr>
                <w:rFonts w:ascii="仿宋_GB2312" w:hAnsi="仿宋_GB2312" w:cs="仿宋_GB2312" w:eastAsia="仿宋_GB2312"/>
                <w:sz w:val="19"/>
                <w:color w:val="000000"/>
              </w:rPr>
              <w:t>工作，对项目整体情况进行把控，协调各方</w:t>
            </w:r>
            <w:r>
              <w:rPr>
                <w:rFonts w:ascii="仿宋_GB2312" w:hAnsi="仿宋_GB2312" w:cs="仿宋_GB2312" w:eastAsia="仿宋_GB2312"/>
                <w:sz w:val="19"/>
                <w:color w:val="000000"/>
              </w:rPr>
              <w:t>资源，审核验收材料及结果。</w:t>
            </w:r>
          </w:p>
          <w:p>
            <w:pPr>
              <w:pStyle w:val="null3"/>
              <w:spacing w:before="75"/>
              <w:ind w:firstLine="380"/>
              <w:jc w:val="left"/>
            </w:pP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：提交</w:t>
            </w:r>
            <w:r>
              <w:rPr>
                <w:rFonts w:ascii="仿宋_GB2312" w:hAnsi="仿宋_GB2312" w:cs="仿宋_GB2312" w:eastAsia="仿宋_GB2312"/>
                <w:sz w:val="19"/>
                <w:color w:val="000000"/>
              </w:rPr>
              <w:t>交付验收</w:t>
            </w:r>
            <w:r>
              <w:rPr>
                <w:rFonts w:ascii="仿宋_GB2312" w:hAnsi="仿宋_GB2312" w:cs="仿宋_GB2312" w:eastAsia="仿宋_GB2312"/>
                <w:sz w:val="19"/>
                <w:color w:val="000000"/>
              </w:rPr>
              <w:t>申请，汇报项目建设过</w:t>
            </w:r>
            <w:r>
              <w:rPr>
                <w:rFonts w:ascii="仿宋_GB2312" w:hAnsi="仿宋_GB2312" w:cs="仿宋_GB2312" w:eastAsia="仿宋_GB2312"/>
                <w:sz w:val="19"/>
                <w:color w:val="000000"/>
              </w:rPr>
              <w:t>程、成果及试运行准备情况配合验收工作并解答相关问题。</w:t>
            </w:r>
          </w:p>
          <w:p>
            <w:pPr>
              <w:pStyle w:val="null3"/>
              <w:spacing w:before="75"/>
              <w:ind w:firstLine="376"/>
              <w:jc w:val="left"/>
            </w:pPr>
            <w:r>
              <w:rPr>
                <w:rFonts w:ascii="仿宋_GB2312" w:hAnsi="仿宋_GB2312" w:cs="仿宋_GB2312" w:eastAsia="仿宋_GB2312"/>
                <w:sz w:val="19"/>
                <w:color w:val="000000"/>
              </w:rPr>
              <w:t>监理单位</w:t>
            </w:r>
            <w:r>
              <w:rPr>
                <w:rFonts w:ascii="仿宋_GB2312" w:hAnsi="仿宋_GB2312" w:cs="仿宋_GB2312" w:eastAsia="仿宋_GB2312"/>
                <w:sz w:val="19"/>
                <w:color w:val="000000"/>
              </w:rPr>
              <w:t>（</w:t>
            </w:r>
            <w:r>
              <w:rPr>
                <w:rFonts w:ascii="仿宋_GB2312" w:hAnsi="仿宋_GB2312" w:cs="仿宋_GB2312" w:eastAsia="仿宋_GB2312"/>
                <w:sz w:val="19"/>
                <w:color w:val="000000"/>
              </w:rPr>
              <w:t>采购人另行确定</w:t>
            </w:r>
            <w:r>
              <w:rPr>
                <w:rFonts w:ascii="仿宋_GB2312" w:hAnsi="仿宋_GB2312" w:cs="仿宋_GB2312" w:eastAsia="仿宋_GB2312"/>
                <w:sz w:val="19"/>
                <w:color w:val="000000"/>
              </w:rPr>
              <w:t>）</w:t>
            </w:r>
            <w:r>
              <w:rPr>
                <w:rFonts w:ascii="仿宋_GB2312" w:hAnsi="仿宋_GB2312" w:cs="仿宋_GB2312" w:eastAsia="仿宋_GB2312"/>
                <w:sz w:val="19"/>
                <w:color w:val="000000"/>
              </w:rPr>
              <w:t>：基于项目建设全程监理情况，提供监理报告，对项目建设质量、进度、资金使用等方面发表监理意见，协助</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开展验收。</w:t>
            </w:r>
          </w:p>
          <w:p>
            <w:pPr>
              <w:pStyle w:val="null3"/>
              <w:spacing w:before="75"/>
              <w:ind w:firstLine="376"/>
              <w:jc w:val="left"/>
            </w:pPr>
            <w:r>
              <w:rPr>
                <w:rFonts w:ascii="仿宋_GB2312" w:hAnsi="仿宋_GB2312" w:cs="仿宋_GB2312" w:eastAsia="仿宋_GB2312"/>
                <w:sz w:val="19"/>
                <w:color w:val="000000"/>
              </w:rPr>
              <w:t>专家（根据需要邀请）：凭借专业知识和经验，对项目技术、功能等方面进行评估，提出专业验收意见。</w:t>
            </w:r>
          </w:p>
          <w:p>
            <w:pPr>
              <w:pStyle w:val="null3"/>
              <w:spacing w:before="75"/>
              <w:ind w:firstLine="360"/>
              <w:jc w:val="left"/>
            </w:pPr>
            <w:r>
              <w:rPr>
                <w:rFonts w:ascii="仿宋_GB2312" w:hAnsi="仿宋_GB2312" w:cs="仿宋_GB2312" w:eastAsia="仿宋_GB2312"/>
                <w:sz w:val="19"/>
                <w:color w:val="000000"/>
              </w:rPr>
              <w:t>6.1.3验收流程</w:t>
            </w:r>
          </w:p>
          <w:p>
            <w:pPr>
              <w:pStyle w:val="null3"/>
              <w:spacing w:before="210"/>
              <w:ind w:left="30" w:right="240" w:firstLine="511"/>
              <w:jc w:val="left"/>
            </w:pPr>
            <w:r>
              <w:rPr>
                <w:rFonts w:ascii="仿宋_GB2312" w:hAnsi="仿宋_GB2312" w:cs="仿宋_GB2312" w:eastAsia="仿宋_GB2312"/>
                <w:sz w:val="19"/>
                <w:color w:val="000000"/>
              </w:rPr>
              <w:t>申请提交：</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确认满足验收条件后，向</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提交</w:t>
            </w:r>
            <w:r>
              <w:rPr>
                <w:rFonts w:ascii="仿宋_GB2312" w:hAnsi="仿宋_GB2312" w:cs="仿宋_GB2312" w:eastAsia="仿宋_GB2312"/>
                <w:sz w:val="19"/>
                <w:color w:val="000000"/>
              </w:rPr>
              <w:t>交付验收</w:t>
            </w:r>
            <w:r>
              <w:rPr>
                <w:rFonts w:ascii="仿宋_GB2312" w:hAnsi="仿宋_GB2312" w:cs="仿宋_GB2312" w:eastAsia="仿宋_GB2312"/>
                <w:sz w:val="19"/>
                <w:color w:val="000000"/>
              </w:rPr>
              <w:t>申请</w:t>
            </w:r>
            <w:r>
              <w:rPr>
                <w:rFonts w:ascii="仿宋_GB2312" w:hAnsi="仿宋_GB2312" w:cs="仿宋_GB2312" w:eastAsia="仿宋_GB2312"/>
                <w:sz w:val="19"/>
                <w:color w:val="000000"/>
              </w:rPr>
              <w:t>及相关验收材料，包括项目建设总结报告、系统测试</w:t>
            </w:r>
            <w:r>
              <w:rPr>
                <w:rFonts w:ascii="仿宋_GB2312" w:hAnsi="仿宋_GB2312" w:cs="仿宋_GB2312" w:eastAsia="仿宋_GB2312"/>
                <w:sz w:val="19"/>
                <w:color w:val="000000"/>
              </w:rPr>
              <w:t>报告、试运行方案等。</w:t>
            </w:r>
          </w:p>
          <w:p>
            <w:pPr>
              <w:pStyle w:val="null3"/>
              <w:ind w:left="30" w:right="240" w:firstLine="477"/>
              <w:jc w:val="left"/>
            </w:pPr>
            <w:r>
              <w:rPr>
                <w:rFonts w:ascii="仿宋_GB2312" w:hAnsi="仿宋_GB2312" w:cs="仿宋_GB2312" w:eastAsia="仿宋_GB2312"/>
                <w:sz w:val="19"/>
                <w:color w:val="000000"/>
              </w:rPr>
              <w:t>材料审核：</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收到申请后，组织监理单位</w:t>
            </w:r>
            <w:r>
              <w:rPr>
                <w:rFonts w:ascii="仿宋_GB2312" w:hAnsi="仿宋_GB2312" w:cs="仿宋_GB2312" w:eastAsia="仿宋_GB2312"/>
                <w:sz w:val="19"/>
                <w:color w:val="000000"/>
              </w:rPr>
              <w:t>、专家对验收材料进行审核，检查材料完整性、准确性及与合同约定的符合性。</w:t>
            </w:r>
          </w:p>
          <w:p>
            <w:pPr>
              <w:pStyle w:val="null3"/>
              <w:ind w:left="30" w:right="240" w:firstLine="480"/>
              <w:jc w:val="left"/>
            </w:pPr>
            <w:r>
              <w:rPr>
                <w:rFonts w:ascii="仿宋_GB2312" w:hAnsi="仿宋_GB2312" w:cs="仿宋_GB2312" w:eastAsia="仿宋_GB2312"/>
                <w:sz w:val="19"/>
                <w:color w:val="000000"/>
              </w:rPr>
              <w:t>现场检查：组织参与方到项目现场，对系统</w:t>
            </w:r>
            <w:r>
              <w:rPr>
                <w:rFonts w:ascii="仿宋_GB2312" w:hAnsi="仿宋_GB2312" w:cs="仿宋_GB2312" w:eastAsia="仿宋_GB2312"/>
                <w:sz w:val="19"/>
                <w:color w:val="000000"/>
              </w:rPr>
              <w:t>进行实地查看，检查系统功能演示、操作流程等是否符合要求，核实系统部署情况。</w:t>
            </w:r>
          </w:p>
          <w:p>
            <w:pPr>
              <w:pStyle w:val="null3"/>
              <w:ind w:left="30" w:right="240" w:firstLine="479"/>
              <w:jc w:val="both"/>
            </w:pPr>
            <w:r>
              <w:rPr>
                <w:rFonts w:ascii="仿宋_GB2312" w:hAnsi="仿宋_GB2312" w:cs="仿宋_GB2312" w:eastAsia="仿宋_GB2312"/>
                <w:sz w:val="19"/>
                <w:color w:val="000000"/>
              </w:rPr>
              <w:t>会议评审：召开</w:t>
            </w:r>
            <w:r>
              <w:rPr>
                <w:rFonts w:ascii="仿宋_GB2312" w:hAnsi="仿宋_GB2312" w:cs="仿宋_GB2312" w:eastAsia="仿宋_GB2312"/>
                <w:sz w:val="19"/>
                <w:color w:val="000000"/>
              </w:rPr>
              <w:t>交付验收</w:t>
            </w:r>
            <w:r>
              <w:rPr>
                <w:rFonts w:ascii="仿宋_GB2312" w:hAnsi="仿宋_GB2312" w:cs="仿宋_GB2312" w:eastAsia="仿宋_GB2312"/>
                <w:sz w:val="19"/>
                <w:color w:val="000000"/>
              </w:rPr>
              <w:t>评审会议，</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汇报</w:t>
            </w:r>
            <w:r>
              <w:rPr>
                <w:rFonts w:ascii="仿宋_GB2312" w:hAnsi="仿宋_GB2312" w:cs="仿宋_GB2312" w:eastAsia="仿宋_GB2312"/>
                <w:sz w:val="19"/>
                <w:color w:val="000000"/>
              </w:rPr>
              <w:t>项目建设情况，监理单</w:t>
            </w:r>
            <w:r>
              <w:rPr>
                <w:rFonts w:ascii="仿宋_GB2312" w:hAnsi="仿宋_GB2312" w:cs="仿宋_GB2312" w:eastAsia="仿宋_GB2312"/>
                <w:sz w:val="19"/>
                <w:color w:val="000000"/>
              </w:rPr>
              <w:t>位提交监理报告，专家发表专业意见，各方就项目建</w:t>
            </w:r>
            <w:r>
              <w:rPr>
                <w:rFonts w:ascii="仿宋_GB2312" w:hAnsi="仿宋_GB2312" w:cs="仿宋_GB2312" w:eastAsia="仿宋_GB2312"/>
                <w:sz w:val="19"/>
                <w:color w:val="000000"/>
              </w:rPr>
              <w:t>设情况进行讨论和质询，</w:t>
            </w:r>
            <w:r>
              <w:rPr>
                <w:rFonts w:ascii="仿宋_GB2312" w:hAnsi="仿宋_GB2312" w:cs="仿宋_GB2312" w:eastAsia="仿宋_GB2312"/>
                <w:sz w:val="19"/>
                <w:color w:val="000000"/>
              </w:rPr>
              <w:t>形成</w:t>
            </w:r>
            <w:r>
              <w:rPr>
                <w:rFonts w:ascii="仿宋_GB2312" w:hAnsi="仿宋_GB2312" w:cs="仿宋_GB2312" w:eastAsia="仿宋_GB2312"/>
                <w:sz w:val="19"/>
                <w:color w:val="000000"/>
              </w:rPr>
              <w:t>交付验收</w:t>
            </w:r>
            <w:r>
              <w:rPr>
                <w:rFonts w:ascii="仿宋_GB2312" w:hAnsi="仿宋_GB2312" w:cs="仿宋_GB2312" w:eastAsia="仿宋_GB2312"/>
                <w:sz w:val="19"/>
                <w:color w:val="000000"/>
              </w:rPr>
              <w:t>意见。</w:t>
            </w:r>
          </w:p>
          <w:p>
            <w:pPr>
              <w:pStyle w:val="null3"/>
              <w:ind w:left="30" w:right="240" w:firstLine="482"/>
              <w:jc w:val="left"/>
            </w:pPr>
            <w:r>
              <w:rPr>
                <w:rFonts w:ascii="仿宋_GB2312" w:hAnsi="仿宋_GB2312" w:cs="仿宋_GB2312" w:eastAsia="仿宋_GB2312"/>
                <w:sz w:val="19"/>
                <w:color w:val="000000"/>
              </w:rPr>
              <w:t>意见反馈：</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向</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反馈</w:t>
            </w:r>
            <w:r>
              <w:rPr>
                <w:rFonts w:ascii="仿宋_GB2312" w:hAnsi="仿宋_GB2312" w:cs="仿宋_GB2312" w:eastAsia="仿宋_GB2312"/>
                <w:sz w:val="19"/>
                <w:color w:val="000000"/>
              </w:rPr>
              <w:t>交付验收</w:t>
            </w:r>
            <w:r>
              <w:rPr>
                <w:rFonts w:ascii="仿宋_GB2312" w:hAnsi="仿宋_GB2312" w:cs="仿宋_GB2312" w:eastAsia="仿宋_GB2312"/>
                <w:sz w:val="19"/>
                <w:color w:val="000000"/>
              </w:rPr>
              <w:t>意见，</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针对意见进行整改，整改完成后提交整改报告，</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进行复核。</w:t>
            </w:r>
          </w:p>
          <w:p>
            <w:pPr>
              <w:pStyle w:val="null3"/>
              <w:spacing w:before="75"/>
              <w:ind w:firstLine="360"/>
              <w:jc w:val="left"/>
            </w:pPr>
            <w:r>
              <w:rPr>
                <w:rFonts w:ascii="仿宋_GB2312" w:hAnsi="仿宋_GB2312" w:cs="仿宋_GB2312" w:eastAsia="仿宋_GB2312"/>
                <w:sz w:val="19"/>
                <w:color w:val="000000"/>
              </w:rPr>
              <w:t>6.1.4验收交付清单</w:t>
            </w:r>
          </w:p>
          <w:tbl>
            <w:tblPr>
              <w:tblBorders>
                <w:top w:val="none" w:color="000000" w:sz="4"/>
                <w:left w:val="none" w:color="000000" w:sz="4"/>
                <w:bottom w:val="none" w:color="000000" w:sz="4"/>
                <w:right w:val="none" w:color="000000" w:sz="4"/>
                <w:insideH w:val="none"/>
                <w:insideV w:val="none"/>
              </w:tblBorders>
            </w:tblPr>
            <w:tblGrid>
              <w:gridCol w:w="265"/>
              <w:gridCol w:w="727"/>
              <w:gridCol w:w="2194"/>
            </w:tblGrid>
            <w:tr>
              <w:tc>
                <w:tcPr>
                  <w:tcW w:type="dxa" w:w="2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jc w:val="both"/>
                  </w:pPr>
                  <w:r>
                    <w:rPr>
                      <w:rFonts w:ascii="仿宋_GB2312" w:hAnsi="仿宋_GB2312" w:cs="仿宋_GB2312" w:eastAsia="仿宋_GB2312"/>
                      <w:sz w:val="19"/>
                    </w:rPr>
                    <w:t>序号</w:t>
                  </w:r>
                </w:p>
              </w:tc>
              <w:tc>
                <w:tcPr>
                  <w:tcW w:type="dxa" w:w="7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jc w:val="center"/>
                  </w:pPr>
                  <w:r>
                    <w:rPr>
                      <w:rFonts w:ascii="仿宋_GB2312" w:hAnsi="仿宋_GB2312" w:cs="仿宋_GB2312" w:eastAsia="仿宋_GB2312"/>
                      <w:sz w:val="19"/>
                    </w:rPr>
                    <w:t>验收物名称</w:t>
                  </w:r>
                </w:p>
              </w:tc>
              <w:tc>
                <w:tcPr>
                  <w:tcW w:type="dxa" w:w="21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jc w:val="center"/>
                  </w:pPr>
                  <w:r>
                    <w:rPr>
                      <w:rFonts w:ascii="仿宋_GB2312" w:hAnsi="仿宋_GB2312" w:cs="仿宋_GB2312" w:eastAsia="仿宋_GB2312"/>
                      <w:sz w:val="19"/>
                    </w:rPr>
                    <w:t>内容</w:t>
                  </w:r>
                </w:p>
              </w:tc>
            </w:tr>
            <w:tr>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55"/>
                    <w:jc w:val="left"/>
                  </w:pPr>
                  <w:r>
                    <w:rPr>
                      <w:rFonts w:ascii="仿宋_GB2312" w:hAnsi="仿宋_GB2312" w:cs="仿宋_GB2312" w:eastAsia="仿宋_GB2312"/>
                      <w:sz w:val="19"/>
                      <w:color w:val="000000"/>
                    </w:rPr>
                    <w:t>1</w:t>
                  </w:r>
                </w:p>
              </w:tc>
              <w:tc>
                <w:tcPr>
                  <w:tcW w:type="dxa" w:w="7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pPr>
                  <w:r>
                    <w:rPr>
                      <w:rFonts w:ascii="仿宋_GB2312" w:hAnsi="仿宋_GB2312" w:cs="仿宋_GB2312" w:eastAsia="仿宋_GB2312"/>
                      <w:sz w:val="19"/>
                    </w:rPr>
                    <w:t>系统测试报告</w:t>
                  </w:r>
                </w:p>
              </w:tc>
              <w:tc>
                <w:tcPr>
                  <w:tcW w:type="dxa" w:w="2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80"/>
                  </w:pPr>
                  <w:r>
                    <w:rPr>
                      <w:rFonts w:ascii="仿宋_GB2312" w:hAnsi="仿宋_GB2312" w:cs="仿宋_GB2312" w:eastAsia="仿宋_GB2312"/>
                      <w:sz w:val="19"/>
                    </w:rPr>
                    <w:t>包含功能测试、性能测试、安全测试等各类测试的结果及</w:t>
                  </w:r>
                  <w:r>
                    <w:rPr>
                      <w:rFonts w:ascii="仿宋_GB2312" w:hAnsi="仿宋_GB2312" w:cs="仿宋_GB2312" w:eastAsia="仿宋_GB2312"/>
                      <w:sz w:val="19"/>
                    </w:rPr>
                    <w:t>分析。</w:t>
                  </w:r>
                </w:p>
              </w:tc>
            </w:tr>
            <w:tr>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55"/>
                    <w:jc w:val="left"/>
                  </w:pPr>
                  <w:r>
                    <w:rPr>
                      <w:rFonts w:ascii="仿宋_GB2312" w:hAnsi="仿宋_GB2312" w:cs="仿宋_GB2312" w:eastAsia="仿宋_GB2312"/>
                      <w:sz w:val="19"/>
                      <w:color w:val="000000"/>
                    </w:rPr>
                    <w:t>2</w:t>
                  </w:r>
                </w:p>
              </w:tc>
              <w:tc>
                <w:tcPr>
                  <w:tcW w:type="dxa" w:w="7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pPr>
                  <w:r>
                    <w:rPr>
                      <w:rFonts w:ascii="仿宋_GB2312" w:hAnsi="仿宋_GB2312" w:cs="仿宋_GB2312" w:eastAsia="仿宋_GB2312"/>
                      <w:sz w:val="19"/>
                    </w:rPr>
                    <w:t>第三方测评报告</w:t>
                  </w:r>
                </w:p>
              </w:tc>
              <w:tc>
                <w:tcPr>
                  <w:tcW w:type="dxa" w:w="2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80"/>
                  </w:pPr>
                  <w:r>
                    <w:rPr>
                      <w:rFonts w:ascii="仿宋_GB2312" w:hAnsi="仿宋_GB2312" w:cs="仿宋_GB2312" w:eastAsia="仿宋_GB2312"/>
                      <w:sz w:val="19"/>
                    </w:rPr>
                    <w:t>包括功能和性能测评报告</w:t>
                  </w:r>
                </w:p>
              </w:tc>
            </w:tr>
            <w:tr>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jc w:val="left"/>
                  </w:pPr>
                  <w:r>
                    <w:rPr>
                      <w:rFonts w:ascii="仿宋_GB2312" w:hAnsi="仿宋_GB2312" w:cs="仿宋_GB2312" w:eastAsia="仿宋_GB2312"/>
                      <w:sz w:val="19"/>
                      <w:color w:val="000000"/>
                    </w:rPr>
                    <w:t>3</w:t>
                  </w:r>
                </w:p>
              </w:tc>
              <w:tc>
                <w:tcPr>
                  <w:tcW w:type="dxa" w:w="7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9"/>
                    </w:rPr>
                    <w:t>系统操作手册</w:t>
                  </w:r>
                </w:p>
              </w:tc>
              <w:tc>
                <w:tcPr>
                  <w:tcW w:type="dxa" w:w="2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9"/>
                    </w:rPr>
                    <w:t>提供系统各功能模块的操作指南，方便用户使用。</w:t>
                  </w:r>
                </w:p>
              </w:tc>
            </w:tr>
            <w:tr>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jc w:val="left"/>
                  </w:pPr>
                  <w:r>
                    <w:rPr>
                      <w:rFonts w:ascii="仿宋_GB2312" w:hAnsi="仿宋_GB2312" w:cs="仿宋_GB2312" w:eastAsia="仿宋_GB2312"/>
                      <w:sz w:val="19"/>
                      <w:color w:val="000000"/>
                    </w:rPr>
                    <w:t>4</w:t>
                  </w:r>
                </w:p>
              </w:tc>
              <w:tc>
                <w:tcPr>
                  <w:tcW w:type="dxa" w:w="7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9"/>
                    </w:rPr>
                    <w:t>合同执行情况报告</w:t>
                  </w:r>
                </w:p>
              </w:tc>
              <w:tc>
                <w:tcPr>
                  <w:tcW w:type="dxa" w:w="2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240"/>
                    <w:jc w:val="both"/>
                  </w:pPr>
                  <w:r>
                    <w:rPr>
                      <w:rFonts w:ascii="仿宋_GB2312" w:hAnsi="仿宋_GB2312" w:cs="仿宋_GB2312" w:eastAsia="仿宋_GB2312"/>
                      <w:sz w:val="19"/>
                      <w:color w:val="000000"/>
                    </w:rPr>
                    <w:t>说明项目建设过程中合同条款的履行情况，包括建设内容、进度、资金使用等。</w:t>
                  </w:r>
                </w:p>
              </w:tc>
            </w:tr>
          </w:tbl>
          <w:p>
            <w:pPr>
              <w:pStyle w:val="null3"/>
              <w:spacing w:before="75"/>
              <w:ind w:firstLine="360"/>
              <w:jc w:val="left"/>
            </w:pPr>
            <w:r>
              <w:rPr>
                <w:rFonts w:ascii="仿宋_GB2312" w:hAnsi="仿宋_GB2312" w:cs="仿宋_GB2312" w:eastAsia="仿宋_GB2312"/>
                <w:sz w:val="19"/>
                <w:color w:val="000000"/>
              </w:rPr>
              <w:t>6.2最终验收</w:t>
            </w:r>
          </w:p>
          <w:p>
            <w:pPr>
              <w:pStyle w:val="null3"/>
              <w:spacing w:before="75"/>
              <w:ind w:firstLine="360"/>
              <w:jc w:val="left"/>
            </w:pPr>
            <w:r>
              <w:rPr>
                <w:rFonts w:ascii="仿宋_GB2312" w:hAnsi="仿宋_GB2312" w:cs="仿宋_GB2312" w:eastAsia="仿宋_GB2312"/>
                <w:sz w:val="19"/>
                <w:color w:val="000000"/>
              </w:rPr>
              <w:t>6.2.1验收条件</w:t>
            </w:r>
          </w:p>
          <w:p>
            <w:pPr>
              <w:pStyle w:val="null3"/>
              <w:ind w:left="30" w:right="240" w:firstLine="479"/>
              <w:jc w:val="both"/>
            </w:pPr>
            <w:r>
              <w:rPr>
                <w:rFonts w:ascii="仿宋_GB2312" w:hAnsi="仿宋_GB2312" w:cs="仿宋_GB2312" w:eastAsia="仿宋_GB2312"/>
                <w:sz w:val="20"/>
                <w:color w:val="000000"/>
              </w:rPr>
              <w:t>完成调度指挥视</w:t>
            </w:r>
            <w:r>
              <w:rPr>
                <w:rFonts w:ascii="仿宋_GB2312" w:hAnsi="仿宋_GB2312" w:cs="仿宋_GB2312" w:eastAsia="仿宋_GB2312"/>
                <w:sz w:val="20"/>
                <w:color w:val="000000"/>
              </w:rPr>
              <w:t>频系统及视频网建设内容，确保系统功能完整、性能稳定、安全可靠。</w:t>
            </w:r>
          </w:p>
          <w:p>
            <w:pPr>
              <w:pStyle w:val="null3"/>
              <w:jc w:val="left"/>
            </w:pPr>
            <w:r>
              <w:rPr>
                <w:rFonts w:ascii="仿宋_GB2312" w:hAnsi="仿宋_GB2312" w:cs="仿宋_GB2312" w:eastAsia="仿宋_GB2312"/>
                <w:sz w:val="20"/>
                <w:color w:val="000000"/>
              </w:rPr>
              <w:t>通过第三方测评单位开展的功</w:t>
            </w:r>
            <w:r>
              <w:rPr>
                <w:rFonts w:ascii="仿宋_GB2312" w:hAnsi="仿宋_GB2312" w:cs="仿宋_GB2312" w:eastAsia="仿宋_GB2312"/>
                <w:sz w:val="20"/>
                <w:color w:val="000000"/>
              </w:rPr>
              <w:t>能和性能测评，</w:t>
            </w:r>
            <w:r>
              <w:rPr>
                <w:rFonts w:ascii="仿宋_GB2312" w:hAnsi="仿宋_GB2312" w:cs="仿宋_GB2312" w:eastAsia="仿宋_GB2312"/>
                <w:sz w:val="20"/>
                <w:color w:val="000000"/>
              </w:rPr>
              <w:t>通过网络安全等保三级测评和商用密码应用安全性评估。</w:t>
            </w:r>
            <w:r>
              <w:rPr>
                <w:rFonts w:ascii="仿宋_GB2312" w:hAnsi="仿宋_GB2312" w:cs="仿宋_GB2312" w:eastAsia="仿宋_GB2312"/>
                <w:sz w:val="20"/>
                <w:color w:val="000000"/>
              </w:rPr>
              <w:t>按照服务要求完成业务运营服务所有交付物。详见</w:t>
            </w:r>
            <w:r>
              <w:rPr>
                <w:rFonts w:ascii="仿宋_GB2312" w:hAnsi="仿宋_GB2312" w:cs="仿宋_GB2312" w:eastAsia="仿宋_GB2312"/>
                <w:sz w:val="20"/>
                <w:color w:val="000000"/>
              </w:rPr>
              <w:t>6.3交付物清单</w:t>
            </w:r>
            <w:r>
              <w:rPr>
                <w:rFonts w:ascii="仿宋_GB2312" w:hAnsi="仿宋_GB2312" w:cs="仿宋_GB2312" w:eastAsia="仿宋_GB2312"/>
                <w:sz w:val="20"/>
                <w:color w:val="000000"/>
              </w:rPr>
              <w:t>。</w:t>
            </w:r>
          </w:p>
          <w:p>
            <w:pPr>
              <w:pStyle w:val="null3"/>
              <w:spacing w:before="75"/>
              <w:ind w:firstLine="360"/>
              <w:jc w:val="left"/>
            </w:pPr>
            <w:r>
              <w:rPr>
                <w:rFonts w:ascii="仿宋_GB2312" w:hAnsi="仿宋_GB2312" w:cs="仿宋_GB2312" w:eastAsia="仿宋_GB2312"/>
                <w:sz w:val="19"/>
                <w:color w:val="000000"/>
              </w:rPr>
              <w:t>6.2.2参与方</w:t>
            </w:r>
          </w:p>
          <w:p>
            <w:pPr>
              <w:pStyle w:val="null3"/>
              <w:ind w:left="15" w:right="270" w:firstLine="484"/>
              <w:jc w:val="left"/>
            </w:pP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：组织最终验收工作，统筹协调各方，审核验收材料，确认验收结果。</w:t>
            </w:r>
          </w:p>
          <w:p>
            <w:pPr>
              <w:pStyle w:val="null3"/>
              <w:ind w:left="15" w:right="270" w:firstLine="484"/>
              <w:jc w:val="left"/>
            </w:pP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：提交最终验收申请，汇报项目建设成果、试运行情况及问题整改情况，配合验收工作。</w:t>
            </w:r>
          </w:p>
          <w:p>
            <w:pPr>
              <w:pStyle w:val="null3"/>
              <w:ind w:left="15" w:right="270" w:firstLine="484"/>
              <w:jc w:val="left"/>
            </w:pPr>
            <w:r>
              <w:rPr>
                <w:rFonts w:ascii="仿宋_GB2312" w:hAnsi="仿宋_GB2312" w:cs="仿宋_GB2312" w:eastAsia="仿宋_GB2312"/>
                <w:sz w:val="19"/>
                <w:color w:val="000000"/>
              </w:rPr>
              <w:t>监理单位</w:t>
            </w:r>
            <w:r>
              <w:rPr>
                <w:rFonts w:ascii="仿宋_GB2312" w:hAnsi="仿宋_GB2312" w:cs="仿宋_GB2312" w:eastAsia="仿宋_GB2312"/>
                <w:sz w:val="19"/>
                <w:color w:val="000000"/>
              </w:rPr>
              <w:t>（</w:t>
            </w:r>
            <w:r>
              <w:rPr>
                <w:rFonts w:ascii="仿宋_GB2312" w:hAnsi="仿宋_GB2312" w:cs="仿宋_GB2312" w:eastAsia="仿宋_GB2312"/>
                <w:sz w:val="19"/>
                <w:color w:val="000000"/>
              </w:rPr>
              <w:t>采购人另行确定</w:t>
            </w:r>
            <w:r>
              <w:rPr>
                <w:rFonts w:ascii="仿宋_GB2312" w:hAnsi="仿宋_GB2312" w:cs="仿宋_GB2312" w:eastAsia="仿宋_GB2312"/>
                <w:sz w:val="19"/>
                <w:color w:val="000000"/>
              </w:rPr>
              <w:t>）</w:t>
            </w:r>
            <w:r>
              <w:rPr>
                <w:rFonts w:ascii="仿宋_GB2312" w:hAnsi="仿宋_GB2312" w:cs="仿宋_GB2312" w:eastAsia="仿宋_GB2312"/>
                <w:sz w:val="19"/>
                <w:color w:val="000000"/>
              </w:rPr>
              <w:t>：提供监理工作总结报告，对项目全程监理情况进行汇报，协助</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开展验收。</w:t>
            </w:r>
          </w:p>
          <w:p>
            <w:pPr>
              <w:pStyle w:val="null3"/>
              <w:ind w:left="15" w:right="270" w:firstLine="484"/>
              <w:jc w:val="left"/>
            </w:pPr>
            <w:r>
              <w:rPr>
                <w:rFonts w:ascii="仿宋_GB2312" w:hAnsi="仿宋_GB2312" w:cs="仿宋_GB2312" w:eastAsia="仿宋_GB2312"/>
                <w:sz w:val="19"/>
                <w:color w:val="000000"/>
              </w:rPr>
              <w:t>第三方测评单位：提交功能和性能测评报告、安全风险评估报告、密码应用安全性评估报告，解释测评过程和结果。</w:t>
            </w:r>
          </w:p>
          <w:p>
            <w:pPr>
              <w:pStyle w:val="null3"/>
              <w:ind w:left="15" w:right="270" w:firstLine="484"/>
              <w:jc w:val="left"/>
            </w:pPr>
            <w:r>
              <w:rPr>
                <w:rFonts w:ascii="仿宋_GB2312" w:hAnsi="仿宋_GB2312" w:cs="仿宋_GB2312" w:eastAsia="仿宋_GB2312"/>
                <w:sz w:val="19"/>
                <w:color w:val="000000"/>
              </w:rPr>
              <w:t>专家：对项目技术、安全、性能等方面进行专业评估</w:t>
            </w:r>
            <w:r>
              <w:rPr>
                <w:rFonts w:ascii="仿宋_GB2312" w:hAnsi="仿宋_GB2312" w:cs="仿宋_GB2312" w:eastAsia="仿宋_GB2312"/>
                <w:sz w:val="19"/>
                <w:color w:val="000000"/>
              </w:rPr>
              <w:t>，</w:t>
            </w:r>
            <w:r>
              <w:rPr>
                <w:rFonts w:ascii="仿宋_GB2312" w:hAnsi="仿宋_GB2312" w:cs="仿宋_GB2312" w:eastAsia="仿宋_GB2312"/>
                <w:sz w:val="19"/>
                <w:color w:val="000000"/>
              </w:rPr>
              <w:t>提出验收意见。</w:t>
            </w:r>
          </w:p>
          <w:p>
            <w:pPr>
              <w:pStyle w:val="null3"/>
              <w:spacing w:before="75"/>
              <w:ind w:firstLine="360"/>
              <w:jc w:val="left"/>
            </w:pPr>
            <w:r>
              <w:rPr>
                <w:rFonts w:ascii="仿宋_GB2312" w:hAnsi="仿宋_GB2312" w:cs="仿宋_GB2312" w:eastAsia="仿宋_GB2312"/>
                <w:sz w:val="19"/>
                <w:color w:val="000000"/>
              </w:rPr>
              <w:t>6.2.3验收流程</w:t>
            </w:r>
          </w:p>
          <w:p>
            <w:pPr>
              <w:pStyle w:val="null3"/>
              <w:ind w:left="15" w:right="270" w:firstLine="484"/>
              <w:jc w:val="left"/>
            </w:pPr>
            <w:r>
              <w:rPr>
                <w:rFonts w:ascii="仿宋_GB2312" w:hAnsi="仿宋_GB2312" w:cs="仿宋_GB2312" w:eastAsia="仿宋_GB2312"/>
                <w:sz w:val="19"/>
                <w:color w:val="000000"/>
              </w:rPr>
              <w:t>申请提交：</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在满足验收条件后，向</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提交最终验收申请及相关材料，包括第三方测评报告、安全风险评估报告、试运行报告、整改报告、服务交付物等。</w:t>
            </w:r>
          </w:p>
          <w:p>
            <w:pPr>
              <w:pStyle w:val="null3"/>
              <w:ind w:left="15" w:right="270" w:firstLine="484"/>
              <w:jc w:val="left"/>
            </w:pPr>
            <w:r>
              <w:rPr>
                <w:rFonts w:ascii="仿宋_GB2312" w:hAnsi="仿宋_GB2312" w:cs="仿宋_GB2312" w:eastAsia="仿宋_GB2312"/>
                <w:sz w:val="19"/>
                <w:color w:val="000000"/>
              </w:rPr>
              <w:t>材料预审：</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组织监理单位、第三方测评单位、专家对验收材料进行预审，确保材料齐全、合规。</w:t>
            </w:r>
          </w:p>
          <w:p>
            <w:pPr>
              <w:pStyle w:val="null3"/>
              <w:ind w:left="15" w:right="270" w:firstLine="484"/>
              <w:jc w:val="left"/>
            </w:pPr>
            <w:r>
              <w:rPr>
                <w:rFonts w:ascii="仿宋_GB2312" w:hAnsi="仿宋_GB2312" w:cs="仿宋_GB2312" w:eastAsia="仿宋_GB2312"/>
                <w:sz w:val="19"/>
                <w:color w:val="000000"/>
              </w:rPr>
              <w:t>现场核验：组织参与方到项目现场，对系统功能、性能、安全等方面进行再次核验，检查第三方测评报告中的问题是否整改到位。</w:t>
            </w:r>
          </w:p>
          <w:p>
            <w:pPr>
              <w:pStyle w:val="null3"/>
              <w:ind w:left="15" w:right="270" w:firstLine="484"/>
              <w:jc w:val="left"/>
            </w:pPr>
            <w:r>
              <w:rPr>
                <w:rFonts w:ascii="仿宋_GB2312" w:hAnsi="仿宋_GB2312" w:cs="仿宋_GB2312" w:eastAsia="仿宋_GB2312"/>
                <w:sz w:val="19"/>
                <w:color w:val="000000"/>
              </w:rPr>
              <w:t>会议评审：召开最终验收评审会议，</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汇报项目建设及试运行情况第三方测评单位汇报测评结果，监理单位发表监理意见，专家进行质询和评审，形成最终验收意见。</w:t>
            </w:r>
          </w:p>
          <w:p>
            <w:pPr>
              <w:pStyle w:val="null3"/>
              <w:ind w:left="15" w:right="270" w:firstLine="484"/>
              <w:jc w:val="left"/>
            </w:pPr>
            <w:r>
              <w:rPr>
                <w:rFonts w:ascii="仿宋_GB2312" w:hAnsi="仿宋_GB2312" w:cs="仿宋_GB2312" w:eastAsia="仿宋_GB2312"/>
                <w:sz w:val="19"/>
                <w:color w:val="000000"/>
              </w:rPr>
              <w:t>结果确认：</w:t>
            </w:r>
            <w:r>
              <w:rPr>
                <w:rFonts w:ascii="仿宋_GB2312" w:hAnsi="仿宋_GB2312" w:cs="仿宋_GB2312" w:eastAsia="仿宋_GB2312"/>
                <w:sz w:val="19"/>
                <w:color w:val="000000"/>
              </w:rPr>
              <w:t>采购人</w:t>
            </w:r>
            <w:r>
              <w:rPr>
                <w:rFonts w:ascii="仿宋_GB2312" w:hAnsi="仿宋_GB2312" w:cs="仿宋_GB2312" w:eastAsia="仿宋_GB2312"/>
                <w:sz w:val="19"/>
                <w:color w:val="000000"/>
              </w:rPr>
              <w:t>根据最终验收意见，确认项目是否通过验收。若通过，出具最终验收合格报告；若未通过，要求</w:t>
            </w:r>
            <w:r>
              <w:rPr>
                <w:rFonts w:ascii="仿宋_GB2312" w:hAnsi="仿宋_GB2312" w:cs="仿宋_GB2312" w:eastAsia="仿宋_GB2312"/>
                <w:sz w:val="19"/>
                <w:color w:val="000000"/>
              </w:rPr>
              <w:t>中标人</w:t>
            </w:r>
            <w:r>
              <w:rPr>
                <w:rFonts w:ascii="仿宋_GB2312" w:hAnsi="仿宋_GB2312" w:cs="仿宋_GB2312" w:eastAsia="仿宋_GB2312"/>
                <w:sz w:val="19"/>
                <w:color w:val="000000"/>
              </w:rPr>
              <w:t>限期整改，整改后重新申请验收。</w:t>
            </w:r>
          </w:p>
          <w:p>
            <w:pPr>
              <w:pStyle w:val="null3"/>
              <w:spacing w:before="75"/>
              <w:ind w:firstLine="360"/>
              <w:jc w:val="left"/>
            </w:pPr>
            <w:r>
              <w:rPr>
                <w:rFonts w:ascii="仿宋_GB2312" w:hAnsi="仿宋_GB2312" w:cs="仿宋_GB2312" w:eastAsia="仿宋_GB2312"/>
                <w:sz w:val="19"/>
                <w:color w:val="000000"/>
              </w:rPr>
              <w:t>6.2.4验收交付清单</w:t>
            </w:r>
          </w:p>
          <w:tbl>
            <w:tblPr>
              <w:tblBorders>
                <w:top w:val="none" w:color="000000" w:sz="4"/>
                <w:left w:val="none" w:color="000000" w:sz="4"/>
                <w:bottom w:val="none" w:color="000000" w:sz="4"/>
                <w:right w:val="none" w:color="000000" w:sz="4"/>
                <w:insideH w:val="none"/>
                <w:insideV w:val="none"/>
              </w:tblBorders>
            </w:tblPr>
            <w:tblGrid>
              <w:gridCol w:w="265"/>
              <w:gridCol w:w="727"/>
              <w:gridCol w:w="2194"/>
            </w:tblGrid>
            <w:tr>
              <w:tc>
                <w:tcPr>
                  <w:tcW w:type="dxa" w:w="2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jc w:val="both"/>
                  </w:pPr>
                  <w:r>
                    <w:rPr>
                      <w:rFonts w:ascii="仿宋_GB2312" w:hAnsi="仿宋_GB2312" w:cs="仿宋_GB2312" w:eastAsia="仿宋_GB2312"/>
                      <w:sz w:val="19"/>
                    </w:rPr>
                    <w:t>序号</w:t>
                  </w:r>
                </w:p>
              </w:tc>
              <w:tc>
                <w:tcPr>
                  <w:tcW w:type="dxa" w:w="7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jc w:val="center"/>
                  </w:pPr>
                  <w:r>
                    <w:rPr>
                      <w:rFonts w:ascii="仿宋_GB2312" w:hAnsi="仿宋_GB2312" w:cs="仿宋_GB2312" w:eastAsia="仿宋_GB2312"/>
                      <w:sz w:val="19"/>
                    </w:rPr>
                    <w:t>验收物名称</w:t>
                  </w:r>
                </w:p>
              </w:tc>
              <w:tc>
                <w:tcPr>
                  <w:tcW w:type="dxa" w:w="21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jc w:val="center"/>
                  </w:pPr>
                  <w:r>
                    <w:rPr>
                      <w:rFonts w:ascii="仿宋_GB2312" w:hAnsi="仿宋_GB2312" w:cs="仿宋_GB2312" w:eastAsia="仿宋_GB2312"/>
                      <w:sz w:val="19"/>
                    </w:rPr>
                    <w:t>内容</w:t>
                  </w:r>
                </w:p>
              </w:tc>
            </w:tr>
            <w:tr>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55"/>
                    <w:jc w:val="left"/>
                  </w:pPr>
                  <w:r>
                    <w:rPr>
                      <w:rFonts w:ascii="仿宋_GB2312" w:hAnsi="仿宋_GB2312" w:cs="仿宋_GB2312" w:eastAsia="仿宋_GB2312"/>
                      <w:sz w:val="19"/>
                      <w:color w:val="000000"/>
                    </w:rPr>
                    <w:t>1</w:t>
                  </w:r>
                </w:p>
              </w:tc>
              <w:tc>
                <w:tcPr>
                  <w:tcW w:type="dxa" w:w="7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pPr>
                  <w:r>
                    <w:rPr>
                      <w:rFonts w:ascii="仿宋_GB2312" w:hAnsi="仿宋_GB2312" w:cs="仿宋_GB2312" w:eastAsia="仿宋_GB2312"/>
                      <w:sz w:val="19"/>
                    </w:rPr>
                    <w:t>项目整改报告</w:t>
                  </w:r>
                </w:p>
              </w:tc>
              <w:tc>
                <w:tcPr>
                  <w:tcW w:type="dxa" w:w="2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270"/>
                    <w:jc w:val="left"/>
                  </w:pPr>
                  <w:r>
                    <w:rPr>
                      <w:rFonts w:ascii="仿宋_GB2312" w:hAnsi="仿宋_GB2312" w:cs="仿宋_GB2312" w:eastAsia="仿宋_GB2312"/>
                      <w:sz w:val="19"/>
                      <w:color w:val="000000"/>
                    </w:rPr>
                    <w:t>针对</w:t>
                  </w:r>
                  <w:r>
                    <w:rPr>
                      <w:rFonts w:ascii="仿宋_GB2312" w:hAnsi="仿宋_GB2312" w:cs="仿宋_GB2312" w:eastAsia="仿宋_GB2312"/>
                      <w:sz w:val="19"/>
                      <w:color w:val="000000"/>
                    </w:rPr>
                    <w:t>交付验收</w:t>
                  </w:r>
                  <w:r>
                    <w:rPr>
                      <w:rFonts w:ascii="仿宋_GB2312" w:hAnsi="仿宋_GB2312" w:cs="仿宋_GB2312" w:eastAsia="仿宋_GB2312"/>
                      <w:sz w:val="19"/>
                      <w:color w:val="000000"/>
                    </w:rPr>
                    <w:t>及试运行期间发现问题的整改情况说明</w:t>
                  </w:r>
                </w:p>
              </w:tc>
            </w:tr>
            <w:tr>
              <w:tc>
                <w:tcPr>
                  <w:tcW w:type="dxa" w:w="2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55"/>
                    <w:jc w:val="left"/>
                  </w:pPr>
                  <w:r>
                    <w:rPr>
                      <w:rFonts w:ascii="仿宋_GB2312" w:hAnsi="仿宋_GB2312" w:cs="仿宋_GB2312" w:eastAsia="仿宋_GB2312"/>
                      <w:sz w:val="19"/>
                      <w:color w:val="000000"/>
                    </w:rPr>
                    <w:t>2</w:t>
                  </w:r>
                </w:p>
              </w:tc>
              <w:tc>
                <w:tcPr>
                  <w:tcW w:type="dxa" w:w="7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0"/>
                  </w:pPr>
                  <w:r>
                    <w:rPr>
                      <w:rFonts w:ascii="仿宋_GB2312" w:hAnsi="仿宋_GB2312" w:cs="仿宋_GB2312" w:eastAsia="仿宋_GB2312"/>
                      <w:sz w:val="19"/>
                    </w:rPr>
                    <w:t>系统维护手册</w:t>
                  </w:r>
                </w:p>
              </w:tc>
              <w:tc>
                <w:tcPr>
                  <w:tcW w:type="dxa" w:w="2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270"/>
                    <w:jc w:val="left"/>
                  </w:pPr>
                  <w:r>
                    <w:rPr>
                      <w:rFonts w:ascii="仿宋_GB2312" w:hAnsi="仿宋_GB2312" w:cs="仿宋_GB2312" w:eastAsia="仿宋_GB2312"/>
                      <w:sz w:val="19"/>
                      <w:color w:val="000000"/>
                    </w:rPr>
                    <w:t>提供系统日常维护、故障排查、性能优化等方面的指导。</w:t>
                  </w:r>
                </w:p>
              </w:tc>
            </w:tr>
          </w:tbl>
          <w:p>
            <w:pPr>
              <w:pStyle w:val="null3"/>
              <w:ind w:left="15" w:right="270" w:firstLine="484"/>
              <w:jc w:val="left"/>
            </w:pPr>
            <w:r>
              <w:rPr>
                <w:rFonts w:ascii="仿宋_GB2312" w:hAnsi="仿宋_GB2312" w:cs="仿宋_GB2312" w:eastAsia="仿宋_GB2312"/>
                <w:sz w:val="19"/>
                <w:color w:val="000000"/>
              </w:rPr>
              <w:t>终验后将项目档案及时</w:t>
            </w:r>
            <w:r>
              <w:rPr>
                <w:rFonts w:ascii="仿宋_GB2312" w:hAnsi="仿宋_GB2312" w:cs="仿宋_GB2312" w:eastAsia="仿宋_GB2312"/>
                <w:sz w:val="19"/>
                <w:color w:val="000000"/>
              </w:rPr>
              <w:t>地</w:t>
            </w:r>
            <w:r>
              <w:rPr>
                <w:rFonts w:ascii="仿宋_GB2312" w:hAnsi="仿宋_GB2312" w:cs="仿宋_GB2312" w:eastAsia="仿宋_GB2312"/>
                <w:sz w:val="19"/>
                <w:color w:val="000000"/>
              </w:rPr>
              <w:t>移交机关档案室</w:t>
            </w:r>
            <w:r>
              <w:rPr>
                <w:rFonts w:ascii="仿宋_GB2312" w:hAnsi="仿宋_GB2312" w:cs="仿宋_GB2312" w:eastAsia="仿宋_GB2312"/>
                <w:sz w:val="19"/>
                <w:color w:val="000000"/>
              </w:rPr>
              <w:t>。</w:t>
            </w:r>
          </w:p>
          <w:p>
            <w:pPr>
              <w:pStyle w:val="null3"/>
              <w:ind w:left="15" w:right="270" w:firstLine="484"/>
              <w:jc w:val="left"/>
            </w:pPr>
            <w:r>
              <w:rPr>
                <w:rFonts w:ascii="仿宋_GB2312" w:hAnsi="仿宋_GB2312" w:cs="仿宋_GB2312" w:eastAsia="仿宋_GB2312"/>
                <w:sz w:val="19"/>
                <w:color w:val="000000"/>
              </w:rPr>
              <w:t>6.3交付物清单</w:t>
            </w:r>
          </w:p>
          <w:p>
            <w:pPr>
              <w:pStyle w:val="null3"/>
              <w:spacing w:before="75"/>
              <w:ind w:firstLine="376"/>
              <w:jc w:val="left"/>
            </w:pPr>
            <w:r>
              <w:rPr>
                <w:rFonts w:ascii="仿宋_GB2312" w:hAnsi="仿宋_GB2312" w:cs="仿宋_GB2312" w:eastAsia="仿宋_GB2312"/>
                <w:sz w:val="19"/>
                <w:color w:val="000000"/>
              </w:rPr>
              <w:t>本项目所包含的服务交付清单如下表所示：</w:t>
            </w:r>
          </w:p>
          <w:p>
            <w:pPr>
              <w:pStyle w:val="null3"/>
              <w:spacing w:before="210"/>
              <w:ind w:left="3270"/>
              <w:jc w:val="left"/>
            </w:pPr>
            <w:r>
              <w:rPr>
                <w:rFonts w:ascii="仿宋_GB2312" w:hAnsi="仿宋_GB2312" w:cs="仿宋_GB2312" w:eastAsia="仿宋_GB2312"/>
                <w:sz w:val="19"/>
                <w:b/>
                <w:color w:val="000000"/>
              </w:rPr>
              <w:t>交付物清单</w:t>
            </w:r>
          </w:p>
          <w:tbl>
            <w:tblPr>
              <w:tblBorders>
                <w:top w:val="none" w:color="000000" w:sz="4"/>
                <w:left w:val="none" w:color="000000" w:sz="4"/>
                <w:bottom w:val="none" w:color="000000" w:sz="4"/>
                <w:right w:val="none" w:color="000000" w:sz="4"/>
                <w:insideH w:val="none"/>
                <w:insideV w:val="none"/>
              </w:tblBorders>
            </w:tblPr>
            <w:tblGrid>
              <w:gridCol w:w="239"/>
              <w:gridCol w:w="707"/>
              <w:gridCol w:w="1398"/>
              <w:gridCol w:w="842"/>
            </w:tblGrid>
            <w:tr>
              <w:tc>
                <w:tcPr>
                  <w:tcW w:type="dxa" w:w="2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20"/>
                  </w:pPr>
                  <w:r>
                    <w:rPr>
                      <w:rFonts w:ascii="仿宋_GB2312" w:hAnsi="仿宋_GB2312" w:cs="仿宋_GB2312" w:eastAsia="仿宋_GB2312"/>
                      <w:sz w:val="19"/>
                    </w:rPr>
                    <w:t>序号</w:t>
                  </w:r>
                </w:p>
              </w:tc>
              <w:tc>
                <w:tcPr>
                  <w:tcW w:type="dxa" w:w="7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525"/>
                  </w:pPr>
                  <w:r>
                    <w:rPr>
                      <w:rFonts w:ascii="仿宋_GB2312" w:hAnsi="仿宋_GB2312" w:cs="仿宋_GB2312" w:eastAsia="仿宋_GB2312"/>
                      <w:sz w:val="19"/>
                    </w:rPr>
                    <w:t>服务名称</w:t>
                  </w:r>
                </w:p>
              </w:tc>
              <w:tc>
                <w:tcPr>
                  <w:tcW w:type="dxa" w:w="13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45"/>
                  </w:pPr>
                  <w:r>
                    <w:rPr>
                      <w:rFonts w:ascii="仿宋_GB2312" w:hAnsi="仿宋_GB2312" w:cs="仿宋_GB2312" w:eastAsia="仿宋_GB2312"/>
                      <w:sz w:val="19"/>
                    </w:rPr>
                    <w:t>服务内容</w:t>
                  </w:r>
                </w:p>
              </w:tc>
              <w:tc>
                <w:tcPr>
                  <w:tcW w:type="dxa" w:w="8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35"/>
                  </w:pPr>
                  <w:r>
                    <w:rPr>
                      <w:rFonts w:ascii="仿宋_GB2312" w:hAnsi="仿宋_GB2312" w:cs="仿宋_GB2312" w:eastAsia="仿宋_GB2312"/>
                      <w:sz w:val="19"/>
                    </w:rPr>
                    <w:t>交付物</w:t>
                  </w: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7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视频会议接入服务</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50" w:firstLine="1"/>
                    <w:jc w:val="both"/>
                  </w:pPr>
                  <w:r>
                    <w:rPr>
                      <w:rFonts w:ascii="仿宋_GB2312" w:hAnsi="仿宋_GB2312" w:cs="仿宋_GB2312" w:eastAsia="仿宋_GB2312"/>
                      <w:sz w:val="19"/>
                    </w:rPr>
                    <w:t>为省级</w:t>
                  </w:r>
                  <w:r>
                    <w:rPr>
                      <w:rFonts w:ascii="仿宋_GB2312" w:hAnsi="仿宋_GB2312" w:cs="仿宋_GB2312" w:eastAsia="仿宋_GB2312"/>
                    </w:rPr>
                    <w:t xml:space="preserve"> </w:t>
                  </w:r>
                  <w:r>
                    <w:rPr>
                      <w:rFonts w:ascii="仿宋_GB2312" w:hAnsi="仿宋_GB2312" w:cs="仿宋_GB2312" w:eastAsia="仿宋_GB2312"/>
                      <w:sz w:val="19"/>
                    </w:rPr>
                    <w:t>42 家单位提供调度指挥视频会议</w:t>
                  </w:r>
                  <w:r>
                    <w:rPr>
                      <w:rFonts w:ascii="仿宋_GB2312" w:hAnsi="仿宋_GB2312" w:cs="仿宋_GB2312" w:eastAsia="仿宋_GB2312"/>
                      <w:sz w:val="19"/>
                    </w:rPr>
                    <w:t>终端并联网接入调度指挥视频系统，保障调度指挥视频会议、视频调度等服务</w:t>
                  </w:r>
                  <w:r>
                    <w:rPr>
                      <w:rFonts w:ascii="仿宋_GB2312" w:hAnsi="仿宋_GB2312" w:cs="仿宋_GB2312" w:eastAsia="仿宋_GB2312"/>
                      <w:sz w:val="19"/>
                    </w:rPr>
                    <w:t>稳定运行。</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right="285" w:firstLine="5"/>
                    <w:jc w:val="both"/>
                  </w:pPr>
                  <w:r>
                    <w:rPr>
                      <w:rFonts w:ascii="仿宋_GB2312" w:hAnsi="仿宋_GB2312" w:cs="仿宋_GB2312" w:eastAsia="仿宋_GB2312"/>
                      <w:sz w:val="19"/>
                    </w:rPr>
                    <w:t>《视频会议设备运</w:t>
                  </w:r>
                  <w:r>
                    <w:rPr>
                      <w:rFonts w:ascii="仿宋_GB2312" w:hAnsi="仿宋_GB2312" w:cs="仿宋_GB2312" w:eastAsia="仿宋_GB2312"/>
                      <w:sz w:val="19"/>
                    </w:rPr>
                    <w:t>行月报》，每月</w:t>
                  </w:r>
                  <w:r>
                    <w:rPr>
                      <w:rFonts w:ascii="仿宋_GB2312" w:hAnsi="仿宋_GB2312" w:cs="仿宋_GB2312" w:eastAsia="仿宋_GB2312"/>
                    </w:rPr>
                    <w:t xml:space="preserve"> </w:t>
                  </w:r>
                  <w:r>
                    <w:rPr>
                      <w:rFonts w:ascii="仿宋_GB2312" w:hAnsi="仿宋_GB2312" w:cs="仿宋_GB2312" w:eastAsia="仿宋_GB2312"/>
                      <w:sz w:val="19"/>
                    </w:rPr>
                    <w:t>1</w:t>
                  </w:r>
                  <w:r>
                    <w:rPr>
                      <w:rFonts w:ascii="仿宋_GB2312" w:hAnsi="仿宋_GB2312" w:cs="仿宋_GB2312" w:eastAsia="仿宋_GB2312"/>
                      <w:sz w:val="19"/>
                    </w:rPr>
                    <w:t>份</w:t>
                  </w: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7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其他</w:t>
                  </w:r>
                  <w:r>
                    <w:rPr>
                      <w:rFonts w:ascii="仿宋_GB2312" w:hAnsi="仿宋_GB2312" w:cs="仿宋_GB2312" w:eastAsia="仿宋_GB2312"/>
                      <w:sz w:val="19"/>
                    </w:rPr>
                    <w:t>视频会议系统</w:t>
                  </w:r>
                  <w:r>
                    <w:rPr>
                      <w:rFonts w:ascii="仿宋_GB2312" w:hAnsi="仿宋_GB2312" w:cs="仿宋_GB2312" w:eastAsia="仿宋_GB2312"/>
                      <w:sz w:val="19"/>
                    </w:rPr>
                    <w:t>对接服务</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right="240"/>
                  </w:pPr>
                  <w:r>
                    <w:rPr>
                      <w:rFonts w:ascii="仿宋_GB2312" w:hAnsi="仿宋_GB2312" w:cs="仿宋_GB2312" w:eastAsia="仿宋_GB2312"/>
                      <w:sz w:val="19"/>
                    </w:rPr>
                    <w:t>通过系统化调研、方案定制、实施部署及联调测试等服务，将各单位现有的不同品牌（如华为、中兴）视频会议系</w:t>
                  </w:r>
                  <w:r>
                    <w:rPr>
                      <w:rFonts w:ascii="仿宋_GB2312" w:hAnsi="仿宋_GB2312" w:cs="仿宋_GB2312" w:eastAsia="仿宋_GB2312"/>
                      <w:sz w:val="19"/>
                    </w:rPr>
                    <w:t>统，全部对接到调度指挥视频系统上，</w:t>
                  </w:r>
                  <w:r>
                    <w:rPr>
                      <w:rFonts w:ascii="仿宋_GB2312" w:hAnsi="仿宋_GB2312" w:cs="仿宋_GB2312" w:eastAsia="仿宋_GB2312"/>
                      <w:sz w:val="19"/>
                    </w:rPr>
                    <w:t>本期预计对接</w:t>
                  </w:r>
                  <w:r>
                    <w:rPr>
                      <w:rFonts w:ascii="仿宋_GB2312" w:hAnsi="仿宋_GB2312" w:cs="仿宋_GB2312" w:eastAsia="仿宋_GB2312"/>
                    </w:rPr>
                    <w:t xml:space="preserve"> </w:t>
                  </w:r>
                  <w:r>
                    <w:rPr>
                      <w:rFonts w:ascii="仿宋_GB2312" w:hAnsi="仿宋_GB2312" w:cs="仿宋_GB2312" w:eastAsia="仿宋_GB2312"/>
                      <w:sz w:val="19"/>
                    </w:rPr>
                    <w:t>14 家单位视频会议系统。</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20" w:right="285"/>
                    <w:jc w:val="both"/>
                  </w:pPr>
                  <w:r>
                    <w:rPr>
                      <w:rFonts w:ascii="仿宋_GB2312" w:hAnsi="仿宋_GB2312" w:cs="仿宋_GB2312" w:eastAsia="仿宋_GB2312"/>
                      <w:sz w:val="19"/>
                    </w:rPr>
                    <w:t>《</w:t>
                  </w:r>
                  <w:r>
                    <w:rPr>
                      <w:rFonts w:ascii="仿宋_GB2312" w:hAnsi="仿宋_GB2312" w:cs="仿宋_GB2312" w:eastAsia="仿宋_GB2312"/>
                      <w:sz w:val="19"/>
                    </w:rPr>
                    <w:t>其他</w:t>
                  </w:r>
                  <w:r>
                    <w:rPr>
                      <w:rFonts w:ascii="仿宋_GB2312" w:hAnsi="仿宋_GB2312" w:cs="仿宋_GB2312" w:eastAsia="仿宋_GB2312"/>
                      <w:sz w:val="19"/>
                    </w:rPr>
                    <w:t>视频会议系统对接服务总结报</w:t>
                  </w:r>
                  <w:r>
                    <w:rPr>
                      <w:rFonts w:ascii="仿宋_GB2312" w:hAnsi="仿宋_GB2312" w:cs="仿宋_GB2312" w:eastAsia="仿宋_GB2312"/>
                      <w:sz w:val="19"/>
                    </w:rPr>
                    <w:t>告》，</w:t>
                  </w:r>
                  <w:r>
                    <w:rPr>
                      <w:rFonts w:ascii="仿宋_GB2312" w:hAnsi="仿宋_GB2312" w:cs="仿宋_GB2312" w:eastAsia="仿宋_GB2312"/>
                      <w:sz w:val="19"/>
                    </w:rPr>
                    <w:t>14 份</w:t>
                  </w: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7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105" w:firstLine="5"/>
                  </w:pPr>
                  <w:r>
                    <w:rPr>
                      <w:rFonts w:ascii="仿宋_GB2312" w:hAnsi="仿宋_GB2312" w:cs="仿宋_GB2312" w:eastAsia="仿宋_GB2312"/>
                      <w:sz w:val="19"/>
                    </w:rPr>
                    <w:t>与</w:t>
                  </w:r>
                  <w:r>
                    <w:rPr>
                      <w:rFonts w:ascii="仿宋_GB2312" w:hAnsi="仿宋_GB2312" w:cs="仿宋_GB2312" w:eastAsia="仿宋_GB2312"/>
                      <w:sz w:val="19"/>
                    </w:rPr>
                    <w:t>“秦政通</w:t>
                  </w:r>
                  <w:r>
                    <w:rPr>
                      <w:rFonts w:ascii="仿宋_GB2312" w:hAnsi="仿宋_GB2312" w:cs="仿宋_GB2312" w:eastAsia="仿宋_GB2312"/>
                    </w:rPr>
                    <w:t xml:space="preserve"> </w:t>
                  </w:r>
                  <w:r>
                    <w:rPr>
                      <w:rFonts w:ascii="仿宋_GB2312" w:hAnsi="仿宋_GB2312" w:cs="仿宋_GB2312" w:eastAsia="仿宋_GB2312"/>
                      <w:sz w:val="19"/>
                    </w:rPr>
                    <w:t>”视频</w:t>
                  </w:r>
                  <w:r>
                    <w:rPr>
                      <w:rFonts w:ascii="仿宋_GB2312" w:hAnsi="仿宋_GB2312" w:cs="仿宋_GB2312" w:eastAsia="仿宋_GB2312"/>
                      <w:sz w:val="19"/>
                    </w:rPr>
                    <w:t>会议模块对接服务</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40" w:firstLine="4"/>
                    <w:jc w:val="both"/>
                  </w:pPr>
                  <w:r>
                    <w:rPr>
                      <w:rFonts w:ascii="仿宋_GB2312" w:hAnsi="仿宋_GB2312" w:cs="仿宋_GB2312" w:eastAsia="仿宋_GB2312"/>
                      <w:sz w:val="19"/>
                    </w:rPr>
                    <w:t>与</w:t>
                  </w:r>
                  <w:r>
                    <w:rPr>
                      <w:rFonts w:ascii="仿宋_GB2312" w:hAnsi="仿宋_GB2312" w:cs="仿宋_GB2312" w:eastAsia="仿宋_GB2312"/>
                      <w:sz w:val="19"/>
                    </w:rPr>
                    <w:t>“秦政通</w:t>
                  </w:r>
                  <w:r>
                    <w:rPr>
                      <w:rFonts w:ascii="仿宋_GB2312" w:hAnsi="仿宋_GB2312" w:cs="仿宋_GB2312" w:eastAsia="仿宋_GB2312"/>
                    </w:rPr>
                    <w:t xml:space="preserve"> </w:t>
                  </w:r>
                  <w:r>
                    <w:rPr>
                      <w:rFonts w:ascii="仿宋_GB2312" w:hAnsi="仿宋_GB2312" w:cs="仿宋_GB2312" w:eastAsia="仿宋_GB2312"/>
                      <w:sz w:val="19"/>
                    </w:rPr>
                    <w:t>”视频会议模块打通，实现</w:t>
                  </w:r>
                  <w:r>
                    <w:rPr>
                      <w:rFonts w:ascii="仿宋_GB2312" w:hAnsi="仿宋_GB2312" w:cs="仿宋_GB2312" w:eastAsia="仿宋_GB2312"/>
                      <w:sz w:val="19"/>
                    </w:rPr>
                    <w:t>手机移动端也能随时随地的参会，极大</w:t>
                  </w:r>
                  <w:r>
                    <w:rPr>
                      <w:rFonts w:ascii="仿宋_GB2312" w:hAnsi="仿宋_GB2312" w:cs="仿宋_GB2312" w:eastAsia="仿宋_GB2312"/>
                      <w:sz w:val="19"/>
                    </w:rPr>
                    <w:t>提升便捷性。</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80" w:firstLine="5"/>
                    <w:jc w:val="both"/>
                  </w:pPr>
                  <w:r>
                    <w:rPr>
                      <w:rFonts w:ascii="仿宋_GB2312" w:hAnsi="仿宋_GB2312" w:cs="仿宋_GB2312" w:eastAsia="仿宋_GB2312"/>
                      <w:sz w:val="19"/>
                    </w:rPr>
                    <w:t>《</w:t>
                  </w:r>
                  <w:r>
                    <w:rPr>
                      <w:rFonts w:ascii="仿宋_GB2312" w:hAnsi="仿宋_GB2312" w:cs="仿宋_GB2312" w:eastAsia="仿宋_GB2312"/>
                    </w:rPr>
                    <w:t xml:space="preserve"> </w:t>
                  </w:r>
                  <w:r>
                    <w:rPr>
                      <w:rFonts w:ascii="仿宋_GB2312" w:hAnsi="仿宋_GB2312" w:cs="仿宋_GB2312" w:eastAsia="仿宋_GB2312"/>
                      <w:sz w:val="19"/>
                    </w:rPr>
                    <w:t>“秦政通</w:t>
                  </w:r>
                  <w:r>
                    <w:rPr>
                      <w:rFonts w:ascii="仿宋_GB2312" w:hAnsi="仿宋_GB2312" w:cs="仿宋_GB2312" w:eastAsia="仿宋_GB2312"/>
                    </w:rPr>
                    <w:t xml:space="preserve"> </w:t>
                  </w:r>
                  <w:r>
                    <w:rPr>
                      <w:rFonts w:ascii="仿宋_GB2312" w:hAnsi="仿宋_GB2312" w:cs="仿宋_GB2312" w:eastAsia="仿宋_GB2312"/>
                      <w:sz w:val="19"/>
                    </w:rPr>
                    <w:t>”对接</w:t>
                  </w:r>
                  <w:r>
                    <w:rPr>
                      <w:rFonts w:ascii="仿宋_GB2312" w:hAnsi="仿宋_GB2312" w:cs="仿宋_GB2312" w:eastAsia="仿宋_GB2312"/>
                      <w:sz w:val="19"/>
                    </w:rPr>
                    <w:t>服务总结报告》，</w:t>
                  </w:r>
                  <w:r>
                    <w:rPr>
                      <w:rFonts w:ascii="仿宋_GB2312" w:hAnsi="仿宋_GB2312" w:cs="仿宋_GB2312" w:eastAsia="仿宋_GB2312"/>
                      <w:sz w:val="19"/>
                    </w:rPr>
                    <w:t>1</w:t>
                  </w:r>
                  <w:r>
                    <w:rPr>
                      <w:rFonts w:ascii="仿宋_GB2312" w:hAnsi="仿宋_GB2312" w:cs="仿宋_GB2312" w:eastAsia="仿宋_GB2312"/>
                      <w:sz w:val="19"/>
                    </w:rPr>
                    <w:t>份</w:t>
                  </w: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7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视频网平台服务</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40"/>
                    <w:jc w:val="both"/>
                  </w:pPr>
                  <w:r>
                    <w:rPr>
                      <w:rFonts w:ascii="仿宋_GB2312" w:hAnsi="仿宋_GB2312" w:cs="仿宋_GB2312" w:eastAsia="仿宋_GB2312"/>
                      <w:sz w:val="19"/>
                    </w:rPr>
                    <w:t>提供各类核心网络设备与安全设备，通过全流程运维管理满足网络性能、安全防护及业务连续性要求，构建稳定、高效、安全的视频网络体系，保障设备稳</w:t>
                  </w:r>
                  <w:r>
                    <w:rPr>
                      <w:rFonts w:ascii="仿宋_GB2312" w:hAnsi="仿宋_GB2312" w:cs="仿宋_GB2312" w:eastAsia="仿宋_GB2312"/>
                      <w:sz w:val="19"/>
                    </w:rPr>
                    <w:t>定运行与视频业务高效开展。</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《视频网管理服务</w:t>
                  </w:r>
                  <w:r>
                    <w:rPr>
                      <w:rFonts w:ascii="仿宋_GB2312" w:hAnsi="仿宋_GB2312" w:cs="仿宋_GB2312" w:eastAsia="仿宋_GB2312"/>
                      <w:sz w:val="19"/>
                    </w:rPr>
                    <w:t>报告》，每月</w:t>
                  </w:r>
                  <w:r>
                    <w:rPr>
                      <w:rFonts w:ascii="仿宋_GB2312" w:hAnsi="仿宋_GB2312" w:cs="仿宋_GB2312" w:eastAsia="仿宋_GB2312"/>
                    </w:rPr>
                    <w:t xml:space="preserve"> </w:t>
                  </w:r>
                  <w:r>
                    <w:rPr>
                      <w:rFonts w:ascii="仿宋_GB2312" w:hAnsi="仿宋_GB2312" w:cs="仿宋_GB2312" w:eastAsia="仿宋_GB2312"/>
                      <w:sz w:val="19"/>
                    </w:rPr>
                    <w:t>1 份</w:t>
                  </w: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7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视频网接入服务</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40"/>
                    <w:jc w:val="both"/>
                  </w:pPr>
                  <w:r>
                    <w:rPr>
                      <w:rFonts w:ascii="仿宋_GB2312" w:hAnsi="仿宋_GB2312" w:cs="仿宋_GB2312" w:eastAsia="仿宋_GB2312"/>
                      <w:sz w:val="19"/>
                    </w:rPr>
                    <w:t>通过提供网络接入设备将各需求单位视频业务统一承载在政务视频网上，为服务范围内的用户群体提供稳定、高效的</w:t>
                  </w:r>
                  <w:r>
                    <w:rPr>
                      <w:rFonts w:ascii="仿宋_GB2312" w:hAnsi="仿宋_GB2312" w:cs="仿宋_GB2312" w:eastAsia="仿宋_GB2312"/>
                      <w:sz w:val="19"/>
                    </w:rPr>
                    <w:t>网络接入支撑服务。</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20" w:right="285" w:firstLine="7"/>
                  </w:pPr>
                  <w:r>
                    <w:rPr>
                      <w:rFonts w:ascii="仿宋_GB2312" w:hAnsi="仿宋_GB2312" w:cs="仿宋_GB2312" w:eastAsia="仿宋_GB2312"/>
                      <w:sz w:val="19"/>
                    </w:rPr>
                    <w:t>《视频网接入服务</w:t>
                  </w:r>
                  <w:r>
                    <w:rPr>
                      <w:rFonts w:ascii="仿宋_GB2312" w:hAnsi="仿宋_GB2312" w:cs="仿宋_GB2312" w:eastAsia="仿宋_GB2312"/>
                      <w:sz w:val="19"/>
                    </w:rPr>
                    <w:t>报告》，每月</w:t>
                  </w:r>
                  <w:r>
                    <w:rPr>
                      <w:rFonts w:ascii="仿宋_GB2312" w:hAnsi="仿宋_GB2312" w:cs="仿宋_GB2312" w:eastAsia="仿宋_GB2312"/>
                    </w:rPr>
                    <w:t xml:space="preserve"> </w:t>
                  </w:r>
                  <w:r>
                    <w:rPr>
                      <w:rFonts w:ascii="仿宋_GB2312" w:hAnsi="仿宋_GB2312" w:cs="仿宋_GB2312" w:eastAsia="仿宋_GB2312"/>
                      <w:sz w:val="19"/>
                    </w:rPr>
                    <w:t>1 份</w:t>
                  </w: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70"/>
                    <w:jc w:val="left"/>
                  </w:pPr>
                  <w:r>
                    <w:rPr>
                      <w:rFonts w:ascii="仿宋_GB2312" w:hAnsi="仿宋_GB2312" w:cs="仿宋_GB2312" w:eastAsia="仿宋_GB2312"/>
                      <w:sz w:val="19"/>
                      <w:color w:val="000000"/>
                    </w:rPr>
                    <w:t>6</w:t>
                  </w:r>
                </w:p>
              </w:tc>
              <w:tc>
                <w:tcPr>
                  <w:tcW w:type="dxa" w:w="7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10"/>
                  </w:pPr>
                  <w:r>
                    <w:rPr>
                      <w:rFonts w:ascii="仿宋_GB2312" w:hAnsi="仿宋_GB2312" w:cs="仿宋_GB2312" w:eastAsia="仿宋_GB2312"/>
                      <w:sz w:val="19"/>
                    </w:rPr>
                    <w:t>视频网链路服务</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35" w:right="225"/>
                  </w:pPr>
                  <w:r>
                    <w:rPr>
                      <w:rFonts w:ascii="仿宋_GB2312" w:hAnsi="仿宋_GB2312" w:cs="仿宋_GB2312" w:eastAsia="仿宋_GB2312"/>
                      <w:sz w:val="19"/>
                    </w:rPr>
                    <w:t>为视频网络提供</w:t>
                  </w:r>
                  <w:r>
                    <w:rPr>
                      <w:rFonts w:ascii="仿宋_GB2312" w:hAnsi="仿宋_GB2312" w:cs="仿宋_GB2312" w:eastAsia="仿宋_GB2312"/>
                    </w:rPr>
                    <w:t xml:space="preserve"> </w:t>
                  </w:r>
                  <w:r>
                    <w:rPr>
                      <w:rFonts w:ascii="仿宋_GB2312" w:hAnsi="仿宋_GB2312" w:cs="仿宋_GB2312" w:eastAsia="仿宋_GB2312"/>
                      <w:sz w:val="19"/>
                    </w:rPr>
                    <w:t>11 条</w:t>
                  </w:r>
                  <w:r>
                    <w:rPr>
                      <w:rFonts w:ascii="仿宋_GB2312" w:hAnsi="仿宋_GB2312" w:cs="仿宋_GB2312" w:eastAsia="仿宋_GB2312"/>
                    </w:rPr>
                    <w:t xml:space="preserve"> </w:t>
                  </w:r>
                  <w:r>
                    <w:rPr>
                      <w:rFonts w:ascii="仿宋_GB2312" w:hAnsi="仿宋_GB2312" w:cs="仿宋_GB2312" w:eastAsia="仿宋_GB2312"/>
                      <w:sz w:val="19"/>
                    </w:rPr>
                    <w:t>1G</w:t>
                  </w:r>
                  <w:r>
                    <w:rPr>
                      <w:rFonts w:ascii="仿宋_GB2312" w:hAnsi="仿宋_GB2312" w:cs="仿宋_GB2312" w:eastAsia="仿宋_GB2312"/>
                    </w:rPr>
                    <w:t xml:space="preserve"> </w:t>
                  </w:r>
                  <w:r>
                    <w:rPr>
                      <w:rFonts w:ascii="仿宋_GB2312" w:hAnsi="仿宋_GB2312" w:cs="仿宋_GB2312" w:eastAsia="仿宋_GB2312"/>
                      <w:sz w:val="19"/>
                    </w:rPr>
                    <w:t>、</w:t>
                  </w:r>
                  <w:r>
                    <w:rPr>
                      <w:rFonts w:ascii="仿宋_GB2312" w:hAnsi="仿宋_GB2312" w:cs="仿宋_GB2312" w:eastAsia="仿宋_GB2312"/>
                      <w:sz w:val="19"/>
                    </w:rPr>
                    <w:t>1 条</w:t>
                  </w:r>
                  <w:r>
                    <w:rPr>
                      <w:rFonts w:ascii="仿宋_GB2312" w:hAnsi="仿宋_GB2312" w:cs="仿宋_GB2312" w:eastAsia="仿宋_GB2312"/>
                    </w:rPr>
                    <w:t xml:space="preserve"> </w:t>
                  </w:r>
                  <w:r>
                    <w:rPr>
                      <w:rFonts w:ascii="仿宋_GB2312" w:hAnsi="仿宋_GB2312" w:cs="仿宋_GB2312" w:eastAsia="仿宋_GB2312"/>
                      <w:sz w:val="19"/>
                    </w:rPr>
                    <w:t>200M、</w:t>
                  </w:r>
                  <w:r>
                    <w:rPr>
                      <w:rFonts w:ascii="仿宋_GB2312" w:hAnsi="仿宋_GB2312" w:cs="仿宋_GB2312" w:eastAsia="仿宋_GB2312"/>
                    </w:rPr>
                    <w:t xml:space="preserve"> </w:t>
                  </w:r>
                  <w:r>
                    <w:rPr>
                      <w:rFonts w:ascii="仿宋_GB2312" w:hAnsi="仿宋_GB2312" w:cs="仿宋_GB2312" w:eastAsia="仿宋_GB2312"/>
                      <w:sz w:val="19"/>
                    </w:rPr>
                    <w:t>1 条</w:t>
                  </w:r>
                  <w:r>
                    <w:rPr>
                      <w:rFonts w:ascii="仿宋_GB2312" w:hAnsi="仿宋_GB2312" w:cs="仿宋_GB2312" w:eastAsia="仿宋_GB2312"/>
                    </w:rPr>
                    <w:t xml:space="preserve"> </w:t>
                  </w:r>
                  <w:r>
                    <w:rPr>
                      <w:rFonts w:ascii="仿宋_GB2312" w:hAnsi="仿宋_GB2312" w:cs="仿宋_GB2312" w:eastAsia="仿宋_GB2312"/>
                      <w:sz w:val="19"/>
                    </w:rPr>
                    <w:t>100M 和</w:t>
                  </w:r>
                  <w:r>
                    <w:rPr>
                      <w:rFonts w:ascii="仿宋_GB2312" w:hAnsi="仿宋_GB2312" w:cs="仿宋_GB2312" w:eastAsia="仿宋_GB2312"/>
                    </w:rPr>
                    <w:t xml:space="preserve"> </w:t>
                  </w:r>
                  <w:r>
                    <w:rPr>
                      <w:rFonts w:ascii="仿宋_GB2312" w:hAnsi="仿宋_GB2312" w:cs="仿宋_GB2312" w:eastAsia="仿宋_GB2312"/>
                      <w:sz w:val="19"/>
                    </w:rPr>
                    <w:t>43 条</w:t>
                  </w:r>
                  <w:r>
                    <w:rPr>
                      <w:rFonts w:ascii="仿宋_GB2312" w:hAnsi="仿宋_GB2312" w:cs="仿宋_GB2312" w:eastAsia="仿宋_GB2312"/>
                    </w:rPr>
                    <w:t xml:space="preserve"> </w:t>
                  </w:r>
                  <w:r>
                    <w:rPr>
                      <w:rFonts w:ascii="仿宋_GB2312" w:hAnsi="仿宋_GB2312" w:cs="仿宋_GB2312" w:eastAsia="仿宋_GB2312"/>
                      <w:sz w:val="19"/>
                    </w:rPr>
                    <w:t>20M 专线服务。</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85"/>
                  </w:pPr>
                  <w:r>
                    <w:rPr>
                      <w:rFonts w:ascii="仿宋_GB2312" w:hAnsi="仿宋_GB2312" w:cs="仿宋_GB2312" w:eastAsia="仿宋_GB2312"/>
                      <w:sz w:val="19"/>
                    </w:rPr>
                    <w:t>《视频网链路运行</w:t>
                  </w:r>
                  <w:r>
                    <w:rPr>
                      <w:rFonts w:ascii="仿宋_GB2312" w:hAnsi="仿宋_GB2312" w:cs="仿宋_GB2312" w:eastAsia="仿宋_GB2312"/>
                      <w:sz w:val="19"/>
                    </w:rPr>
                    <w:t>月报》，每月</w:t>
                  </w:r>
                  <w:r>
                    <w:rPr>
                      <w:rFonts w:ascii="仿宋_GB2312" w:hAnsi="仿宋_GB2312" w:cs="仿宋_GB2312" w:eastAsia="仿宋_GB2312"/>
                    </w:rPr>
                    <w:t xml:space="preserve"> </w:t>
                  </w:r>
                  <w:r>
                    <w:rPr>
                      <w:rFonts w:ascii="仿宋_GB2312" w:hAnsi="仿宋_GB2312" w:cs="仿宋_GB2312" w:eastAsia="仿宋_GB2312"/>
                      <w:sz w:val="19"/>
                    </w:rPr>
                    <w:t>1 份</w:t>
                  </w: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w:t>
                  </w:r>
                </w:p>
              </w:tc>
              <w:tc>
                <w:tcPr>
                  <w:tcW w:type="dxa" w:w="7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政务外网互通服务</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pPr>
                  <w:r>
                    <w:rPr>
                      <w:rFonts w:ascii="仿宋_GB2312" w:hAnsi="仿宋_GB2312" w:cs="仿宋_GB2312" w:eastAsia="仿宋_GB2312"/>
                      <w:sz w:val="19"/>
                    </w:rPr>
                    <w:t>通过深入调研两网架构，编制实施方</w:t>
                  </w:r>
                </w:p>
                <w:p>
                  <w:pPr>
                    <w:pStyle w:val="null3"/>
                    <w:spacing w:before="30"/>
                    <w:ind w:left="120" w:right="240" w:firstLine="1"/>
                  </w:pPr>
                  <w:r>
                    <w:rPr>
                      <w:rFonts w:ascii="仿宋_GB2312" w:hAnsi="仿宋_GB2312" w:cs="仿宋_GB2312" w:eastAsia="仿宋_GB2312"/>
                      <w:sz w:val="19"/>
                    </w:rPr>
                    <w:t>案，实现省级视频网与电子政务外网的城域核心设备连通，并通过设备互访测试（两网核心路由器、接入路由器的</w:t>
                  </w:r>
                </w:p>
                <w:p>
                  <w:pPr>
                    <w:pStyle w:val="null3"/>
                    <w:ind w:left="120" w:right="240"/>
                  </w:pPr>
                  <w:r>
                    <w:rPr>
                      <w:rFonts w:ascii="仿宋_GB2312" w:hAnsi="仿宋_GB2312" w:cs="仿宋_GB2312" w:eastAsia="仿宋_GB2312"/>
                      <w:sz w:val="19"/>
                    </w:rPr>
                    <w:t>ICMP</w:t>
                  </w:r>
                  <w:r>
                    <w:rPr>
                      <w:rFonts w:ascii="仿宋_GB2312" w:hAnsi="仿宋_GB2312" w:cs="仿宋_GB2312" w:eastAsia="仿宋_GB2312"/>
                      <w:sz w:val="19"/>
                    </w:rPr>
                    <w:t xml:space="preserve"> </w:t>
                  </w:r>
                  <w:r>
                    <w:rPr>
                      <w:rFonts w:ascii="仿宋_GB2312" w:hAnsi="仿宋_GB2312" w:cs="仿宋_GB2312" w:eastAsia="仿宋_GB2312"/>
                      <w:sz w:val="19"/>
                    </w:rPr>
                    <w:t>连通性、端口可达性）和业务流</w:t>
                  </w:r>
                  <w:r>
                    <w:rPr>
                      <w:rFonts w:ascii="仿宋_GB2312" w:hAnsi="仿宋_GB2312" w:cs="仿宋_GB2312" w:eastAsia="仿宋_GB2312"/>
                      <w:sz w:val="19"/>
                    </w:rPr>
                    <w:t>测试，使视频网与政务外网内设备可相互访问，满足网络资源共享与业务协同</w:t>
                  </w:r>
                  <w:r>
                    <w:rPr>
                      <w:rFonts w:ascii="仿宋_GB2312" w:hAnsi="仿宋_GB2312" w:cs="仿宋_GB2312" w:eastAsia="仿宋_GB2312"/>
                      <w:sz w:val="19"/>
                    </w:rPr>
                    <w:t>的需求。</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85" w:firstLine="3"/>
                    <w:jc w:val="both"/>
                  </w:pPr>
                  <w:r>
                    <w:rPr>
                      <w:rFonts w:ascii="仿宋_GB2312" w:hAnsi="仿宋_GB2312" w:cs="仿宋_GB2312" w:eastAsia="仿宋_GB2312"/>
                      <w:sz w:val="19"/>
                    </w:rPr>
                    <w:t>《视频网与政务外网互联互通实施方</w:t>
                  </w:r>
                  <w:r>
                    <w:rPr>
                      <w:rFonts w:ascii="仿宋_GB2312" w:hAnsi="仿宋_GB2312" w:cs="仿宋_GB2312" w:eastAsia="仿宋_GB2312"/>
                      <w:sz w:val="19"/>
                    </w:rPr>
                    <w:t>案》，</w:t>
                  </w:r>
                  <w:r>
                    <w:rPr>
                      <w:rFonts w:ascii="仿宋_GB2312" w:hAnsi="仿宋_GB2312" w:cs="仿宋_GB2312" w:eastAsia="仿宋_GB2312"/>
                      <w:sz w:val="19"/>
                    </w:rPr>
                    <w:t>1份；</w:t>
                  </w:r>
                </w:p>
                <w:p>
                  <w:pPr>
                    <w:pStyle w:val="null3"/>
                    <w:ind w:left="120" w:right="285" w:firstLine="3"/>
                    <w:jc w:val="both"/>
                  </w:pPr>
                  <w:r>
                    <w:rPr>
                      <w:rFonts w:ascii="仿宋_GB2312" w:hAnsi="仿宋_GB2312" w:cs="仿宋_GB2312" w:eastAsia="仿宋_GB2312"/>
                      <w:sz w:val="19"/>
                    </w:rPr>
                    <w:t>《视频网与政务外网互联互通测试方</w:t>
                  </w:r>
                  <w:r>
                    <w:rPr>
                      <w:rFonts w:ascii="仿宋_GB2312" w:hAnsi="仿宋_GB2312" w:cs="仿宋_GB2312" w:eastAsia="仿宋_GB2312"/>
                      <w:sz w:val="19"/>
                    </w:rPr>
                    <w:t>案》；</w:t>
                  </w:r>
                  <w:r>
                    <w:rPr>
                      <w:rFonts w:ascii="仿宋_GB2312" w:hAnsi="仿宋_GB2312" w:cs="仿宋_GB2312" w:eastAsia="仿宋_GB2312"/>
                      <w:sz w:val="19"/>
                    </w:rPr>
                    <w:t>1份；</w:t>
                  </w:r>
                </w:p>
                <w:p>
                  <w:pPr>
                    <w:pStyle w:val="null3"/>
                    <w:ind w:left="120" w:right="285"/>
                    <w:jc w:val="both"/>
                  </w:pPr>
                  <w:r>
                    <w:rPr>
                      <w:rFonts w:ascii="仿宋_GB2312" w:hAnsi="仿宋_GB2312" w:cs="仿宋_GB2312" w:eastAsia="仿宋_GB2312"/>
                      <w:sz w:val="19"/>
                    </w:rPr>
                    <w:t>《视频网与政务外网互联互通服务总</w:t>
                  </w:r>
                  <w:r>
                    <w:rPr>
                      <w:rFonts w:ascii="仿宋_GB2312" w:hAnsi="仿宋_GB2312" w:cs="仿宋_GB2312" w:eastAsia="仿宋_GB2312"/>
                      <w:sz w:val="19"/>
                    </w:rPr>
                    <w:t>结报告》；</w:t>
                  </w:r>
                  <w:r>
                    <w:rPr>
                      <w:rFonts w:ascii="仿宋_GB2312" w:hAnsi="仿宋_GB2312" w:cs="仿宋_GB2312" w:eastAsia="仿宋_GB2312"/>
                      <w:sz w:val="19"/>
                    </w:rPr>
                    <w:t>1 份。</w:t>
                  </w: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8</w:t>
                  </w:r>
                </w:p>
              </w:tc>
              <w:tc>
                <w:tcPr>
                  <w:tcW w:type="dxa" w:w="7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重保服务</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20"/>
                  </w:pPr>
                  <w:r>
                    <w:rPr>
                      <w:rFonts w:ascii="仿宋_GB2312" w:hAnsi="仿宋_GB2312" w:cs="仿宋_GB2312" w:eastAsia="仿宋_GB2312"/>
                      <w:sz w:val="19"/>
                    </w:rPr>
                    <w:t>为调度指挥视频系统及视频网提供事前、事中和事后全过程保障服务，保障重点场景下调度指挥视频系统及视频网稳定安全运行。重保场景包括：全国两会、省级两会、节假日（国庆、春节和</w:t>
                  </w:r>
                  <w:r>
                    <w:rPr>
                      <w:rFonts w:ascii="仿宋_GB2312" w:hAnsi="仿宋_GB2312" w:cs="仿宋_GB2312" w:eastAsia="仿宋_GB2312"/>
                      <w:sz w:val="19"/>
                    </w:rPr>
                    <w:t>五一）等。</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85" w:firstLine="3"/>
                    <w:jc w:val="both"/>
                  </w:pPr>
                  <w:r>
                    <w:rPr>
                      <w:rFonts w:ascii="仿宋_GB2312" w:hAnsi="仿宋_GB2312" w:cs="仿宋_GB2312" w:eastAsia="仿宋_GB2312"/>
                      <w:sz w:val="19"/>
                    </w:rPr>
                    <w:t>《调度指挥视频系统及视频网重保服务总结报告》，每</w:t>
                  </w:r>
                  <w:r>
                    <w:rPr>
                      <w:rFonts w:ascii="仿宋_GB2312" w:hAnsi="仿宋_GB2312" w:cs="仿宋_GB2312" w:eastAsia="仿宋_GB2312"/>
                      <w:sz w:val="19"/>
                    </w:rPr>
                    <w:t>次</w:t>
                  </w:r>
                  <w:r>
                    <w:rPr>
                      <w:rFonts w:ascii="仿宋_GB2312" w:hAnsi="仿宋_GB2312" w:cs="仿宋_GB2312" w:eastAsia="仿宋_GB2312"/>
                    </w:rPr>
                    <w:t xml:space="preserve"> </w:t>
                  </w:r>
                  <w:r>
                    <w:rPr>
                      <w:rFonts w:ascii="仿宋_GB2312" w:hAnsi="仿宋_GB2312" w:cs="仿宋_GB2312" w:eastAsia="仿宋_GB2312"/>
                      <w:sz w:val="19"/>
                    </w:rPr>
                    <w:t>1 份；</w:t>
                  </w:r>
                </w:p>
                <w:p>
                  <w:pPr>
                    <w:pStyle w:val="null3"/>
                    <w:ind w:left="120" w:right="285" w:firstLine="5"/>
                    <w:jc w:val="both"/>
                  </w:pPr>
                  <w:r>
                    <w:rPr>
                      <w:rFonts w:ascii="仿宋_GB2312" w:hAnsi="仿宋_GB2312" w:cs="仿宋_GB2312" w:eastAsia="仿宋_GB2312"/>
                      <w:sz w:val="19"/>
                    </w:rPr>
                    <w:t>《调度指挥视频系统及视频网重保工</w:t>
                  </w:r>
                  <w:r>
                    <w:rPr>
                      <w:rFonts w:ascii="仿宋_GB2312" w:hAnsi="仿宋_GB2312" w:cs="仿宋_GB2312" w:eastAsia="仿宋_GB2312"/>
                      <w:sz w:val="19"/>
                    </w:rPr>
                    <w:t>作方案》，每次</w:t>
                  </w:r>
                  <w:r>
                    <w:rPr>
                      <w:rFonts w:ascii="仿宋_GB2312" w:hAnsi="仿宋_GB2312" w:cs="仿宋_GB2312" w:eastAsia="仿宋_GB2312"/>
                    </w:rPr>
                    <w:t xml:space="preserve"> </w:t>
                  </w:r>
                  <w:r>
                    <w:rPr>
                      <w:rFonts w:ascii="仿宋_GB2312" w:hAnsi="仿宋_GB2312" w:cs="仿宋_GB2312" w:eastAsia="仿宋_GB2312"/>
                      <w:sz w:val="19"/>
                    </w:rPr>
                    <w:t>1</w:t>
                  </w:r>
                  <w:r>
                    <w:rPr>
                      <w:rFonts w:ascii="仿宋_GB2312" w:hAnsi="仿宋_GB2312" w:cs="仿宋_GB2312" w:eastAsia="仿宋_GB2312"/>
                      <w:sz w:val="19"/>
                    </w:rPr>
                    <w:t>份</w:t>
                  </w: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w:t>
                  </w:r>
                </w:p>
              </w:tc>
              <w:tc>
                <w:tcPr>
                  <w:tcW w:type="dxa" w:w="7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服务台服务</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240" w:firstLine="8"/>
                  </w:pPr>
                  <w:r>
                    <w:rPr>
                      <w:rFonts w:ascii="仿宋_GB2312" w:hAnsi="仿宋_GB2312" w:cs="仿宋_GB2312" w:eastAsia="仿宋_GB2312"/>
                      <w:sz w:val="19"/>
                    </w:rPr>
                    <w:t>负责制定和完善服务台管理流程，监督</w:t>
                  </w:r>
                  <w:r>
                    <w:rPr>
                      <w:rFonts w:ascii="仿宋_GB2312" w:hAnsi="仿宋_GB2312" w:cs="仿宋_GB2312" w:eastAsia="仿宋_GB2312"/>
                      <w:sz w:val="19"/>
                    </w:rPr>
                    <w:t>工作流程执行和工作质量，受理客户发起的事件请求，支撑故障处理，收集、记录相关信息，跟踪事件的全过程流转，并提供客户回访和客户满意度调查</w:t>
                  </w:r>
                  <w:r>
                    <w:rPr>
                      <w:rFonts w:ascii="仿宋_GB2312" w:hAnsi="仿宋_GB2312" w:cs="仿宋_GB2312" w:eastAsia="仿宋_GB2312"/>
                      <w:sz w:val="19"/>
                    </w:rPr>
                    <w:t>等服务。</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195"/>
                  </w:pPr>
                  <w:r>
                    <w:rPr>
                      <w:rFonts w:ascii="仿宋_GB2312" w:hAnsi="仿宋_GB2312" w:cs="仿宋_GB2312" w:eastAsia="仿宋_GB2312"/>
                      <w:sz w:val="19"/>
                    </w:rPr>
                    <w:t>提供</w:t>
                  </w:r>
                  <w:r>
                    <w:rPr>
                      <w:rFonts w:ascii="仿宋_GB2312" w:hAnsi="仿宋_GB2312" w:cs="仿宋_GB2312" w:eastAsia="仿宋_GB2312"/>
                    </w:rPr>
                    <w:t xml:space="preserve"> </w:t>
                  </w:r>
                  <w:r>
                    <w:rPr>
                      <w:rFonts w:ascii="仿宋_GB2312" w:hAnsi="仿宋_GB2312" w:cs="仿宋_GB2312" w:eastAsia="仿宋_GB2312"/>
                      <w:sz w:val="19"/>
                    </w:rPr>
                    <w:t>7*24 小时热线</w:t>
                  </w:r>
                  <w:r>
                    <w:rPr>
                      <w:rFonts w:ascii="仿宋_GB2312" w:hAnsi="仿宋_GB2312" w:cs="仿宋_GB2312" w:eastAsia="仿宋_GB2312"/>
                      <w:sz w:val="19"/>
                    </w:rPr>
                    <w:t>服务；</w:t>
                  </w:r>
                </w:p>
                <w:p>
                  <w:pPr>
                    <w:pStyle w:val="null3"/>
                    <w:ind w:left="120" w:right="285" w:firstLine="7"/>
                  </w:pPr>
                  <w:r>
                    <w:rPr>
                      <w:rFonts w:ascii="仿宋_GB2312" w:hAnsi="仿宋_GB2312" w:cs="仿宋_GB2312" w:eastAsia="仿宋_GB2312"/>
                      <w:sz w:val="19"/>
                    </w:rPr>
                    <w:t>《调度指挥视频系统及视频网服务台</w:t>
                  </w:r>
                  <w:r>
                    <w:rPr>
                      <w:rFonts w:ascii="仿宋_GB2312" w:hAnsi="仿宋_GB2312" w:cs="仿宋_GB2312" w:eastAsia="仿宋_GB2312"/>
                      <w:sz w:val="19"/>
                    </w:rPr>
                    <w:t>报告》，每月</w:t>
                  </w:r>
                  <w:r>
                    <w:rPr>
                      <w:rFonts w:ascii="仿宋_GB2312" w:hAnsi="仿宋_GB2312" w:cs="仿宋_GB2312" w:eastAsia="仿宋_GB2312"/>
                    </w:rPr>
                    <w:t xml:space="preserve"> </w:t>
                  </w:r>
                  <w:r>
                    <w:rPr>
                      <w:rFonts w:ascii="仿宋_GB2312" w:hAnsi="仿宋_GB2312" w:cs="仿宋_GB2312" w:eastAsia="仿宋_GB2312"/>
                      <w:sz w:val="19"/>
                    </w:rPr>
                    <w:t>1</w:t>
                  </w:r>
                  <w:r>
                    <w:rPr>
                      <w:rFonts w:ascii="仿宋_GB2312" w:hAnsi="仿宋_GB2312" w:cs="仿宋_GB2312" w:eastAsia="仿宋_GB2312"/>
                      <w:sz w:val="19"/>
                    </w:rPr>
                    <w:t>份；</w:t>
                  </w:r>
                </w:p>
                <w:p>
                  <w:pPr>
                    <w:pStyle w:val="null3"/>
                    <w:spacing w:before="30"/>
                    <w:ind w:left="120" w:right="285"/>
                  </w:pPr>
                  <w:r>
                    <w:rPr>
                      <w:rFonts w:ascii="仿宋_GB2312" w:hAnsi="仿宋_GB2312" w:cs="仿宋_GB2312" w:eastAsia="仿宋_GB2312"/>
                      <w:sz w:val="19"/>
                    </w:rPr>
                    <w:t>《调度指挥视频系统及视频网服务台</w:t>
                  </w:r>
                  <w:r>
                    <w:rPr>
                      <w:rFonts w:ascii="仿宋_GB2312" w:hAnsi="仿宋_GB2312" w:cs="仿宋_GB2312" w:eastAsia="仿宋_GB2312"/>
                      <w:sz w:val="19"/>
                    </w:rPr>
                    <w:t>工作流程》，</w:t>
                  </w:r>
                  <w:r>
                    <w:rPr>
                      <w:rFonts w:ascii="仿宋_GB2312" w:hAnsi="仿宋_GB2312" w:cs="仿宋_GB2312" w:eastAsia="仿宋_GB2312"/>
                      <w:sz w:val="19"/>
                    </w:rPr>
                    <w:t>1 份</w:t>
                  </w: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270"/>
                    <w:jc w:val="left"/>
                  </w:pPr>
                  <w:r>
                    <w:rPr>
                      <w:rFonts w:ascii="仿宋_GB2312" w:hAnsi="仿宋_GB2312" w:cs="仿宋_GB2312" w:eastAsia="仿宋_GB2312"/>
                      <w:sz w:val="19"/>
                      <w:color w:val="000000"/>
                    </w:rPr>
                    <w:t>10</w:t>
                  </w:r>
                </w:p>
              </w:tc>
              <w:tc>
                <w:tcPr>
                  <w:tcW w:type="dxa" w:w="7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420"/>
                  </w:pPr>
                  <w:r>
                    <w:rPr>
                      <w:rFonts w:ascii="仿宋_GB2312" w:hAnsi="仿宋_GB2312" w:cs="仿宋_GB2312" w:eastAsia="仿宋_GB2312"/>
                      <w:sz w:val="19"/>
                    </w:rPr>
                    <w:t>第三方报告</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240" w:firstLine="8"/>
                  </w:pPr>
                  <w:r>
                    <w:rPr>
                      <w:rFonts w:ascii="仿宋_GB2312" w:hAnsi="仿宋_GB2312" w:cs="仿宋_GB2312" w:eastAsia="仿宋_GB2312"/>
                      <w:sz w:val="19"/>
                    </w:rPr>
                    <w:t>等保备案证书</w:t>
                  </w:r>
                  <w:r>
                    <w:rPr>
                      <w:rFonts w:ascii="仿宋_GB2312" w:hAnsi="仿宋_GB2312" w:cs="仿宋_GB2312" w:eastAsia="仿宋_GB2312"/>
                      <w:sz w:val="19"/>
                    </w:rPr>
                    <w:t>、密码应用安全性评估报告。</w:t>
                  </w:r>
                </w:p>
              </w:tc>
              <w:tc>
                <w:tcPr>
                  <w:tcW w:type="dxa" w:w="8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85"/>
                  </w:pPr>
                </w:p>
              </w:tc>
            </w:tr>
            <w:tr>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294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right="285"/>
                  </w:pPr>
                  <w:r>
                    <w:rPr>
                      <w:rFonts w:ascii="仿宋_GB2312" w:hAnsi="仿宋_GB2312" w:cs="仿宋_GB2312" w:eastAsia="仿宋_GB2312"/>
                      <w:sz w:val="19"/>
                    </w:rPr>
                    <w:t>项目总体服务报告</w:t>
                  </w:r>
                  <w:r>
                    <w:rPr>
                      <w:rFonts w:ascii="仿宋_GB2312" w:hAnsi="仿宋_GB2312" w:cs="仿宋_GB2312" w:eastAsia="仿宋_GB2312"/>
                      <w:sz w:val="19"/>
                    </w:rPr>
                    <w:t>1份</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交付验收之日起9个月（要求2026年1月30日前，完成交付验收）。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采购人指定地点（西安本地）。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按照《陕西省省级政务信息化项目竣工验收管理办法（试行）》要求执行，详见3.2.2服务要求。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合同签订后，由中标人书面提出支付申请函及拟支付金额等额发票，经采购人确认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交付验收通过，且服务金额超过合同金额60%后，由中标人书面提出支付申请函及拟支付金额等额发票，经采购人确认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最终验收通过后，根据服务单价、服务内容数量、服务期以及服务考核结果，综合确定支付金额。由中标人书面提出支付申请函及拟支付金额等额发票，经采购人确认后据实结算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未按合同要求提供服务或服务质量不能满足技术服务要求，且在规定时间内未使采购人满意的，采购人有权每日按照合同总金额的0.3%收取乙方违约金。当以上情况持续30天或以上时，采购人有权终止合同，中标人必须将全部服务资料移交采购人，并在合同终止之日起10天内，配合采购人做好服务交接工作。同时，采购人有权追回未完成合同项目的款项，并有权要求中标人支付合同总金额10%违约金，违约金不足以弥补损失的，中标人应予补足；2.项目应在达到验收条件，并提交验收申请。如果中标人未按招标文件约定日期交付服务成果，视为逾期违约。逾期未启动或未提交验收申请，采购人有权每日按照合同总金额的0.3%收取中标人违约金。当以上情况持续30天或以上时，采购人有权终止合同，中标人必须将全部服务资料移交采购人，并在合同终止之日起10天内，配合采购人做好服务交接工作，同时，采购人有权要求中标人支付合同总金额10%违约金，违约金不足以弥补损失的，中标人应予补足；3.任何一方若违反本合同其他约定，致使本合同无法履行，违约方应向守约方赔偿实际损失；4.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5.因中标人行为违反法律规定产生引起的民事和刑事责任由中标人承担；6.中标人违反保密规定，全部责任由中标人承担，并需赔偿采购人由此引起的损失；7.中标人与其他项目中标企业之间要相互配合完成整体项目，如因不配合或配合不当影响整体项目的，由采购人根据工作实际，认定违约企业和不配合企业的违约责任，并由违约企业和不配合企业共同承担相应的责任；8.本合同约定的损失，包括但不限于直接或间接的经济损失、律师费、诉讼费、保全费、鉴定费等损失；9.本合同约定的违约情形独立存在，可叠加适用。中标人按照合同约定应当向采购人支付的违约金，中标人同意采购人从应付未付款中直接予以扣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应根据招标文件“5.6.2评分标准”编制投标文件，投标文件内容包括：①项目理解分析（项目背景及现状了解程度、对采购需求的重点难点工作的把握与分析）；②总体设计架构（总体架构、数据架构、技术架构、网络拓扑、部署架构、安全架构）；③调度指挥视频系统一体化服务方案（政务视频会议接入服务、其他视频会议系统对接服务、“秦政通”视频会议模块对接服务）；④政务视频网承载服务方案（政务视频网平台服务、政务视频网接入服务、政务视频网链路服务、政务外网互通服务）；⑤运营保障服务方案（重保服务、服务台服务）；⑥实施方案（项目组织及计划管理方案、服务管理及运维管理方案、交付成果及验收管理方案、保密管理方案、应急及风险防范保障方案、培训方案及档案管理方案）；⑦管理制度保障（成果资料管理制度；移交工作制度方案；其他与项目有关的管理制度）；⑧项目团队（提供人员名单及简历表；项目经理信息系统项目管理证书或与本项目相关高级职称证书、团队人员（除项目经理）计算机技术与软件专业技术资格考试网络工程师证书或信息安全工程师证书或软件评测师证书或系统集成项目管理工程师证书或与本项目相关中级及以上职称证书）；⑨履约能力（投标人基础电信业务经营许可证、增值电信业务经营许可证、调度指挥视频系统与综治视联网系统可实现无缝对接的《承诺函》）；⑩业绩（2021年1月1日以来同类项目业绩合同）。（2）本项目结果公告发布后，中标人应向代理机构提供纸质投标文件二套，纸质投标文件应与系统上传投标文件内容保持一致。纸质投标文件应提供规范且结构清晰的目录，并标明具体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 自然人，提供营业执照/事业单位法人证书/非企 业专业服务机构执业许可证/自然人身份证。</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法定代表人或负责人授权书（证明书）</w:t>
            </w:r>
          </w:p>
        </w:tc>
        <w:tc>
          <w:tcPr>
            <w:tcW w:type="dxa" w:w="3322"/>
          </w:tcPr>
          <w:p>
            <w:pPr>
              <w:pStyle w:val="null3"/>
            </w:pPr>
            <w:r>
              <w:rPr>
                <w:rFonts w:ascii="仿宋_GB2312" w:hAnsi="仿宋_GB2312" w:cs="仿宋_GB2312" w:eastAsia="仿宋_GB2312"/>
              </w:rPr>
              <w:t>法定代表人或负责人参加投标时，提供法定代表人或负责人证明书 ；授权代表参加投标时，提供法定代表人或负责人授权书 ；非法人单位参照执行。</w:t>
            </w:r>
          </w:p>
        </w:tc>
        <w:tc>
          <w:tcPr>
            <w:tcW w:type="dxa" w:w="1661"/>
          </w:tcPr>
          <w:p>
            <w:pPr>
              <w:pStyle w:val="null3"/>
            </w:pPr>
            <w:r>
              <w:rPr>
                <w:rFonts w:ascii="仿宋_GB2312" w:hAnsi="仿宋_GB2312" w:cs="仿宋_GB2312" w:eastAsia="仿宋_GB2312"/>
              </w:rPr>
              <w:t>法定代表人（负责人）授权书（证明书）.docx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法人提供经审计的2024年度财务报告或提交投 标文件递交截止时间前12个月内银行出具的资 信证明；其他组织和自然人提供银行出具的资信 证明或财务报表，或政府采购信用担保机构出具 的《政府采购投标担保函》。</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提供投标文件递交截止时间前12个月内至少一 个月已缴纳的纳税凭据或完税证明，依法免税的 投标人应提供相关证明文件。</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提供投标文件递交截止时间前12个月内已缴存 的至少一个月的社会保障资金缴存单据或社保机 构开具的社会保险参保缴费情况证明，依法不需 要缴纳社会保障资金的单位应提供相关证明材料 。</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 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招标文件商务要求响应情况，若负偏离，投标无 效。</w:t>
            </w:r>
          </w:p>
        </w:tc>
        <w:tc>
          <w:tcPr>
            <w:tcW w:type="dxa" w:w="1661"/>
          </w:tcPr>
          <w:p>
            <w:pPr>
              <w:pStyle w:val="null3"/>
            </w:pPr>
            <w:r>
              <w:rPr>
                <w:rFonts w:ascii="仿宋_GB2312" w:hAnsi="仿宋_GB2312" w:cs="仿宋_GB2312" w:eastAsia="仿宋_GB2312"/>
              </w:rPr>
              <w:t>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招标文件技术要求响应情况，若技术参数与性能 指标中加★号项负偏离，投标无效。</w:t>
            </w:r>
          </w:p>
        </w:tc>
        <w:tc>
          <w:tcPr>
            <w:tcW w:type="dxa" w:w="1661"/>
          </w:tcPr>
          <w:p>
            <w:pPr>
              <w:pStyle w:val="null3"/>
            </w:pPr>
            <w:r>
              <w:rPr>
                <w:rFonts w:ascii="仿宋_GB2312" w:hAnsi="仿宋_GB2312" w:cs="仿宋_GB2312" w:eastAsia="仿宋_GB2312"/>
              </w:rPr>
              <w:t>服务内容及服务要求应答表.docx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投标有效期不少于招标文件要求，否则其投标无 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 质性要求的情况，投标无效。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供应商拒绝政府采购领域商业贿赂 承诺书</w:t>
            </w:r>
          </w:p>
        </w:tc>
        <w:tc>
          <w:tcPr>
            <w:tcW w:type="dxa" w:w="3322"/>
          </w:tcPr>
          <w:p>
            <w:pPr>
              <w:pStyle w:val="null3"/>
            </w:pPr>
            <w:r>
              <w:rPr>
                <w:rFonts w:ascii="仿宋_GB2312" w:hAnsi="仿宋_GB2312" w:cs="仿宋_GB2312" w:eastAsia="仿宋_GB2312"/>
              </w:rPr>
              <w:t>供应商未提供拒绝政府采购领域商业贿赂承诺书 ,投标无效。</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供应商的投标报价超过采购预算的或未按招标文件要求提供分项报价表，投标无效。</w:t>
            </w:r>
          </w:p>
        </w:tc>
        <w:tc>
          <w:tcPr>
            <w:tcW w:type="dxa" w:w="1661"/>
          </w:tcPr>
          <w:p>
            <w:pPr>
              <w:pStyle w:val="null3"/>
            </w:pPr>
            <w:r>
              <w:rPr>
                <w:rFonts w:ascii="仿宋_GB2312" w:hAnsi="仿宋_GB2312" w:cs="仿宋_GB2312" w:eastAsia="仿宋_GB2312"/>
              </w:rPr>
              <w:t>开标一览表 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根据投标人对项目理解分析，内容包括但不限于： （1）项目背景及现状了解程度； （2）对采购需求的重点难点工作的把握与分析。 一、评审标准 1、针对性：熟悉项目情况，了解项目现状及差距，分析内容紧扣项目实际； 2、专业性：对服务内容的重点难点工作把握精准，分析到位。 二、赋分标准（满分2分） 共2项内容，每项满分2分。 按照“评审标准”，每项内容每完全满足一项评审标准得1分，存在缺陷得0.5分，缺项不得分。 备注:缺陷是指内容针对性不强、专业性不高，内容不合理、内容表述前后不一致、与项目需求不匹配及其他不利于项目实施的任意一种情形。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总体设计架构</w:t>
            </w:r>
          </w:p>
        </w:tc>
        <w:tc>
          <w:tcPr>
            <w:tcW w:type="dxa" w:w="2492"/>
          </w:tcPr>
          <w:p>
            <w:pPr>
              <w:pStyle w:val="null3"/>
            </w:pPr>
            <w:r>
              <w:rPr>
                <w:rFonts w:ascii="仿宋_GB2312" w:hAnsi="仿宋_GB2312" w:cs="仿宋_GB2312" w:eastAsia="仿宋_GB2312"/>
              </w:rPr>
              <w:t>据投标人提供的总体设计架构进行赋分，内容包括但不限于： （1）总体架构； （2）数据架构； （3）技术架构； （4）网络拓扑； （5）部署架构； （6）安全架构。 一、评审标准 1、完整性：各项内容有详细描述； 2、专业性：贴合本项目实际，逻辑清晰、框架完善、技术先进； 3、可行性：方案架构顶层设计可行性高，可保障本项目全部服务事项实现集约建设。 二、赋分标准（满分18分） 共6项内容，每项内容满分3分。 按照“评审标准”，每项内容每完全满足一项评审标准得1分，存在缺陷得0.5分，缺项不得分。 备注:缺陷是指内容完整性不完整、专业性及可行性不高、虽有完整性内容但内容表述前后不一致，与项目需求不匹配及其他不利于项目实施的任意一种情形。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总体设计架构.docx</w:t>
            </w:r>
          </w:p>
        </w:tc>
      </w:tr>
      <w:tr>
        <w:tc>
          <w:tcPr>
            <w:tcW w:type="dxa" w:w="831"/>
            <w:vMerge/>
          </w:tcPr>
          <w:p/>
        </w:tc>
        <w:tc>
          <w:tcPr>
            <w:tcW w:type="dxa" w:w="1661"/>
          </w:tcPr>
          <w:p>
            <w:pPr>
              <w:pStyle w:val="null3"/>
            </w:pPr>
            <w:r>
              <w:rPr>
                <w:rFonts w:ascii="仿宋_GB2312" w:hAnsi="仿宋_GB2312" w:cs="仿宋_GB2312" w:eastAsia="仿宋_GB2312"/>
              </w:rPr>
              <w:t>调度指挥视频系统一体化服务方案</w:t>
            </w:r>
          </w:p>
        </w:tc>
        <w:tc>
          <w:tcPr>
            <w:tcW w:type="dxa" w:w="2492"/>
          </w:tcPr>
          <w:p>
            <w:pPr>
              <w:pStyle w:val="null3"/>
            </w:pPr>
            <w:r>
              <w:rPr>
                <w:rFonts w:ascii="仿宋_GB2312" w:hAnsi="仿宋_GB2312" w:cs="仿宋_GB2312" w:eastAsia="仿宋_GB2312"/>
              </w:rPr>
              <w:t>根据投标人提供的总体服务方案中“调度指挥视频系统一体化服务方案”内容进行赋分，内容包括但不限于: （1）政务视频会议接入服务； （2）其他视频会议系统对接服务； （3）“秦政通”视频会议模块对接服务。 一、评审标准 1、完整性：方案内容全面，方案中对评审内容中的各项要求有详细描述； 2、专业性：贴合本项目实际，方案中对工作流程、响应支持、优化改善等内容有详细且专业的说明，方案能有效防止服务中潜在风险和事故的发生； 3、可行性：方案可实现视频会议资源最大化利用，构建跨系统的视频会议互联互通功能，最大化满足调度指挥视频系统一体化服务需求。 二、赋分标准（满分9分） 共3项内容，每项内容满分3分。 按照“评审标准”，每项内容每完全满足一项评审标准得1分，存在缺陷得0.5分，缺项不得分。 备注:缺陷是指内容完整性不完整、专业性及可行性不高、虽有完整性内容但内容表述前后不一致，与项目需求不匹配及其他不利于项目实施的任意一种情形。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政务视频网承载服务方案</w:t>
            </w:r>
          </w:p>
        </w:tc>
        <w:tc>
          <w:tcPr>
            <w:tcW w:type="dxa" w:w="2492"/>
          </w:tcPr>
          <w:p>
            <w:pPr>
              <w:pStyle w:val="null3"/>
            </w:pPr>
            <w:r>
              <w:rPr>
                <w:rFonts w:ascii="仿宋_GB2312" w:hAnsi="仿宋_GB2312" w:cs="仿宋_GB2312" w:eastAsia="仿宋_GB2312"/>
              </w:rPr>
              <w:t>根据投标人提供的总体服务方案中“政务视频网承载服务方案”内容进行赋分，内容包括但不限于: （1）政务视频网平台服务； （2）政务视频网接入服务； （3）政务视频网链路服务； （4）政务外网互通服务。 一、评审标准 1、完整性：方案内容全面，方案中对评审内容中的各项要求有详细描述； 2、专业性：贴合本项目实际，方案中对工作流程、响应支持、优化改善等内容有详细且专业的说明，方案能有效防止服务中潜在风险和事故的发生； 3、可行性：方案可保障省级单位现有视频会议系统与调度指挥视频系统的互联互通，最大化满足视频网承载服务需求。 二、赋分标准（满分12分） 共4项内容，每项内容满分3分。 按照“评审标准”，每项内容每完全满足一项评审标准得1分，存在缺陷得0.5分，缺项不得分。 备注:缺陷是指内容完整性不完整、专业性及可行性不高、虽有完整性内容但内容表述前后不一致，与项目需求不匹配及其他不利于项目实施的任意一种情形。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运营保障服务方案</w:t>
            </w:r>
          </w:p>
        </w:tc>
        <w:tc>
          <w:tcPr>
            <w:tcW w:type="dxa" w:w="2492"/>
          </w:tcPr>
          <w:p>
            <w:pPr>
              <w:pStyle w:val="null3"/>
            </w:pPr>
            <w:r>
              <w:rPr>
                <w:rFonts w:ascii="仿宋_GB2312" w:hAnsi="仿宋_GB2312" w:cs="仿宋_GB2312" w:eastAsia="仿宋_GB2312"/>
              </w:rPr>
              <w:t>根据投标人提供的总体服务方案中“运营保障服务方案”内容进行赋分，内容包括但不限于: （1）重保服务； （2）服务台服务。 一、评审标准 1、完整性：方案内容全面，方案中对评审内容中的各项要求有详细描述； 2、专业性：贴合本项目实际，方案中对工作流程、响应支持、优化改善等内容有详细且专业的说明，方案能有效防止服务中潜在风险和事故的发生； 3、可行性：方案切实可行，有效保障服务工作效率和质量。 二、赋分标准（满分6分） 共2项内容，每项内容满分3分。 按照“评审标准”，每项内容每完全满足一项评审标准得1分，存在缺陷得0.5分，缺项不得分。 备注:缺陷是指内容完整性不完整、专业性及可行性不高、虽有完整性内容但内容表述前后不一致，与项目需求不匹配及其他不利于项目实施的任意一种情形。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根据投标人提供的实施方案内容进行赋分，内容包括但不限于: （1）项目组织及计划管理方案； （2）服务管理及运维管理方案； （3）交付成果及验收管理方案； （4）保密管理方案； （5）应急及风险防范保障方案； （6）培训方案及档案管理方案。 一、评审标准： 1、完整性：方案内容全面，方案中对评审内容中的各项要求有详细描述； 2、专业性：贴合本项目实际，方案中对工作流程、响应支持、优化改善等内容有详细且专业的说明，方案能有效防止服务中潜在风险和事故的发生； 3、可行性：方案切实可行，有效保障服务工作效率和质量，保障本项目顺利实施。 二、赋分标准（满分18分） 共6项内容，每项内容满分3分。 按照“评审标准”，每项方案每满足一项评审标准得1分，存在缺陷得0.5分，缺项不得分。 备注:缺陷是指内容完整性不完整、专业性及可行性不高、虽有完整性内容但内容表述前后不一致，与项目需求不匹配及其他不利于项目实施的任意一种情形。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管理制度保障</w:t>
            </w:r>
          </w:p>
        </w:tc>
        <w:tc>
          <w:tcPr>
            <w:tcW w:type="dxa" w:w="2492"/>
          </w:tcPr>
          <w:p>
            <w:pPr>
              <w:pStyle w:val="null3"/>
            </w:pPr>
            <w:r>
              <w:rPr>
                <w:rFonts w:ascii="仿宋_GB2312" w:hAnsi="仿宋_GB2312" w:cs="仿宋_GB2312" w:eastAsia="仿宋_GB2312"/>
              </w:rPr>
              <w:t>根据投标人提供的管理制度保障内容进行赋分，内容包括但不限于： （1）成果资料管理制度；移交工作制度方案；其他与项目有关的管理制度。 一、评审标准： 1、完整性：制度内容全面，对评审内容中的各项要求有详细描述； 2、专业性：贴合项目实际，制度能有效防止服务中潜在风险和事故的发生； 3、可行性：制度可操作性强，有效保障本项目顺利实施。 二、赋分标准（满分3分） 共1项内容，满分3分。 按照“评审标准”，每满足一项评审标准得1分，存在缺陷得0.5分，缺项不得分。 备注:缺陷是指内容完整性不完整、专业性及可行性不高、虽有完整性内容但内容表述前后不一致，与项目需求不匹配及其他不利于项目实施的任意一种情形。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管理制度保障.docx</w:t>
            </w:r>
          </w:p>
        </w:tc>
      </w:tr>
      <w:tr>
        <w:tc>
          <w:tcPr>
            <w:tcW w:type="dxa" w:w="831"/>
            <w:vMerge/>
          </w:tcPr>
          <w:p/>
        </w:tc>
        <w:tc>
          <w:tcPr>
            <w:tcW w:type="dxa" w:w="1661"/>
          </w:tcPr>
          <w:p>
            <w:pPr>
              <w:pStyle w:val="null3"/>
            </w:pPr>
            <w:r>
              <w:rPr>
                <w:rFonts w:ascii="仿宋_GB2312" w:hAnsi="仿宋_GB2312" w:cs="仿宋_GB2312" w:eastAsia="仿宋_GB2312"/>
              </w:rPr>
              <w:t>功能技术参数响应情况</w:t>
            </w:r>
          </w:p>
        </w:tc>
        <w:tc>
          <w:tcPr>
            <w:tcW w:type="dxa" w:w="2492"/>
          </w:tcPr>
          <w:p>
            <w:pPr>
              <w:pStyle w:val="null3"/>
            </w:pPr>
            <w:r>
              <w:rPr>
                <w:rFonts w:ascii="仿宋_GB2312" w:hAnsi="仿宋_GB2312" w:cs="仿宋_GB2312" w:eastAsia="仿宋_GB2312"/>
              </w:rPr>
              <w:t>根据投标人对招标文件“3.2.2服务要求 技术参数与性能指标”中“4.2功能要求”、“4.3技术要求”、“4.4.2设备参数性能要求”逐项响应情况进行赋分，完全响应得5分，每负偏离一项指标则不得分。 备注：以投标人提供的《服务内容及服务要求应答表》为赋分依据。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其他服务及考核响应情况</w:t>
            </w:r>
          </w:p>
        </w:tc>
        <w:tc>
          <w:tcPr>
            <w:tcW w:type="dxa" w:w="2492"/>
          </w:tcPr>
          <w:p>
            <w:pPr>
              <w:pStyle w:val="null3"/>
            </w:pPr>
            <w:r>
              <w:rPr>
                <w:rFonts w:ascii="仿宋_GB2312" w:hAnsi="仿宋_GB2312" w:cs="仿宋_GB2312" w:eastAsia="仿宋_GB2312"/>
              </w:rPr>
              <w:t>根据投标人对招标文件“3.2.2服务要求 技术参数与性能指标”中“4.9其他服务要求”、“五、服务考核标准和方法”逐项响应情况进行赋分，完全响应得2分，每负偏离一项指标则不得分。 备注：以投标人提供的《服务内容及服务要求应答表》为赋分依据。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1、项目团队完全满足招标文件“3.2.2服务要求 技术参数与性能指标”中“4.8人员要求”，得2分。提供人员名单及简历表。 2、项目经理：具有信息系统项目管理证书或与本项目相关高级职称证书，得2分。提供相关证书复印件。 3、团队人员（除项目经理）： 具有计算机技术与软件专业技术资格考试网络工程师证书或信息安全工程师证书或软件评测师证书或系统集成项目管理工程师证书或与本项目相关的中级及以上职称证书。每提供1人证书得1分，最高得2分。提供相关证书复印件。 备注：相同人员提供不同证书则不重复计分。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项目团队证明材料.docx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1、投标人具备基础电信业务经营许可证，得1分； 2、投标人具备增值电信业务经营许可证，得1分； 3、投标人提供调度指挥视频系统与综治视联网系统可实现无缝对接的《承诺函》，得1分。 备注：证书、承诺函提供复印件。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提供2021年1月1日以来同类项目业绩，每提供1份得2分，最高得4分。 备注：以合同签订日期为准，提供合同复印件（包括首页、服务内容或范围、签字盖章页、金额等，金额不得涂抹）。未提供或提供内容不全则不得分。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评分方法：P=10×Pmin/ Pn 其中：Pmin：所有有效报价的最低价。 Pn：第n个投标人的报价。 计算分数时四舍五入取小数点后两位。 评标委员会认为投标人的报价明显低于其他通过符合性审查投标人的报价，有可能影响服务质量或者不能诚信履约的，应当要求其在评审现场合理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详见附件：法定代表人（负责人）授权书（证明书）.docx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详见附件：项目团队证明材料.docx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详见附件：总体设计架构.docx</w:t>
      </w:r>
    </w:p>
    <w:p>
      <w:pPr>
        <w:pStyle w:val="null3"/>
        <w:ind w:firstLine="960"/>
      </w:pPr>
      <w:r>
        <w:rPr>
          <w:rFonts w:ascii="仿宋_GB2312" w:hAnsi="仿宋_GB2312" w:cs="仿宋_GB2312" w:eastAsia="仿宋_GB2312"/>
        </w:rPr>
        <w:t>详见附件：管理制度保障.docx</w:t>
      </w:r>
    </w:p>
    <w:p>
      <w:pPr>
        <w:pStyle w:val="null3"/>
        <w:ind w:firstLine="960"/>
      </w:pPr>
      <w:r>
        <w:rPr>
          <w:rFonts w:ascii="仿宋_GB2312" w:hAnsi="仿宋_GB2312" w:cs="仿宋_GB2312" w:eastAsia="仿宋_GB2312"/>
        </w:rPr>
        <w:t>详见附件：履约能力证明材料.docx</w:t>
      </w:r>
    </w:p>
    <w:p>
      <w:pPr>
        <w:pStyle w:val="null3"/>
        <w:ind w:firstLine="960"/>
      </w:pPr>
      <w:r>
        <w:rPr>
          <w:rFonts w:ascii="仿宋_GB2312" w:hAnsi="仿宋_GB2312" w:cs="仿宋_GB2312" w:eastAsia="仿宋_GB2312"/>
        </w:rPr>
        <w:t>详见附件：满足政府采购法第二十二条及特殊资格证明材料.docx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