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787F5">
      <w:pPr>
        <w:pStyle w:val="2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  <w:bCs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highlight w:val="none"/>
          <w:lang w:val="en-US" w:eastAsia="zh-CN"/>
        </w:rPr>
        <w:t>报价</w:t>
      </w:r>
      <w:r>
        <w:rPr>
          <w:rFonts w:hint="eastAsia" w:ascii="仿宋_GB2312" w:hAnsi="仿宋_GB2312" w:eastAsia="仿宋_GB2312" w:cs="仿宋_GB2312"/>
          <w:bCs/>
          <w:color w:val="auto"/>
          <w:highlight w:val="none"/>
        </w:rPr>
        <w:t>表</w:t>
      </w:r>
    </w:p>
    <w:p w14:paraId="48CE457E">
      <w:pPr>
        <w:rPr>
          <w:rFonts w:hint="eastAsia" w:ascii="仿宋_GB2312" w:hAnsi="仿宋_GB2312" w:eastAsia="仿宋_GB2312" w:cs="仿宋_GB2312"/>
          <w:b/>
        </w:rPr>
      </w:pPr>
    </w:p>
    <w:p w14:paraId="1C53583E">
      <w:pPr>
        <w:rPr>
          <w:rFonts w:hint="eastAsia" w:ascii="仿宋_GB2312" w:hAnsi="仿宋_GB2312" w:eastAsia="仿宋_GB2312" w:cs="仿宋_GB2312"/>
          <w:b/>
        </w:rPr>
      </w:pPr>
    </w:p>
    <w:tbl>
      <w:tblPr>
        <w:tblStyle w:val="4"/>
        <w:tblW w:w="8946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69FF949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vAlign w:val="center"/>
          </w:tcPr>
          <w:p w14:paraId="662C0C8F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6988" w:type="dxa"/>
            <w:vAlign w:val="center"/>
          </w:tcPr>
          <w:p w14:paraId="5CB24AB5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213B344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vAlign w:val="center"/>
          </w:tcPr>
          <w:p w14:paraId="3A1329C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vAlign w:val="center"/>
          </w:tcPr>
          <w:p w14:paraId="3B9980AF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7D298FB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vAlign w:val="center"/>
          </w:tcPr>
          <w:p w14:paraId="5353AC88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供 应 商</w:t>
            </w:r>
          </w:p>
        </w:tc>
        <w:tc>
          <w:tcPr>
            <w:tcW w:w="6988" w:type="dxa"/>
            <w:vAlign w:val="center"/>
          </w:tcPr>
          <w:p w14:paraId="1BADAD4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217419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vAlign w:val="center"/>
          </w:tcPr>
          <w:p w14:paraId="75E5A67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投标总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报价</w:t>
            </w:r>
          </w:p>
          <w:p w14:paraId="62437AA8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（人民币）</w:t>
            </w:r>
          </w:p>
        </w:tc>
        <w:tc>
          <w:tcPr>
            <w:tcW w:w="6988" w:type="dxa"/>
            <w:vAlign w:val="center"/>
          </w:tcPr>
          <w:p w14:paraId="2DC3718B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小写金额：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eastAsia="zh-CN"/>
              </w:rPr>
              <w:t xml:space="preserve">¥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。</w:t>
            </w:r>
          </w:p>
          <w:p w14:paraId="7429773A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大写金额：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eastAsia="zh-CN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元。</w:t>
            </w:r>
          </w:p>
        </w:tc>
      </w:tr>
      <w:tr w14:paraId="25746E8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vAlign w:val="center"/>
          </w:tcPr>
          <w:p w14:paraId="391AA1E3">
            <w:pP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服务期限是否响应：是/否</w:t>
            </w:r>
          </w:p>
        </w:tc>
      </w:tr>
      <w:tr w14:paraId="72A67E2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vAlign w:val="center"/>
          </w:tcPr>
          <w:p w14:paraId="51EA23E6">
            <w:pP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付款方式是否响应：是/否</w:t>
            </w:r>
          </w:p>
        </w:tc>
      </w:tr>
    </w:tbl>
    <w:p w14:paraId="480381A1">
      <w:pPr>
        <w:spacing w:line="360" w:lineRule="auto"/>
        <w:ind w:right="180"/>
        <w:rPr>
          <w:rFonts w:hint="eastAsia" w:ascii="仿宋_GB2312" w:hAnsi="仿宋_GB2312" w:eastAsia="仿宋_GB2312" w:cs="仿宋_GB2312"/>
          <w:sz w:val="24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u w:val="none"/>
          <w:lang w:eastAsia="zh-CN"/>
        </w:rPr>
        <w:t>注:请根据响应情况选填“是”与“否”</w:t>
      </w:r>
    </w:p>
    <w:p w14:paraId="29B4DA25">
      <w:pPr>
        <w:ind w:right="180"/>
        <w:rPr>
          <w:rFonts w:hint="eastAsia" w:ascii="仿宋_GB2312" w:hAnsi="仿宋_GB2312" w:eastAsia="仿宋_GB2312" w:cs="仿宋_GB2312"/>
          <w:sz w:val="24"/>
          <w:u w:val="single"/>
          <w:lang w:eastAsia="zh-CN"/>
        </w:rPr>
      </w:pPr>
    </w:p>
    <w:p w14:paraId="3C915D81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  <w:t xml:space="preserve">                  </w:t>
      </w:r>
    </w:p>
    <w:p w14:paraId="5062AD44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  <w:t xml:space="preserve">                              （公章）</w:t>
      </w:r>
    </w:p>
    <w:p w14:paraId="781D239E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日</w:t>
      </w:r>
    </w:p>
    <w:p w14:paraId="1F6BC10C">
      <w:pPr>
        <w:ind w:right="180" w:firstLine="2640" w:firstLineChars="1100"/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</w:pPr>
    </w:p>
    <w:p w14:paraId="5F537B30">
      <w:pPr>
        <w:rPr>
          <w:rFonts w:hint="eastAsia" w:ascii="仿宋_GB2312" w:hAnsi="仿宋_GB2312" w:eastAsia="仿宋_GB2312" w:cs="仿宋_GB2312"/>
          <w:bCs/>
          <w:color w:val="auto"/>
          <w:highlight w:val="none"/>
          <w:lang w:eastAsia="zh-CN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1CB9721B">
      <w:pPr>
        <w:pStyle w:val="2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分项报价表</w:t>
      </w:r>
    </w:p>
    <w:p w14:paraId="5EA35CCE">
      <w:pPr>
        <w:rPr>
          <w:rFonts w:hint="eastAsia" w:ascii="仿宋_GB2312" w:hAnsi="仿宋_GB2312" w:eastAsia="仿宋_GB2312" w:cs="仿宋_GB2312"/>
          <w:bCs/>
          <w:color w:val="auto"/>
          <w:highlight w:val="none"/>
          <w:lang w:eastAsia="zh-CN"/>
        </w:rPr>
      </w:pPr>
    </w:p>
    <w:tbl>
      <w:tblPr>
        <w:tblStyle w:val="4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2078"/>
        <w:gridCol w:w="3149"/>
        <w:gridCol w:w="1535"/>
        <w:gridCol w:w="1517"/>
        <w:gridCol w:w="953"/>
        <w:gridCol w:w="900"/>
        <w:gridCol w:w="1025"/>
        <w:gridCol w:w="2010"/>
      </w:tblGrid>
      <w:tr w14:paraId="046EE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C6EE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7350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服务项目（一级）</w:t>
            </w: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5B05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服务项目（二级）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14B3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最高限制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单价（万元）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8E09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单价报价（万元）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BECB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1F4D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服务期（月）或数量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5F2D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价格（万元）</w:t>
            </w: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140C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7CA76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C56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（一）</w:t>
            </w:r>
          </w:p>
        </w:tc>
        <w:tc>
          <w:tcPr>
            <w:tcW w:w="7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37E3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平台运营服务</w:t>
            </w:r>
          </w:p>
        </w:tc>
        <w:tc>
          <w:tcPr>
            <w:tcW w:w="320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4D0A6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EC1DB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43B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D5BA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84E0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平台运营服务</w:t>
            </w: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4E3E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平台运营服务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98C9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20.15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12D8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9411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F0FA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0A74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5476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按照服务时间计费</w:t>
            </w:r>
          </w:p>
        </w:tc>
      </w:tr>
      <w:tr w14:paraId="4F077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88EB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（二）</w:t>
            </w:r>
          </w:p>
        </w:tc>
        <w:tc>
          <w:tcPr>
            <w:tcW w:w="7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E6D1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专项运营服务</w:t>
            </w: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BE5796">
            <w:pPr>
              <w:spacing w:line="240" w:lineRule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76FF97">
            <w:pPr>
              <w:spacing w:line="240" w:lineRule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6D4098">
            <w:pPr>
              <w:spacing w:line="240" w:lineRule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10CEB5">
            <w:pPr>
              <w:spacing w:line="240" w:lineRule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7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E01118">
            <w:pPr>
              <w:spacing w:line="240" w:lineRule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D12AA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266E8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052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44F1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7871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视频数据编目服务</w:t>
            </w: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0D34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视频数据编目服务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B842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0.0006936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EAB7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98E3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2AE1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150000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96C3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24EC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150000路视频点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位，</w:t>
            </w:r>
          </w:p>
        </w:tc>
      </w:tr>
      <w:tr w14:paraId="0B6AC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4A65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FC50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视频数据标签标注服务</w:t>
            </w: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9F41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视频数据标签标注服务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E2ED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0.0002312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07E4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F1B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294A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150000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51807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2514D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8E6D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FD38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3DE3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视频数据接入服务</w:t>
            </w: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6D5B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对接信息确认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4F26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0.3046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6851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5DE2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3035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AFA9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D256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26个单位</w:t>
            </w:r>
          </w:p>
        </w:tc>
      </w:tr>
      <w:tr w14:paraId="70B13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553B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DA50F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0CAF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国标平台数据对接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1DA6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0.2832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7234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9BBE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6B43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9A8D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051B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24个单位</w:t>
            </w:r>
          </w:p>
        </w:tc>
      </w:tr>
      <w:tr w14:paraId="3BDAE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999B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0CDE5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5618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非国标平台方案评估和编制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6881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0.3312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EB20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CF2B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BBAE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5D3F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B141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2个单位</w:t>
            </w:r>
          </w:p>
        </w:tc>
      </w:tr>
      <w:tr w14:paraId="62B91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0CEE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794AA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8CFD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平台对接协议行改造和适配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5021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09D2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AA5C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C8A2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55A5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B3F2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2个单位</w:t>
            </w:r>
          </w:p>
        </w:tc>
      </w:tr>
      <w:tr w14:paraId="1C2AC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A8B1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88E24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2F98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接口验证测试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7C04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0.144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79C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C4E4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7D82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FE7B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ED7F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2个单位</w:t>
            </w:r>
          </w:p>
        </w:tc>
      </w:tr>
      <w:tr w14:paraId="35D8B1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45B1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B2D3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平台对接服务</w:t>
            </w: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EBCF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IRM平台对接方案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399B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0.3168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4FDB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3386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351A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0F45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007B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23E81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33AD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3FFAB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4CF8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业务接口改造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0682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0.9936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DBD1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55DB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698B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10AE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B598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75CA6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3201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7781B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4716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IRM平台对接联调测试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F663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0.1872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DF0E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0727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1BF1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A0FE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38BD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7F082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1318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42B84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EAE8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调度指挥视频系统对接方案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770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0.3168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7CC9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4B9C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A7F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617D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E9AF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0238C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2F4A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7DD8F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C2C1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业务接口改造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495B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0.9936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10CF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F77F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3F3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086F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8DC9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5AC09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F2B4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7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27FC5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E30ACA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调度指挥视频系统对接联调测试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DD8C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0.1728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E897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CF1D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E054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9F6B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CFBF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66BE5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E52971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（三）</w:t>
            </w:r>
          </w:p>
        </w:tc>
        <w:tc>
          <w:tcPr>
            <w:tcW w:w="7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282E0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日常运营服务</w:t>
            </w:r>
          </w:p>
        </w:tc>
        <w:tc>
          <w:tcPr>
            <w:tcW w:w="11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01D04F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59E790A">
            <w:pPr>
              <w:spacing w:line="240" w:lineRule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5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ACF8163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3174D05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7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76C4B36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6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E642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42DA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 w14:paraId="6A731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F4DC58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188F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国家资源目录报送服务</w:t>
            </w:r>
          </w:p>
        </w:tc>
        <w:tc>
          <w:tcPr>
            <w:tcW w:w="111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F21C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数据报送</w:t>
            </w:r>
          </w:p>
        </w:tc>
        <w:tc>
          <w:tcPr>
            <w:tcW w:w="54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F54E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0.0288</w:t>
            </w:r>
          </w:p>
        </w:tc>
        <w:tc>
          <w:tcPr>
            <w:tcW w:w="53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490A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04A1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3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AA88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4C14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A16A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每月共计抽检4次，8个月内共完成32次。</w:t>
            </w:r>
          </w:p>
        </w:tc>
      </w:tr>
      <w:tr w14:paraId="3AC1F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06DBE6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6CD5B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83CA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问题整改修订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2128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0.029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B570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D13F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08E5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4D654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D0D95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434B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92A75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55AE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重点单位数据推送保障服务</w:t>
            </w: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4F00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专项目录梳理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E30D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0.018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C77E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6173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56C4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9F7EF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2A247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80F3F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013F3D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27A5C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D355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新增数据报送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7594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0.015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5C13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6C1E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9FCC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FFB20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3AE59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F724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EB2BA1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55610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563E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质量分析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522A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0.018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CC81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03CA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5326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AB0CD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4B08E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3FA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B52C07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AF23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视频数据汇聚审核服务</w:t>
            </w: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DBCF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下级目录数据比对筛选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455B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0.0347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E903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A877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1517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D2E2E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12DCA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4862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D307A3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B4633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3F3A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目录数据沟通确认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1F22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0.0347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2183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CD5D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27BD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6AA1A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D2E80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0D71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93896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C573C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ACA7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视频质量评价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171D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0.0347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951C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0C79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FFB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611A8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15214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4C1C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80FF76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43B9A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CEF7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视频质量抽检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EB70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0.0347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D70B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CE54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FE33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78E10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708B8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26DCD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5BFF41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3E5A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视频资源共享审核服务</w:t>
            </w: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B846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资源申请单处理服务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E8B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0.0038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C4431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43C6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4491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415B5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A6FD8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每天处理申请单约10个，单个工单信息确认及审核0.5小时，每月处理申请单约21.75*10≈217次，8个月服务期内共处理8*217=1736个工单。</w:t>
            </w:r>
          </w:p>
        </w:tc>
      </w:tr>
      <w:tr w14:paraId="2171D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969D1C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4E9E8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2D0F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视频数据权限管理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C1E0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0.0038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1E3E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087C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BD69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BF509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C5960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每天配置视频数据权限约10次，单次数据配置管理0.5小时，每月数据配置管理约21.75*10≈217次，8个月服务期内共配置视频数据权限8*217=1736次。</w:t>
            </w:r>
          </w:p>
        </w:tc>
      </w:tr>
      <w:tr w14:paraId="6E7B8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2469F5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7CAD3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DCBA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视频数据权限回收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74EC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0.0082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27FB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CC4F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1A88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A99F9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C3ADB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每月数据配置管理约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21.75*1≈22次，8个月服务期内共配置8*22=176次。</w:t>
            </w:r>
          </w:p>
        </w:tc>
      </w:tr>
      <w:tr w14:paraId="2C03B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B5D6BB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7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33E6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技术支撑服务</w:t>
            </w: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F165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日常咨询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FBEF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0.002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DE91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AFD6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C580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1F457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CF4C2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每天问题咨询预估为8次，单次问题咨询和处理0.5小时，每月问题咨询约8*21.75=174次，8个月服务期内共处理8*174=1392次问题咨询。</w:t>
            </w:r>
          </w:p>
        </w:tc>
      </w:tr>
      <w:tr w14:paraId="2AFD4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C66F1E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7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F28DF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178D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技术支持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66E1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0.024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F7798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3F82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2A36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E3881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57DB3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每天问题咨询预估为8次，单次问题咨询和处理0.5小时，每月问题咨询约8*22=176次。</w:t>
            </w:r>
          </w:p>
        </w:tc>
      </w:tr>
      <w:tr w14:paraId="428CA2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5FFF85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CFF0A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1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169C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现场支持</w:t>
            </w:r>
          </w:p>
        </w:tc>
        <w:tc>
          <w:tcPr>
            <w:tcW w:w="5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9CFC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0.066</w:t>
            </w:r>
          </w:p>
        </w:tc>
        <w:tc>
          <w:tcPr>
            <w:tcW w:w="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C96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59C0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4703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9B8C8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1FA49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1次现场系统调试安装，1次满意度回访，单次现场支持8小时。服务期内共现场支持约120次（按照60个委办厅局单位预估）。</w:t>
            </w:r>
          </w:p>
        </w:tc>
      </w:tr>
      <w:tr w14:paraId="53856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D55FF"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投标总报价：</w:t>
            </w:r>
          </w:p>
        </w:tc>
      </w:tr>
    </w:tbl>
    <w:p w14:paraId="273D0902">
      <w:pPr>
        <w:spacing w:line="240" w:lineRule="auto"/>
        <w:rPr>
          <w:rFonts w:hint="eastAsia" w:ascii="仿宋_GB2312" w:hAnsi="仿宋_GB2312" w:eastAsia="仿宋_GB2312" w:cs="仿宋_GB2312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lang w:eastAsia="zh-CN"/>
        </w:rPr>
        <w:t>注：1. 如果按单价计算的结果与总价不一致，以单价为准修正总价。</w:t>
      </w:r>
    </w:p>
    <w:p w14:paraId="759DAA97">
      <w:pPr>
        <w:spacing w:line="240" w:lineRule="auto"/>
        <w:ind w:firstLine="480" w:firstLineChars="200"/>
        <w:rPr>
          <w:rFonts w:hint="eastAsia" w:ascii="仿宋_GB2312" w:hAnsi="仿宋_GB2312" w:eastAsia="仿宋_GB2312" w:cs="仿宋_GB2312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lang w:eastAsia="zh-CN"/>
        </w:rPr>
        <w:t>2.总报价精确到元。</w:t>
      </w:r>
    </w:p>
    <w:p w14:paraId="35DDF071">
      <w:pPr>
        <w:spacing w:line="240" w:lineRule="auto"/>
        <w:ind w:firstLine="480" w:firstLineChars="200"/>
        <w:rPr>
          <w:rFonts w:hint="eastAsia" w:ascii="仿宋_GB2312" w:hAnsi="仿宋_GB2312" w:eastAsia="仿宋_GB2312" w:cs="仿宋_GB2312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lang w:eastAsia="zh-CN"/>
        </w:rPr>
        <w:t>3.线上系统中附件“标的清单”中的“总价”应与附件“报价表”中“投标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”和“分项报价表”中“投标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”内容保持一致。</w:t>
      </w:r>
    </w:p>
    <w:p w14:paraId="08B305AB">
      <w:pPr>
        <w:spacing w:line="240" w:lineRule="auto"/>
        <w:ind w:firstLine="480" w:firstLineChars="200"/>
        <w:rPr>
          <w:rFonts w:hint="default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lang w:eastAsia="zh-CN"/>
        </w:rPr>
        <w:t>4.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供应商应按招标文件提供的分项报价表格式进行报价，若出现缺漏项或服务期（月）或数量与分项报价表不一致，按无效标处理。所报单价超过最高限制单价按无效标处理。</w:t>
      </w:r>
    </w:p>
    <w:p w14:paraId="6A59539B">
      <w:pPr>
        <w:spacing w:line="240" w:lineRule="auto"/>
        <w:ind w:firstLine="480" w:firstLineChars="200"/>
        <w:rPr>
          <w:rFonts w:hint="eastAsia" w:ascii="仿宋_GB2312" w:hAnsi="仿宋_GB2312" w:eastAsia="仿宋_GB2312" w:cs="仿宋_GB2312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有关本项目实施所涉及的一切费用均计入报价。采购人将以合同形式有偿取得货物或服务，不接受供应商给予的赠品、回扣或者与采购无关的其他商品、服务，不得出现“0元”“免费赠送”等形式的无偿报价，否则视为投标文件含有采购人不能接受的附加条件，投标无效。</w:t>
      </w:r>
    </w:p>
    <w:p w14:paraId="1E07EFAE">
      <w:pPr>
        <w:pStyle w:val="3"/>
        <w:spacing w:line="240" w:lineRule="auto"/>
        <w:rPr>
          <w:rFonts w:hint="eastAsia" w:ascii="仿宋_GB2312" w:hAnsi="仿宋_GB2312" w:eastAsia="仿宋_GB2312" w:cs="仿宋_GB2312"/>
          <w:color w:val="auto"/>
          <w:lang w:eastAsia="zh-CN"/>
        </w:rPr>
      </w:pPr>
    </w:p>
    <w:p w14:paraId="0F7044EC">
      <w:pPr>
        <w:spacing w:line="480" w:lineRule="auto"/>
        <w:ind w:right="-161" w:firstLine="6480" w:firstLineChars="2700"/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  <w:t xml:space="preserve">                  </w:t>
      </w:r>
    </w:p>
    <w:p w14:paraId="22117336">
      <w:pPr>
        <w:spacing w:line="480" w:lineRule="auto"/>
        <w:ind w:right="-161" w:firstLine="6480" w:firstLineChars="2700"/>
        <w:rPr>
          <w:rFonts w:hint="eastAsia" w:ascii="仿宋_GB2312" w:hAnsi="仿宋_GB2312" w:eastAsia="仿宋_GB2312" w:cs="仿宋_GB2312"/>
          <w:kern w:val="1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  <w:t xml:space="preserve">                              （公章）</w:t>
      </w:r>
    </w:p>
    <w:p w14:paraId="2DB8B4A5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 xml:space="preserve">  日期：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日</w:t>
      </w:r>
    </w:p>
    <w:p w14:paraId="5086F342">
      <w:pPr>
        <w:spacing w:line="240" w:lineRule="auto"/>
        <w:ind w:firstLine="4958" w:firstLineChars="2254"/>
        <w:jc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99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2025-12-05T04:06:20Z</dcterms:created>
  <dc:creator>Administrator</dc:creator>
  <cp:lastModifiedBy>夏日微凉</cp:lastModifiedBy>
  <dcterms:modified xsi:type="dcterms:W3CDTF">2025-12-05T04:11:17Z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AFD1FCC91FBF4BB6A24D1D1FA2577A4B_12</vt:lpwstr>
  </property>
</Properties>
</file>