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版本号：HC-YCG-2025-106-120251205001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2026年厅小型机、服务器、存储等硬件设备维保服务项目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HC-YCG-2025-106-1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2026年厅小型机、服务器、存储等硬件设备维保服务项目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HC-YCG-2025-106-1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2026年厅小型机、服务器、存储等硬件设备维保服务项目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适应和满足陕西财政业务的快速发展需求，进一步增强财政信息系统运行的稳健性，保障厅小型机、服务器、存储等硬件设备安全稳定运行，提高信息系统硬件持续运行的能力，有效化解硬件故障所带来的风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1、主体资格身份：具有独立承担民事责任能力的法人、其他组织或自然人，并出具合法有效的营业执照或事业单位法人证书等国家规定的相关证明，自然人参与的提供其身份证明书；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4、税收缴纳证明：提供自2024年11月1日至今已缴纳的至少一个月的纳税证明或完税证明，纳税证明或完税证明上应有代收机构或税务机关的公章或业务专用章，依法免税的服务商应提供相关文件证明；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5、社会保障资金缴纳证明：提供供应商2024年11月1日至今已缴存的任意一个月的社会保障资金缴存单据或社保机构开具的社会保险参保缴费情况证明；依法不需要缴纳社会保障资金的应提供相关文件证明；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查询(采购人或采购代理机构开标当天查询,供应商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9、控股管理关系：本项目不接受联合体磋商，投标单位负责人为同一人或者存在控股、管理关系的不同单位，不得参加同一招标项目投标；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西安市北院门街道冰窖巷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高严肃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029-68939289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陈辉、张工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18392767108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招标代理服务收费管理暂行办法》计价格[2002]1980号、国家发展改革委办公厅《关于招标代理服务收费有关问题的通知》发改办价格［2003］857号规定的标准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严格按照《陕西省财政厅网络安全和信息化项目验收管理办法》规定执行。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联系电话：18392767108</w:t>
      </w:r>
    </w:p>
    <w:p>
      <w:pPr>
        <w:pStyle w:val="null3"/>
      </w:pPr>
      <w:r>
        <w:rPr>
          <w:rFonts w:ascii="仿宋_GB2312" w:hAnsi="仿宋_GB2312" w:cs="仿宋_GB2312" w:eastAsia="仿宋_GB2312"/>
        </w:rPr>
        <w:t>地址：陕西省西安市南二环西段成长大厦8楼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2026年厅小型机、服务器、存储等硬件设备包含146台服务器、2台小型机、</w:t>
      </w:r>
      <w:r>
        <w:rPr>
          <w:rFonts w:ascii="仿宋_GB2312" w:hAnsi="仿宋_GB2312" w:cs="仿宋_GB2312" w:eastAsia="仿宋_GB2312"/>
          <w:sz w:val="24"/>
        </w:rPr>
        <w:t>29</w:t>
      </w:r>
      <w:r>
        <w:rPr>
          <w:rFonts w:ascii="仿宋_GB2312" w:hAnsi="仿宋_GB2312" w:cs="仿宋_GB2312" w:eastAsia="仿宋_GB2312"/>
          <w:sz w:val="24"/>
        </w:rPr>
        <w:t>台交换机、</w:t>
      </w:r>
      <w:r>
        <w:rPr>
          <w:rFonts w:ascii="仿宋_GB2312" w:hAnsi="仿宋_GB2312" w:cs="仿宋_GB2312" w:eastAsia="仿宋_GB2312"/>
          <w:sz w:val="24"/>
        </w:rPr>
        <w:t>40台存储</w:t>
      </w:r>
      <w:r>
        <w:rPr>
          <w:rFonts w:ascii="仿宋_GB2312" w:hAnsi="仿宋_GB2312" w:cs="仿宋_GB2312" w:eastAsia="仿宋_GB2312"/>
          <w:sz w:val="24"/>
        </w:rPr>
        <w:t>、</w:t>
      </w:r>
      <w:r>
        <w:rPr>
          <w:rFonts w:ascii="仿宋_GB2312" w:hAnsi="仿宋_GB2312" w:cs="仿宋_GB2312" w:eastAsia="仿宋_GB2312"/>
          <w:sz w:val="24"/>
        </w:rPr>
        <w:t>2台UPS</w:t>
      </w:r>
      <w:r>
        <w:rPr>
          <w:rFonts w:ascii="仿宋_GB2312" w:hAnsi="仿宋_GB2312" w:cs="仿宋_GB2312" w:eastAsia="仿宋_GB2312"/>
          <w:sz w:val="24"/>
        </w:rPr>
        <w:t>共</w:t>
      </w:r>
      <w:r>
        <w:rPr>
          <w:rFonts w:ascii="仿宋_GB2312" w:hAnsi="仿宋_GB2312" w:cs="仿宋_GB2312" w:eastAsia="仿宋_GB2312"/>
          <w:sz w:val="24"/>
        </w:rPr>
        <w:t>2</w:t>
      </w:r>
      <w:r>
        <w:rPr>
          <w:rFonts w:ascii="仿宋_GB2312" w:hAnsi="仿宋_GB2312" w:cs="仿宋_GB2312" w:eastAsia="仿宋_GB2312"/>
          <w:sz w:val="24"/>
        </w:rPr>
        <w:t>19</w:t>
      </w:r>
      <w:r>
        <w:rPr>
          <w:rFonts w:ascii="仿宋_GB2312" w:hAnsi="仿宋_GB2312" w:cs="仿宋_GB2312" w:eastAsia="仿宋_GB2312"/>
          <w:sz w:val="24"/>
        </w:rPr>
        <w:t>台设备，为减少设备运行故障，及时响应并处理问题，保障厅小型机、服务器、存储</w:t>
      </w:r>
      <w:r>
        <w:rPr>
          <w:rFonts w:ascii="仿宋_GB2312" w:hAnsi="仿宋_GB2312" w:cs="仿宋_GB2312" w:eastAsia="仿宋_GB2312"/>
          <w:sz w:val="24"/>
        </w:rPr>
        <w:t>、</w:t>
      </w:r>
      <w:r>
        <w:rPr>
          <w:rFonts w:ascii="仿宋_GB2312" w:hAnsi="仿宋_GB2312" w:cs="仿宋_GB2312" w:eastAsia="仿宋_GB2312"/>
          <w:sz w:val="24"/>
        </w:rPr>
        <w:t>UPS电源</w:t>
      </w:r>
      <w:r>
        <w:rPr>
          <w:rFonts w:ascii="仿宋_GB2312" w:hAnsi="仿宋_GB2312" w:cs="仿宋_GB2312" w:eastAsia="仿宋_GB2312"/>
          <w:sz w:val="24"/>
        </w:rPr>
        <w:t>等硬件设备安全稳定运行，有效化解硬件故障带来的风险，进一步增强财政信息系统运行的稳健</w:t>
      </w:r>
      <w:r>
        <w:rPr>
          <w:rFonts w:ascii="仿宋_GB2312" w:hAnsi="仿宋_GB2312" w:cs="仿宋_GB2312" w:eastAsia="仿宋_GB2312"/>
          <w:sz w:val="24"/>
        </w:rPr>
        <w:t>性</w:t>
      </w:r>
      <w:r>
        <w:rPr>
          <w:rFonts w:ascii="仿宋_GB2312" w:hAnsi="仿宋_GB2312" w:cs="仿宋_GB2312" w:eastAsia="仿宋_GB2312"/>
          <w:sz w:val="24"/>
        </w:rPr>
        <w:t>，需对</w:t>
      </w:r>
      <w:r>
        <w:rPr>
          <w:rFonts w:ascii="仿宋_GB2312" w:hAnsi="仿宋_GB2312" w:cs="仿宋_GB2312" w:eastAsia="仿宋_GB2312"/>
          <w:sz w:val="24"/>
        </w:rPr>
        <w:t>2026年厅小型机、服务器、存储等硬件设备维保服务项目进行采购。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小型机、服务器、存储等硬件设备及国产操作系统的维保服务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标的名称：小型机、服务器、存储等硬件设备及国产操作系统的维保服务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一、技术需求</w:t>
            </w:r>
          </w:p>
          <w:p>
            <w:pPr>
              <w:pStyle w:val="null3"/>
              <w:ind w:firstLine="480"/>
              <w:jc w:val="both"/>
            </w:pPr>
            <w:r>
              <w:rPr>
                <w:rFonts w:ascii="仿宋_GB2312" w:hAnsi="仿宋_GB2312" w:cs="仿宋_GB2312" w:eastAsia="仿宋_GB2312"/>
                <w:sz w:val="24"/>
              </w:rPr>
              <w:t>（一）项目基本情况</w:t>
            </w:r>
          </w:p>
          <w:p>
            <w:pPr>
              <w:pStyle w:val="null3"/>
              <w:ind w:firstLine="480"/>
              <w:jc w:val="both"/>
            </w:pPr>
            <w:r>
              <w:rPr>
                <w:rFonts w:ascii="仿宋_GB2312" w:hAnsi="仿宋_GB2312" w:cs="仿宋_GB2312" w:eastAsia="仿宋_GB2312"/>
                <w:sz w:val="24"/>
              </w:rPr>
              <w:t>2026年厅小型机、服务器、存储等硬件设备包含146台服务器、2台小型机、</w:t>
            </w:r>
            <w:r>
              <w:rPr>
                <w:rFonts w:ascii="仿宋_GB2312" w:hAnsi="仿宋_GB2312" w:cs="仿宋_GB2312" w:eastAsia="仿宋_GB2312"/>
                <w:sz w:val="24"/>
              </w:rPr>
              <w:t>29</w:t>
            </w:r>
            <w:r>
              <w:rPr>
                <w:rFonts w:ascii="仿宋_GB2312" w:hAnsi="仿宋_GB2312" w:cs="仿宋_GB2312" w:eastAsia="仿宋_GB2312"/>
                <w:sz w:val="24"/>
              </w:rPr>
              <w:t>台交换机、</w:t>
            </w:r>
            <w:r>
              <w:rPr>
                <w:rFonts w:ascii="仿宋_GB2312" w:hAnsi="仿宋_GB2312" w:cs="仿宋_GB2312" w:eastAsia="仿宋_GB2312"/>
                <w:sz w:val="24"/>
              </w:rPr>
              <w:t>40台存储</w:t>
            </w:r>
            <w:r>
              <w:rPr>
                <w:rFonts w:ascii="仿宋_GB2312" w:hAnsi="仿宋_GB2312" w:cs="仿宋_GB2312" w:eastAsia="仿宋_GB2312"/>
                <w:sz w:val="24"/>
              </w:rPr>
              <w:t>、</w:t>
            </w:r>
            <w:r>
              <w:rPr>
                <w:rFonts w:ascii="仿宋_GB2312" w:hAnsi="仿宋_GB2312" w:cs="仿宋_GB2312" w:eastAsia="仿宋_GB2312"/>
                <w:sz w:val="24"/>
              </w:rPr>
              <w:t>2台UPS</w:t>
            </w:r>
            <w:r>
              <w:rPr>
                <w:rFonts w:ascii="仿宋_GB2312" w:hAnsi="仿宋_GB2312" w:cs="仿宋_GB2312" w:eastAsia="仿宋_GB2312"/>
                <w:sz w:val="24"/>
              </w:rPr>
              <w:t>共</w:t>
            </w:r>
            <w:r>
              <w:rPr>
                <w:rFonts w:ascii="仿宋_GB2312" w:hAnsi="仿宋_GB2312" w:cs="仿宋_GB2312" w:eastAsia="仿宋_GB2312"/>
                <w:sz w:val="24"/>
              </w:rPr>
              <w:t>2</w:t>
            </w:r>
            <w:r>
              <w:rPr>
                <w:rFonts w:ascii="仿宋_GB2312" w:hAnsi="仿宋_GB2312" w:cs="仿宋_GB2312" w:eastAsia="仿宋_GB2312"/>
                <w:sz w:val="24"/>
              </w:rPr>
              <w:t>19</w:t>
            </w:r>
            <w:r>
              <w:rPr>
                <w:rFonts w:ascii="仿宋_GB2312" w:hAnsi="仿宋_GB2312" w:cs="仿宋_GB2312" w:eastAsia="仿宋_GB2312"/>
                <w:sz w:val="24"/>
              </w:rPr>
              <w:t>台设备，为减少设备运行故障，及时响应并处理问题，保障厅小型机、服务器、存储</w:t>
            </w:r>
            <w:r>
              <w:rPr>
                <w:rFonts w:ascii="仿宋_GB2312" w:hAnsi="仿宋_GB2312" w:cs="仿宋_GB2312" w:eastAsia="仿宋_GB2312"/>
                <w:sz w:val="24"/>
              </w:rPr>
              <w:t>、</w:t>
            </w:r>
            <w:r>
              <w:rPr>
                <w:rFonts w:ascii="仿宋_GB2312" w:hAnsi="仿宋_GB2312" w:cs="仿宋_GB2312" w:eastAsia="仿宋_GB2312"/>
                <w:sz w:val="24"/>
              </w:rPr>
              <w:t>UPS电源</w:t>
            </w:r>
            <w:r>
              <w:rPr>
                <w:rFonts w:ascii="仿宋_GB2312" w:hAnsi="仿宋_GB2312" w:cs="仿宋_GB2312" w:eastAsia="仿宋_GB2312"/>
                <w:sz w:val="24"/>
              </w:rPr>
              <w:t>等硬件设备安全稳定运行，有效化解硬件故障带来的风险，进一步增强财政信息系统运行的稳健</w:t>
            </w:r>
            <w:r>
              <w:rPr>
                <w:rFonts w:ascii="仿宋_GB2312" w:hAnsi="仿宋_GB2312" w:cs="仿宋_GB2312" w:eastAsia="仿宋_GB2312"/>
                <w:sz w:val="24"/>
              </w:rPr>
              <w:t>性</w:t>
            </w:r>
            <w:r>
              <w:rPr>
                <w:rFonts w:ascii="仿宋_GB2312" w:hAnsi="仿宋_GB2312" w:cs="仿宋_GB2312" w:eastAsia="仿宋_GB2312"/>
                <w:sz w:val="24"/>
              </w:rPr>
              <w:t>，需对</w:t>
            </w:r>
            <w:r>
              <w:rPr>
                <w:rFonts w:ascii="仿宋_GB2312" w:hAnsi="仿宋_GB2312" w:cs="仿宋_GB2312" w:eastAsia="仿宋_GB2312"/>
                <w:sz w:val="24"/>
              </w:rPr>
              <w:t>2026年厅小型机、服务器、存储等硬件设备维保服务项目进行采购。</w:t>
            </w:r>
          </w:p>
          <w:p>
            <w:pPr>
              <w:pStyle w:val="null3"/>
              <w:ind w:firstLine="480"/>
              <w:jc w:val="both"/>
            </w:pPr>
            <w:r>
              <w:rPr>
                <w:rFonts w:ascii="仿宋_GB2312" w:hAnsi="仿宋_GB2312" w:cs="仿宋_GB2312" w:eastAsia="仿宋_GB2312"/>
                <w:sz w:val="24"/>
              </w:rPr>
              <w:t>（二）项目交付地点：省财政厅十楼机房、省信息中心机房、延安新区党政云数据中心机房、西安人行机房</w:t>
            </w:r>
          </w:p>
          <w:p>
            <w:pPr>
              <w:pStyle w:val="null3"/>
              <w:ind w:firstLine="480"/>
              <w:jc w:val="both"/>
            </w:pPr>
            <w:r>
              <w:rPr>
                <w:rFonts w:ascii="仿宋_GB2312" w:hAnsi="仿宋_GB2312" w:cs="仿宋_GB2312" w:eastAsia="仿宋_GB2312"/>
                <w:sz w:val="24"/>
              </w:rPr>
              <w:t>（三）项目交付周期：一年</w:t>
            </w:r>
          </w:p>
          <w:p>
            <w:pPr>
              <w:pStyle w:val="null3"/>
              <w:ind w:firstLine="480"/>
              <w:jc w:val="both"/>
            </w:pPr>
            <w:r>
              <w:rPr>
                <w:rFonts w:ascii="仿宋_GB2312" w:hAnsi="仿宋_GB2312" w:cs="仿宋_GB2312" w:eastAsia="仿宋_GB2312"/>
                <w:sz w:val="24"/>
              </w:rPr>
              <w:t>（四）维保项目内容</w:t>
            </w:r>
          </w:p>
          <w:p>
            <w:pPr>
              <w:pStyle w:val="null3"/>
              <w:ind w:firstLine="480"/>
              <w:jc w:val="both"/>
            </w:pPr>
            <w:r>
              <w:rPr>
                <w:rFonts w:ascii="仿宋_GB2312" w:hAnsi="仿宋_GB2312" w:cs="仿宋_GB2312" w:eastAsia="仿宋_GB2312"/>
                <w:sz w:val="24"/>
              </w:rPr>
              <w:t>1.硬件设备及运维支持服务清单</w:t>
            </w:r>
          </w:p>
          <w:tbl>
            <w:tblPr>
              <w:tblBorders>
                <w:top w:val="none" w:color="000000" w:sz="4"/>
                <w:left w:val="none" w:color="000000" w:sz="4"/>
                <w:bottom w:val="none" w:color="000000" w:sz="4"/>
                <w:right w:val="none" w:color="000000" w:sz="4"/>
                <w:insideH w:val="none"/>
                <w:insideV w:val="none"/>
              </w:tblBorders>
            </w:tblPr>
            <w:tblGrid>
              <w:gridCol w:w="191"/>
              <w:gridCol w:w="601"/>
              <w:gridCol w:w="641"/>
              <w:gridCol w:w="681"/>
              <w:gridCol w:w="191"/>
              <w:gridCol w:w="227"/>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设备类型</w:t>
                  </w:r>
                </w:p>
              </w:tc>
              <w:tc>
                <w:tcPr>
                  <w:tcW w:type="dxa" w:w="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品牌名称</w:t>
                  </w:r>
                </w:p>
              </w:tc>
              <w:tc>
                <w:tcPr>
                  <w:tcW w:type="dxa" w:w="6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设备型号</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r>
                    <w:rPr>
                      <w:rFonts w:ascii="仿宋_GB2312" w:hAnsi="仿宋_GB2312" w:cs="仿宋_GB2312" w:eastAsia="仿宋_GB2312"/>
                      <w:sz w:val="24"/>
                    </w:rPr>
                    <w:t>146台）</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NF8465 M3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NF8460 M4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DL380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DL388 Gen10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1840-G25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I620-G15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I840-G20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H520-G30A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X3850 X5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system x3650 M4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R5230HA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RH 5885V3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RH2288H V5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RH2288H V3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A620r-G</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H520-G35A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R6230HA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曙光服务器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R4230HA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小型机（</w:t>
                  </w:r>
                  <w:r>
                    <w:rPr>
                      <w:rFonts w:ascii="仿宋_GB2312" w:hAnsi="仿宋_GB2312" w:cs="仿宋_GB2312" w:eastAsia="仿宋_GB2312"/>
                      <w:sz w:val="24"/>
                    </w:rPr>
                    <w:t>2台）</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IBM小型机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 570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w:t>
                  </w:r>
                  <w:r>
                    <w:rPr>
                      <w:rFonts w:ascii="仿宋_GB2312" w:hAnsi="仿宋_GB2312" w:cs="仿宋_GB2312" w:eastAsia="仿宋_GB2312"/>
                      <w:sz w:val="24"/>
                    </w:rPr>
                    <w:t>40台）</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18500v3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AS510N</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 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DS8700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宏杉存储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MS3300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5110V5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DS600 K30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 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V7000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OStor-K30D-436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OSTOR-K30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曙光存储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DS800-G35T</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V3700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戴尔存储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Equallogic PS4100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IBM存储</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DS4800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IBM存储扩展柜</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EXP810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601"/>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r>
                    <w:rPr>
                      <w:rFonts w:ascii="仿宋_GB2312" w:hAnsi="仿宋_GB2312" w:cs="仿宋_GB2312" w:eastAsia="仿宋_GB2312"/>
                      <w:sz w:val="24"/>
                    </w:rPr>
                    <w:t>29</w:t>
                  </w:r>
                  <w:r>
                    <w:rPr>
                      <w:rFonts w:ascii="仿宋_GB2312" w:hAnsi="仿宋_GB2312" w:cs="仿宋_GB2312" w:eastAsia="仿宋_GB2312"/>
                      <w:sz w:val="24"/>
                    </w:rPr>
                    <w:t>台）</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中兴交换机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ZXR10 5260-C</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锐捷交换机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RG-S6220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中兴交换机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ZXR10 5950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SAN交换机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SNS2124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锐捷</w:t>
                  </w:r>
                  <w:r>
                    <w:rPr>
                      <w:rFonts w:ascii="仿宋_GB2312" w:hAnsi="仿宋_GB2312" w:cs="仿宋_GB2312" w:eastAsia="仿宋_GB2312"/>
                      <w:sz w:val="24"/>
                    </w:rPr>
                    <w:t>SAN交换机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RG-S6220-48XS6QXS-H</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9</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SAN交换机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SNS2624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 SAN交换机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2498-B24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 SAN交换机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2498-B40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601"/>
                  <w:vMerge/>
                  <w:tcBorders>
                    <w:top w:val="none" w:color="000000" w:sz="4"/>
                    <w:left w:val="none" w:color="000000" w:sz="4"/>
                    <w:bottom w:val="non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rPr>
                      <w:rFonts w:ascii="仿宋_GB2312" w:hAnsi="仿宋_GB2312" w:cs="仿宋_GB2312" w:eastAsia="仿宋_GB2312"/>
                      <w:sz w:val="24"/>
                    </w:rPr>
                    <w:t>SAN交换机</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FC Switch 8GB</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6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UPS电源（2台）</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伊顿</w:t>
                  </w:r>
                  <w:r>
                    <w:rPr>
                      <w:rFonts w:ascii="仿宋_GB2312" w:hAnsi="仿宋_GB2312" w:cs="仿宋_GB2312" w:eastAsia="仿宋_GB2312"/>
                      <w:sz w:val="24"/>
                      <w:color w:val="000000"/>
                    </w:rPr>
                    <w:t>UPS</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Eaton 93E 400KVA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4</w:t>
                  </w:r>
                </w:p>
              </w:tc>
              <w:tc>
                <w:tcPr>
                  <w:tcW w:type="dxa" w:w="6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操作系统（</w:t>
                  </w:r>
                  <w:r>
                    <w:rPr>
                      <w:rFonts w:ascii="仿宋_GB2312" w:hAnsi="仿宋_GB2312" w:cs="仿宋_GB2312" w:eastAsia="仿宋_GB2312"/>
                      <w:sz w:val="24"/>
                    </w:rPr>
                    <w:t>99套）</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麒麟操作系统</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麒麟服务器操作系统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5</w:t>
                  </w:r>
                </w:p>
              </w:tc>
              <w:tc>
                <w:tcPr>
                  <w:tcW w:type="dxa" w:w="601"/>
                  <w:vMerge/>
                  <w:tcBorders>
                    <w:top w:val="none" w:color="000000" w:sz="4"/>
                    <w:left w:val="none" w:color="000000" w:sz="4"/>
                    <w:bottom w:val="single" w:color="000000" w:sz="4"/>
                    <w:right w:val="single" w:color="000000" w:sz="4"/>
                  </w:tcBorders>
                </w:tcP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统信操作系统</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统信服务器操作系统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ind w:firstLine="480"/>
              <w:jc w:val="both"/>
            </w:pPr>
            <w:r>
              <w:rPr>
                <w:rFonts w:ascii="仿宋_GB2312" w:hAnsi="仿宋_GB2312" w:cs="仿宋_GB2312" w:eastAsia="仿宋_GB2312"/>
                <w:sz w:val="24"/>
              </w:rPr>
              <w:t>2、硬件设备维保服务内容：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1）维保设备巡检服务：每周至少1次，现场对维保设备硬件和系统进行预防性检查，确保设备硬件和系统处于良好工作状态，内容包括：机房环境检查、硬件全面诊断、操作系统日志检查、系统性能和状态的检查</w:t>
            </w:r>
            <w:r>
              <w:rPr>
                <w:rFonts w:ascii="仿宋_GB2312" w:hAnsi="仿宋_GB2312" w:cs="仿宋_GB2312" w:eastAsia="仿宋_GB2312"/>
                <w:sz w:val="24"/>
              </w:rPr>
              <w:t>与</w:t>
            </w:r>
            <w:r>
              <w:rPr>
                <w:rFonts w:ascii="仿宋_GB2312" w:hAnsi="仿宋_GB2312" w:cs="仿宋_GB2312" w:eastAsia="仿宋_GB2312"/>
                <w:sz w:val="24"/>
              </w:rPr>
              <w:t>分析、系统配置检查、集群检查、提供检查报告。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2）对维保设备提供7*24小时软件、硬件服务。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3）热线电话服务设立：提供设备原厂商800或400远程技术服务热线和全天候的移动电话技术支持服务。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4）电子邮件服务：可以随时向技术服务信箱发送各类问题请求，并及时予以回复。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5）系统软件技术支持：系统软件的安装和调试、操作系统版本升级安装、修补软件和维护版本的安装。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现场故障处理：电话诊断或远程诊断完成后，若需现场服务，派遣工程师到现场（西安市1个小时内到达现场，延安市6个小时内到达现场），内容包括现场设备配置调整、故障诊断及故障排除，系统性能分析及调整，维修或更换故障设备（常用配件到达西安不超过1小时</w:t>
            </w:r>
            <w:r>
              <w:rPr>
                <w:rFonts w:ascii="仿宋_GB2312" w:hAnsi="仿宋_GB2312" w:cs="仿宋_GB2312" w:eastAsia="仿宋_GB2312"/>
                <w:sz w:val="24"/>
              </w:rPr>
              <w:t>、</w:t>
            </w:r>
            <w:r>
              <w:rPr>
                <w:rFonts w:ascii="仿宋_GB2312" w:hAnsi="仿宋_GB2312" w:cs="仿宋_GB2312" w:eastAsia="仿宋_GB2312"/>
                <w:sz w:val="24"/>
              </w:rPr>
              <w:t>到达延安不超过</w:t>
            </w:r>
            <w:r>
              <w:rPr>
                <w:rFonts w:ascii="仿宋_GB2312" w:hAnsi="仿宋_GB2312" w:cs="仿宋_GB2312" w:eastAsia="仿宋_GB2312"/>
                <w:sz w:val="24"/>
              </w:rPr>
              <w:t>6小时；核心及特殊配件到达西安不超过48小时，到达延安不超过72小时）。非硬件故障8小时内解决，硬件故障24小时内解决。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7）免费原厂备件更换：服务方应在西安本地设立针对该项目维保的设备硬件备件库（提供证明材料），并及时更新；提供全年7*24小时设备硬件备品备件支持。服务期限内</w:t>
            </w:r>
            <w:r>
              <w:rPr>
                <w:rFonts w:ascii="仿宋_GB2312" w:hAnsi="仿宋_GB2312" w:cs="仿宋_GB2312" w:eastAsia="仿宋_GB2312"/>
                <w:sz w:val="24"/>
              </w:rPr>
              <w:t>，</w:t>
            </w:r>
            <w:r>
              <w:rPr>
                <w:rFonts w:ascii="仿宋_GB2312" w:hAnsi="仿宋_GB2312" w:cs="仿宋_GB2312" w:eastAsia="仿宋_GB2312"/>
                <w:sz w:val="24"/>
              </w:rPr>
              <w:t>所有故障备件均免费更换。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8）系统调整：对系统的配置及参数等进行调整，如存储空间的调整、内核参数的调整、补丁分析及安装、数据备份软件调整、设备搬迁等。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9）服务档案：建立完善的服务档案，内容包括：客户地址、联系人及联系方式（移动电话、电话、传真、电子邮件等），合同范围内系统或设备的配置、设置及环境参数，每次的服务内容及参数变更。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设备档案：在合同生效后，服务方应派专人到现场，对合同范围内的设备进行详细的登记，收集建立设备档案所需的资料，包括设备名称、型号、核心部件的产品序列号、设备具体配置，操作系统及数据库版本、当前的资源利用率等。每年至少两次设备资产台账核对工作，形成并提交书面材料，由双方签字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11）为79套麒麟以及20套统信操作系统购买原厂维保服务。提供操作系统软件安装、调试升级、操作系统漏洞补丁更新、重大故障的现场处理服务，为应用系统部署迁移、系统优化提出合理化建议。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3、运维支持服务</w:t>
            </w:r>
          </w:p>
          <w:p>
            <w:pPr>
              <w:pStyle w:val="null3"/>
              <w:ind w:firstLine="480"/>
              <w:jc w:val="both"/>
            </w:pPr>
            <w:r>
              <w:rPr>
                <w:rFonts w:ascii="仿宋_GB2312" w:hAnsi="仿宋_GB2312" w:cs="仿宋_GB2312" w:eastAsia="仿宋_GB2312"/>
                <w:sz w:val="24"/>
              </w:rPr>
              <w:t>一线驻场服务：提供有丰富经验的工程师</w:t>
            </w:r>
            <w:r>
              <w:rPr>
                <w:rFonts w:ascii="仿宋_GB2312" w:hAnsi="仿宋_GB2312" w:cs="仿宋_GB2312" w:eastAsia="仿宋_GB2312"/>
                <w:sz w:val="24"/>
              </w:rPr>
              <w:t>5×8小时驻场服务，如非工作时间段设备出现问题，中标方应保证驻场工程师通讯畅通，电话沟通解决，电话沟通解决不了的安排工程师现场解决。</w:t>
            </w:r>
          </w:p>
          <w:p>
            <w:pPr>
              <w:pStyle w:val="null3"/>
              <w:ind w:firstLine="480"/>
              <w:jc w:val="both"/>
            </w:pPr>
            <w:r>
              <w:rPr>
                <w:rFonts w:ascii="仿宋_GB2312" w:hAnsi="仿宋_GB2312" w:cs="仿宋_GB2312" w:eastAsia="仿宋_GB2312"/>
                <w:sz w:val="24"/>
              </w:rPr>
              <w:t>二线支持服务：提供包括但不限于主机、存储、网络、</w:t>
            </w:r>
            <w:r>
              <w:rPr>
                <w:rFonts w:ascii="仿宋_GB2312" w:hAnsi="仿宋_GB2312" w:cs="仿宋_GB2312" w:eastAsia="仿宋_GB2312"/>
                <w:sz w:val="24"/>
              </w:rPr>
              <w:t>UPS电源、</w:t>
            </w:r>
            <w:r>
              <w:rPr>
                <w:rFonts w:ascii="仿宋_GB2312" w:hAnsi="仿宋_GB2312" w:cs="仿宋_GB2312" w:eastAsia="仿宋_GB2312"/>
                <w:sz w:val="24"/>
              </w:rPr>
              <w:t>数据库、基础环境、信息安全等</w:t>
            </w:r>
            <w:r>
              <w:rPr>
                <w:rFonts w:ascii="仿宋_GB2312" w:hAnsi="仿宋_GB2312" w:cs="仿宋_GB2312" w:eastAsia="仿宋_GB2312"/>
                <w:sz w:val="24"/>
              </w:rPr>
              <w:t>领域</w:t>
            </w:r>
            <w:r>
              <w:rPr>
                <w:rFonts w:ascii="仿宋_GB2312" w:hAnsi="仿宋_GB2312" w:cs="仿宋_GB2312" w:eastAsia="仿宋_GB2312"/>
                <w:sz w:val="24"/>
              </w:rPr>
              <w:t>多名有相应资质经验丰富的技术人员，进行</w:t>
            </w:r>
            <w:r>
              <w:rPr>
                <w:rFonts w:ascii="仿宋_GB2312" w:hAnsi="仿宋_GB2312" w:cs="仿宋_GB2312" w:eastAsia="仿宋_GB2312"/>
                <w:sz w:val="24"/>
              </w:rPr>
              <w:t>7×24小时的技术支持，范围包括设备的功能、配置、安装、调试、一般性咨询等，并随时准备处理各种突发事件及故障。</w:t>
            </w:r>
          </w:p>
          <w:p>
            <w:pPr>
              <w:pStyle w:val="null3"/>
              <w:ind w:firstLine="482"/>
              <w:jc w:val="both"/>
            </w:pPr>
            <w:r>
              <w:rPr>
                <w:rFonts w:ascii="仿宋_GB2312" w:hAnsi="仿宋_GB2312" w:cs="仿宋_GB2312" w:eastAsia="仿宋_GB2312"/>
                <w:sz w:val="24"/>
                <w:b/>
              </w:rPr>
              <w:t>二、项目交付件</w:t>
            </w:r>
          </w:p>
          <w:p>
            <w:pPr>
              <w:pStyle w:val="null3"/>
              <w:ind w:firstLine="480"/>
              <w:jc w:val="both"/>
            </w:pPr>
            <w:r>
              <w:rPr>
                <w:rFonts w:ascii="仿宋_GB2312" w:hAnsi="仿宋_GB2312" w:cs="仿宋_GB2312" w:eastAsia="仿宋_GB2312"/>
                <w:sz w:val="24"/>
              </w:rPr>
              <w:t>在项目运维服务过程中严格遵守财政厅的规章制度与要求，提供如下交付件：</w:t>
            </w:r>
          </w:p>
          <w:p>
            <w:pPr>
              <w:pStyle w:val="null3"/>
              <w:numPr>
                <w:ilvl w:val="0"/>
                <w:numId w:val="1"/>
              </w:numPr>
              <w:spacing w:after="165"/>
              <w:ind w:left="1050"/>
            </w:pPr>
            <w:r>
              <w:rPr>
                <w:rFonts w:ascii="仿宋_GB2312" w:hAnsi="仿宋_GB2312" w:cs="仿宋_GB2312" w:eastAsia="仿宋_GB2312"/>
                <w:sz w:val="24"/>
              </w:rPr>
              <w:t>硬件设备维保工作月报（每月一次）</w:t>
            </w:r>
          </w:p>
          <w:p>
            <w:pPr>
              <w:pStyle w:val="null3"/>
              <w:numPr>
                <w:ilvl w:val="0"/>
                <w:numId w:val="1"/>
              </w:numPr>
              <w:spacing w:after="165"/>
              <w:ind w:left="1050"/>
            </w:pPr>
            <w:r>
              <w:rPr>
                <w:rFonts w:ascii="仿宋_GB2312" w:hAnsi="仿宋_GB2312" w:cs="仿宋_GB2312" w:eastAsia="仿宋_GB2312"/>
                <w:sz w:val="24"/>
              </w:rPr>
              <w:t>硬件设备维保季度总结报告（每季度一次）</w:t>
            </w:r>
          </w:p>
          <w:p>
            <w:pPr>
              <w:pStyle w:val="null3"/>
              <w:numPr>
                <w:ilvl w:val="0"/>
                <w:numId w:val="1"/>
              </w:numPr>
              <w:spacing w:after="165"/>
              <w:ind w:left="1050"/>
            </w:pPr>
            <w:r>
              <w:rPr>
                <w:rFonts w:ascii="仿宋_GB2312" w:hAnsi="仿宋_GB2312" w:cs="仿宋_GB2312" w:eastAsia="仿宋_GB2312"/>
                <w:sz w:val="24"/>
              </w:rPr>
              <w:t>硬件设备维保年度总结报告（每年度一次）</w:t>
            </w:r>
          </w:p>
          <w:p>
            <w:pPr>
              <w:pStyle w:val="null3"/>
              <w:numPr>
                <w:ilvl w:val="0"/>
                <w:numId w:val="1"/>
              </w:numPr>
              <w:spacing w:after="165"/>
              <w:ind w:left="1050"/>
            </w:pPr>
            <w:r>
              <w:rPr>
                <w:rFonts w:ascii="仿宋_GB2312" w:hAnsi="仿宋_GB2312" w:cs="仿宋_GB2312" w:eastAsia="仿宋_GB2312"/>
                <w:sz w:val="24"/>
              </w:rPr>
              <w:t>定期巡检服务报告（每周一次）</w:t>
            </w:r>
          </w:p>
          <w:p>
            <w:pPr>
              <w:pStyle w:val="null3"/>
              <w:numPr>
                <w:ilvl w:val="0"/>
                <w:numId w:val="1"/>
              </w:numPr>
              <w:spacing w:after="165"/>
              <w:ind w:left="1050"/>
            </w:pPr>
            <w:r>
              <w:rPr>
                <w:rFonts w:ascii="仿宋_GB2312" w:hAnsi="仿宋_GB2312" w:cs="仿宋_GB2312" w:eastAsia="仿宋_GB2312"/>
                <w:sz w:val="24"/>
              </w:rPr>
              <w:t>重大故障处理报告（按次）</w:t>
            </w:r>
          </w:p>
          <w:p>
            <w:pPr>
              <w:pStyle w:val="null3"/>
              <w:numPr>
                <w:ilvl w:val="0"/>
                <w:numId w:val="1"/>
              </w:numPr>
              <w:spacing w:after="165"/>
              <w:ind w:left="1050"/>
            </w:pPr>
            <w:r>
              <w:rPr>
                <w:rFonts w:ascii="仿宋_GB2312" w:hAnsi="仿宋_GB2312" w:cs="仿宋_GB2312" w:eastAsia="仿宋_GB2312"/>
                <w:sz w:val="24"/>
              </w:rPr>
              <w:t>数据中心各类管理制度</w:t>
            </w:r>
          </w:p>
          <w:p>
            <w:pPr>
              <w:pStyle w:val="null3"/>
              <w:ind w:firstLine="480"/>
              <w:jc w:val="both"/>
            </w:pPr>
            <w:r>
              <w:rPr>
                <w:rFonts w:ascii="仿宋_GB2312" w:hAnsi="仿宋_GB2312" w:cs="仿宋_GB2312" w:eastAsia="仿宋_GB2312"/>
                <w:sz w:val="24"/>
              </w:rPr>
              <w:t>项目交付件应提供电子版、纸质版。</w:t>
            </w:r>
          </w:p>
          <w:p>
            <w:pPr>
              <w:pStyle w:val="null3"/>
              <w:ind w:firstLine="482"/>
              <w:jc w:val="both"/>
            </w:pPr>
            <w:r>
              <w:rPr>
                <w:rFonts w:ascii="仿宋_GB2312" w:hAnsi="仿宋_GB2312" w:cs="仿宋_GB2312" w:eastAsia="仿宋_GB2312"/>
                <w:sz w:val="24"/>
                <w:b/>
              </w:rPr>
              <w:t>三、付款方式</w:t>
            </w:r>
          </w:p>
          <w:p>
            <w:pPr>
              <w:pStyle w:val="null3"/>
              <w:ind w:firstLine="480"/>
              <w:jc w:val="both"/>
            </w:pPr>
            <w:r>
              <w:rPr>
                <w:rFonts w:ascii="仿宋_GB2312" w:hAnsi="仿宋_GB2312" w:cs="仿宋_GB2312" w:eastAsia="仿宋_GB2312"/>
                <w:sz w:val="24"/>
              </w:rPr>
              <w:t>合同款由甲方分</w:t>
            </w:r>
            <w:r>
              <w:rPr>
                <w:rFonts w:ascii="仿宋_GB2312" w:hAnsi="仿宋_GB2312" w:cs="仿宋_GB2312" w:eastAsia="仿宋_GB2312"/>
                <w:sz w:val="24"/>
              </w:rPr>
              <w:t>3期支付给乙方，原则上合同约定的金额与对运维供应商考核评价结果结算，选择分期支付，具体支付方式及节点如下：</w:t>
            </w:r>
          </w:p>
          <w:p>
            <w:pPr>
              <w:pStyle w:val="null3"/>
              <w:ind w:firstLine="480"/>
              <w:jc w:val="both"/>
            </w:pPr>
            <w:r>
              <w:rPr>
                <w:rFonts w:ascii="仿宋_GB2312" w:hAnsi="仿宋_GB2312" w:cs="仿宋_GB2312" w:eastAsia="仿宋_GB2312"/>
                <w:sz w:val="24"/>
              </w:rPr>
              <w:t>（一）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w:t>
            </w:r>
            <w:r>
              <w:rPr>
                <w:rFonts w:ascii="仿宋_GB2312" w:hAnsi="仿宋_GB2312" w:cs="仿宋_GB2312" w:eastAsia="仿宋_GB2312"/>
                <w:sz w:val="24"/>
              </w:rPr>
              <w:t>30％。</w:t>
            </w:r>
          </w:p>
          <w:p>
            <w:pPr>
              <w:pStyle w:val="null3"/>
              <w:ind w:firstLine="480"/>
              <w:jc w:val="both"/>
            </w:pPr>
            <w:r>
              <w:rPr>
                <w:rFonts w:ascii="仿宋_GB2312" w:hAnsi="仿宋_GB2312" w:cs="仿宋_GB2312" w:eastAsia="仿宋_GB2312"/>
                <w:sz w:val="24"/>
              </w:rPr>
              <w:t>（二）二期款：本项目运维服务</w:t>
            </w:r>
            <w:r>
              <w:rPr>
                <w:rFonts w:ascii="仿宋_GB2312" w:hAnsi="仿宋_GB2312" w:cs="仿宋_GB2312" w:eastAsia="仿宋_GB2312"/>
                <w:sz w:val="24"/>
                <w:u w:val="single"/>
              </w:rPr>
              <w:t>9</w:t>
            </w:r>
            <w:r>
              <w:rPr>
                <w:rFonts w:ascii="仿宋_GB2312" w:hAnsi="仿宋_GB2312" w:cs="仿宋_GB2312" w:eastAsia="仿宋_GB2312"/>
                <w:sz w:val="24"/>
              </w:rPr>
              <w:t>个月后，甲方对项目进行阶段评价，乙方书面提出支付申请函及与拟支付金额等额的符合甲方财务管理要求的相应发票，甲方确认后启动支付流程，支付合同总金额的</w:t>
            </w:r>
            <w:r>
              <w:rPr>
                <w:rFonts w:ascii="仿宋_GB2312" w:hAnsi="仿宋_GB2312" w:cs="仿宋_GB2312" w:eastAsia="仿宋_GB2312"/>
                <w:sz w:val="24"/>
              </w:rPr>
              <w:t>40％。</w:t>
            </w:r>
          </w:p>
          <w:p>
            <w:pPr>
              <w:pStyle w:val="null3"/>
              <w:ind w:firstLine="480"/>
              <w:jc w:val="both"/>
            </w:pPr>
            <w:r>
              <w:rPr>
                <w:rFonts w:ascii="仿宋_GB2312" w:hAnsi="仿宋_GB2312" w:cs="仿宋_GB2312" w:eastAsia="仿宋_GB2312"/>
                <w:sz w:val="24"/>
              </w:rPr>
              <w:t>（三）尾款：本项目服务期满，且经甲方评价后</w:t>
            </w:r>
            <w:r>
              <w:rPr>
                <w:rFonts w:ascii="仿宋_GB2312" w:hAnsi="仿宋_GB2312" w:cs="仿宋_GB2312" w:eastAsia="仿宋_GB2312"/>
                <w:sz w:val="24"/>
              </w:rPr>
              <w:t>30个工作日内，依据甲方服务评价结果或结算审计结果（如有）确认的金额，乙方书面提出支付申请函及与拟支付金额等额的符合甲方财务管理要求的相应发票，甲方确认后启动尾款支付流程。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按相关规定执行。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本项目运维服务9个月后，甲方对项目进行阶段评价，乙方书面提出支付申请函及与拟支付金额等额的符合甲方财务管理要求的相应发票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提供供应商2024年11月1日至今已缴存的任意一个月的社会保障资金缴存单据或社保机构开具的社会保险参保缴费情况证明；依法不需要缴纳社会保障资金的应提供相关文件证明；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信用查询(采购人或采购代理机构开标当天查询,供应商无须提供截图)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2）响应文件格式：应符合磋商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业绩一览表.docx 中小企业声明函 商务应答表.docx 响应文件封面 分项报价表.docx 供应商应提交的相关资格证明材料.docx 残疾人福利性单位声明函 标的清单 服务内容及服务邀请应答表.docx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业绩一览表.docx 中小企业声明函 商务应答表.docx 响应文件封面 分项报价表.docx 供应商应提交的相关资格证明材料.docx 残疾人福利性单位声明函 标的清单 服务内容及服务邀请应答表.docx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（1）项目实施时间满足磋商文件要求（2）实施地点满足磋商文件要求（3）磋商有效期：满足磋商文件中的规定。</w:t>
            </w:r>
          </w:p>
        </w:tc>
        <w:tc>
          <w:tcPr>
            <w:tcW w:type="dxa" w:w="1661"/>
          </w:tcPr>
          <w:p>
            <w:pPr>
              <w:pStyle w:val="null3"/>
            </w:pPr>
            <w:r>
              <w:rPr>
                <w:rFonts w:ascii="仿宋_GB2312" w:hAnsi="仿宋_GB2312" w:cs="仿宋_GB2312" w:eastAsia="仿宋_GB2312"/>
              </w:rPr>
              <w:t>业绩一览表.docx 中小企业声明函 商务应答表.docx 响应文件封面 分项报价表.docx 供应商应提交的相关资格证明材料.docx 残疾人福利性单位声明函 标的清单 服务内容及服务邀请应答表.docx 响应函 服务方案.docx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供应商针对本项目需求理解和分析，项目重点把握准确，按其响应程度赋分。 （1）对用户需求理解全面详尽、分析准确得5分； （2）对用户需求理解合理、分析较准确得3分； （3）对用户需求理解简单，适用性一般得1分；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项目运维方案</w:t>
            </w:r>
          </w:p>
        </w:tc>
        <w:tc>
          <w:tcPr>
            <w:tcW w:type="dxa" w:w="2492"/>
          </w:tcPr>
          <w:p>
            <w:pPr>
              <w:pStyle w:val="null3"/>
            </w:pPr>
            <w:r>
              <w:rPr>
                <w:rFonts w:ascii="仿宋_GB2312" w:hAnsi="仿宋_GB2312" w:cs="仿宋_GB2312" w:eastAsia="仿宋_GB2312"/>
              </w:rPr>
              <w:t>供应商针对本项目维保服务需求定制规范化的运维方案，包括但不限于设备巡检、技术咨询、远程支持、备品备件、设备固件更新、驻场服务、技术培训等内容。 （1）整体方案描述完整详细，逻辑层次清晰、针对性极强，痛点分析精准，解决方案明确，得24分。 （2）整体方案描述完整，痛点分析合理，针对性较好，解决方案较为清晰，得 20分。 （3）整体方案描述基本完整，但缺乏量化及针对性，解决方案与业务关联度一般，得 16分。 （4）方案完整度欠佳，需求分析存在盲区，仅罗列基础需求，针对性欠佳，得12分。 （5）方案完整度差，内容一般或缺失、针对性差、服务标准低，得8分。 （6）方案描述碎片化，与需求契合度低，无针对性，得 4 分。 未提供的不得分。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供应商针对本项目建立完善的服务管理体系及流程，结合财政厅现有管理工具与制度，明确运维服务计划和项目实施进度安排。 （1）措施能够充分保证设备运行可靠、稳定，性能充分发挥，运维服务流程清晰，操作性强的，得12分； （2）措施能够满足设备正常运行要求，运维服务流程较清晰的，得9分； （3）措施能够基本达到设备正常运行要求，运维服务流程一般的，得6分； （4）措施较难达到本项目质量控制目标的，得2分；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（1）供应商具备ITSS信息技术服务运行维护标准符合性证书，二级及以上得3分，三级得2分，四级得1分； （2）供应商能够提供原设备或系统生产厂家（华为、曙光、浪潮、宏杉、伊顿、麒麟、统信）出具的相关合作证明材料（包括但不限于原厂授权、合作协议等），每出具华为、曙光、浪潮、宏杉、伊顿一家得1分，每出具麒麟、统信一家得0.5分，最多得6分； 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人员配置1</w:t>
            </w:r>
          </w:p>
        </w:tc>
        <w:tc>
          <w:tcPr>
            <w:tcW w:type="dxa" w:w="2492"/>
          </w:tcPr>
          <w:p>
            <w:pPr>
              <w:pStyle w:val="null3"/>
            </w:pPr>
            <w:r>
              <w:rPr>
                <w:rFonts w:ascii="仿宋_GB2312" w:hAnsi="仿宋_GB2312" w:cs="仿宋_GB2312" w:eastAsia="仿宋_GB2312"/>
              </w:rPr>
              <w:t>供应商充分了解本项目运维支持服务需求，项目技术团队人员应满足： （1）项目驻场工程师至少具有2年相关工作经验，提供相关证明材料的得2分； （2）项目经理具备信息系统项目管理师（高级）或PMP证书，提供得2分； 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人员配置2</w:t>
            </w:r>
          </w:p>
        </w:tc>
        <w:tc>
          <w:tcPr>
            <w:tcW w:type="dxa" w:w="2492"/>
          </w:tcPr>
          <w:p>
            <w:pPr>
              <w:pStyle w:val="null3"/>
            </w:pPr>
            <w:r>
              <w:rPr>
                <w:rFonts w:ascii="仿宋_GB2312" w:hAnsi="仿宋_GB2312" w:cs="仿宋_GB2312" w:eastAsia="仿宋_GB2312"/>
              </w:rPr>
              <w:t>供应商拟投入的项目技术团队应符合本项目需求，人员充足，有相关专业工作经验丰富且具备相应资格证书（包括但不限于人员学历证书、专业资格证书或职称证等证明材料） （1）项目技术支持团队人员配置合理、数量充足、技术方向配置齐全，针对性强、分工明确，完全满足采购人需求，得4分； （2）人员配置较齐全，专业方向基本满足项目需求，分工基本合理，得2分； （3）人员配置数量较少，专业方向配备不齐全，得1分。 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供应商针对本项目提供详细具体可行的安全保障措施： （1）措施逻辑层次清晰、针对性强、与采购内容的吻合程度高的，得7分； （2）措施逻辑层次较清晰、针对性较强、与采购内容的吻合程度一般，内容较简单的，得4 分； （3）措施逻辑层次不清晰、不全面，得2分； 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供应商针对本项目提出应急服务方案： （1）应急服务方案内容详细完整，完全满足项目需求，得5分； （2）应急服务方案内容基本完整，基本满足项目需求，得3分； （3）应急服务方案内容有欠缺，影响到项目实施的得1分；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供应商针对项目安全保密职责提供具体的保密措施，由评标委员会进行综合评审： （1）保密措施内容详细完整，且利于项目实施的得5分； （2）保密措施内容满足本项目需求，不影响项目实施的得3分； （3）保密措施内容有欠缺，影响项目实施的得1分；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供应商2022年1月1日至今同类项目合同，供应商承担过类似项目业绩，项目业绩每个得1分，最多得5分。 备注：类似业绩时间、证明资料以供应商加盖公章的合同复印件或扫描件为准。时间以合同签订时间为准。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价格分统一采用低价优先法计算，即满足磋商文件要求且报价最低的为评标基准价，其价格分为满分。其他供应商的价格分统一按照下列公式计算： 报价得分=（评审基准价/投标报价）×20 计算分数时四舍五入取小数点后两位。 注：其他通过资格审查、符合性审查供应商的报价，有可能影响服务质量或者不能诚信履约的，应当要求其在现场合理的时间内提供书面说明，必要时提交相关证明材料；供应商不能证明其报价合理性的，磋商小组应当将其作为无效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详见附件：最新合同范本.docx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