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版本号：SZT2025-SN-SC-ZC-HW-111320251211002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中医药与人工智能深度融合的示范研究项目（二期）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SZT2025-SN-SC-ZC-HW-1113</w:t>
      </w:r>
      <w:r>
        <w:br/>
      </w:r>
      <w:r>
        <w:br/>
      </w:r>
      <w:r>
        <w:br/>
      </w:r>
    </w:p>
    <w:p>
      <w:pPr>
        <w:pStyle w:val="null3"/>
        <w:jc w:val="center"/>
        <w:outlineLvl w:val="2"/>
      </w:pPr>
      <w:r>
        <w:rPr>
          <w:rFonts w:ascii="仿宋_GB2312" w:hAnsi="仿宋_GB2312" w:cs="仿宋_GB2312" w:eastAsia="仿宋_GB2312"/>
          <w:sz w:val="28"/>
          <w:b/>
        </w:rPr>
        <w:t>陕西中医药大学附属医院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陕西中医药大学附属医院</w:t>
      </w:r>
      <w:r>
        <w:rPr>
          <w:rFonts w:ascii="仿宋_GB2312" w:hAnsi="仿宋_GB2312" w:cs="仿宋_GB2312" w:eastAsia="仿宋_GB2312"/>
        </w:rPr>
        <w:t>委托，拟对</w:t>
      </w:r>
      <w:r>
        <w:rPr>
          <w:rFonts w:ascii="仿宋_GB2312" w:hAnsi="仿宋_GB2312" w:cs="仿宋_GB2312" w:eastAsia="仿宋_GB2312"/>
        </w:rPr>
        <w:t>中医药与人工智能深度融合的示范研究项目（二期）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SZT2025-SN-SC-ZC-HW-1113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中医药与人工智能深度融合的示范研究项目（二期）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陕西中医药大学附属医院已建设中医药与人工智能深度融合的示范研究项目一期项目，核心内容为中医智慧传承信息平台，四诊设备、服务器等基础设施建设，实现了中医智慧传承数字化基础条件； 本次项目二期建设是对一期的继承延伸与功能升级，在全面承接一期中医智慧传承信息平台核心数据与数字化成果的基础上，新增高质量数据集管理平台、三个名老中医的智能体传承应用模型及推广应用、辅助决策系统，并新增GPU 硬件提升算力支撑，形成“数据沉淀—模型构建—智能应用”的完整闭环，推动中医药智能传承与临床辅助应用向更深层次发展。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1、法定代表人授权委托书：附法定代表人身份证明（法定代表人直接参加投标，须提供法定代表人身份证明及身份证复印件）或法定代表人授权委托书（附法定代表人、被授权人身份证复印件）；</w:t>
      </w:r>
    </w:p>
    <w:p>
      <w:pPr>
        <w:pStyle w:val="null3"/>
      </w:pPr>
      <w:r>
        <w:rPr>
          <w:rFonts w:ascii="仿宋_GB2312" w:hAnsi="仿宋_GB2312" w:cs="仿宋_GB2312" w:eastAsia="仿宋_GB2312"/>
        </w:rPr>
        <w:t>2、本项目不接受联合体投标：本项目不接受联合体投标；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陕西中医药大学附属医院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陕西省咸阳市渭阳西路副2号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712046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029-33320910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米成、胡婷、单博、李娜、史肖霞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开户名称：陕西中技招标有限公司（转账备注项目编号后四位数字及采购包号）</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代理服务费收费标准：招标代理服务费收取按照国家计委颁布的《招标代理服务收费管理暂行办法》（计价格[2002]1980号）和（发改办价格[2003]857号）货物类收费标准下浮20%收取。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陕西中医药大学附属医院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陕西中医药大学附属医院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陕西中医药大学附属医院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一、初验 （1）硬件验收标准： 1.1 数量验收：甲方根据本合同采购明细中的硬件设备清单，对到货设备的名称、规格型号、数量进行逐一核对，确保与合同约定一致，无短缺、错发情况。 1.2外观验收：检查设备外观是否完好，无划痕、变形、破损等情况，设备包装是否完整，无开封、受潮、挤压等痕迹，附件、说明书、保修卡等资料是否齐全。 1.3性能验收：乙方需按照设备厂家提供的技术参数及行业标准，对硬件设备进行性能测试，包括但不限于服务器的 CPU 运算速度、内存读写速度、硬盘存储性能，存储设备的读写速度、网络端口速率等，测试结果需符合合同约定的技术要求及设备厂家的出厂标准。 硬件设备验收合格后，双方签署《硬件设备到货验收单》；如验收不合格，乙方需在 7 个日历日内更换或补齐不合格设备，重新组织验收，由此产生的费用由乙方承担，工期相应顺延。 （2）软件验收标准： 2.1功能验收：按照本合同约定的软件功能模块及甲方根据国家智慧中医医院试点项目和咸阳市科技局课题提出的个性化需求，对软件的各项功能进行逐一测试，确保软件功能完整、准确，能够满足甲方日常业务处理及管理需求，无功能缺失、逻辑错误等问题。 2.2 文档验收：乙方需向甲方提交完整的软件技术文档，包括需求分析报告、设计方案文档、数据库字典、测试报告、性能报告、用户手册、操作指南、维护手册等，文档内容需完整、准确、清晰，符合行业规范及甲方要求。 2.3 培训验收：乙方完成用户培训后，甲方组织科研部等相关部门对参训人员进行培训考核，相关参训人员考核通过即达到培训要求。 相关验收合格后，双方签署《软件验收单》；如验收不合格，乙方需根据甲方提出的整改意见在30个日历日内完成整改，整改费用由乙方承担，若整改后仍无法通过验收，甲方有权解除合同。 2.4软件性能验收 对软件性能进行极限测试、反应速度测试、数据展示测试、性能测试、容错测试、流畅度测试、兼容性测试、维护测试等进行验收。 二、终验 （3）项目整体验收标准： 项目整体验收需在硬件设备验收合格、软件验收合格后，乙方提出验收申请，甲方在10个工作日内组织进行项目整体验收，整体验收标准包括： 3.1.硬件设备运行正常，无故障发生，性能稳定，满足软件运行及甲方业务需求。 3.2.软件功能完善，运行稳定，数据准确，能够正常处理相关日常业务，无重大 bug 及安全隐患。 3.3.乙方已完成合同约定的所有服务内容，包括需求调研、方案设计、开发编码、测试调试、部署上线、用户培训、技术支持等，且服务质量符合合同要求。 3.4.验收依据：采购文件、投标响应文件、澄清函、合同附件等。 项目整体验收合格后，出具《项目最终验收报告》；如整体验收不合格，乙方需在30个日历日内完成整改，重新组织验收，若整改后因乙方原因仍无法通过验收，乙方承担相应的违约责任。</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联系人：戴工</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陕西中医药大学附属医院已建设中医药与人工智能深度融合的示范研究项目一期项目，核心内容为中医智慧传承信息平台，四诊设备、服务器等基础设施建设，实现了中医智慧传承数字化基础条件； 本次项目二期建设是对一期的继承延伸与功能升级，在全面承接一期中医智慧传承信息平台核心数据与数字化成果的基础上，新增高质量数据集管理平台、三个名老中医的智能体传承应用模型及推广应用、辅助决策系统，并新增GPU 硬件提升算力支撑，形成“数据沉淀—模型构建—智能应用”的完整闭环，推动中医药智能传承与临床辅助应用向更深层次发展。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中医药与人工智能深度融合的示范研究项目（二期）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标的名称：中医药与人工智能深度融合的示范研究项目（二期）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085"/>
              <w:gridCol w:w="352"/>
              <w:gridCol w:w="306"/>
              <w:gridCol w:w="810"/>
            </w:tblGrid>
            <w:tr>
              <w:tc>
                <w:tcPr>
                  <w:tcW w:type="dxa" w:w="10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项目名称</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数量</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单位</w:t>
                  </w:r>
                </w:p>
              </w:tc>
              <w:tc>
                <w:tcPr>
                  <w:tcW w:type="dxa" w:w="8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备注</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高质量数据集管理平台</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建立高质量数据集管理平台</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智能体传承应用模型</w:t>
                  </w:r>
                </w:p>
                <w:p>
                  <w:pPr>
                    <w:pStyle w:val="null3"/>
                    <w:jc w:val="left"/>
                  </w:pPr>
                  <w:r>
                    <w:rPr>
                      <w:rFonts w:ascii="仿宋_GB2312" w:hAnsi="仿宋_GB2312" w:cs="仿宋_GB2312" w:eastAsia="仿宋_GB2312"/>
                      <w:sz w:val="24"/>
                    </w:rPr>
                    <w:t>（三个名中医）</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选取我院三个名中医，结合大模型，开展名中医智能体研究，名中医智能体在临床应用、核心目标与成果如下：</w:t>
                  </w:r>
                  <w:r>
                    <w:rPr>
                      <w:rFonts w:ascii="仿宋_GB2312" w:hAnsi="仿宋_GB2312" w:cs="仿宋_GB2312" w:eastAsia="仿宋_GB2312"/>
                      <w:sz w:val="24"/>
                    </w:rPr>
                    <w:t>1.配合采购人完成3个软件著作权。</w:t>
                  </w:r>
                </w:p>
                <w:p>
                  <w:pPr>
                    <w:pStyle w:val="null3"/>
                    <w:jc w:val="both"/>
                  </w:pPr>
                  <w:r>
                    <w:rPr>
                      <w:rFonts w:ascii="仿宋_GB2312" w:hAnsi="仿宋_GB2312" w:cs="仿宋_GB2312" w:eastAsia="仿宋_GB2312"/>
                      <w:sz w:val="24"/>
                    </w:rPr>
                    <w:t>2.配合采购人发表2-3篇高质量论文。</w:t>
                  </w:r>
                </w:p>
                <w:p>
                  <w:pPr>
                    <w:pStyle w:val="null3"/>
                    <w:jc w:val="both"/>
                  </w:pPr>
                  <w:r>
                    <w:rPr>
                      <w:rFonts w:ascii="仿宋_GB2312" w:hAnsi="仿宋_GB2312" w:cs="仿宋_GB2312" w:eastAsia="仿宋_GB2312"/>
                      <w:sz w:val="24"/>
                    </w:rPr>
                    <w:t>3.配合采购人形成总结报告1份。</w:t>
                  </w:r>
                </w:p>
                <w:p>
                  <w:pPr>
                    <w:pStyle w:val="null3"/>
                    <w:jc w:val="both"/>
                  </w:pPr>
                  <w:r>
                    <w:rPr>
                      <w:rFonts w:ascii="仿宋_GB2312" w:hAnsi="仿宋_GB2312" w:cs="仿宋_GB2312" w:eastAsia="仿宋_GB2312"/>
                      <w:sz w:val="24"/>
                    </w:rPr>
                    <w:t>4.延伸至基层中医诊疗机构进行试点应用，不少于10家，辅助基层医生临床诊疗。</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辅助决策系统</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建立门诊辅助决策、住院辅助决策、医技辅助决策、知识库等应用</w:t>
                  </w:r>
                </w:p>
              </w:tc>
            </w:tr>
            <w:tr>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GPU服务器</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4"/>
                <w:b/>
              </w:rPr>
              <w:t>高质量数据集管理平台</w:t>
            </w:r>
          </w:p>
          <w:p>
            <w:pPr>
              <w:pStyle w:val="null3"/>
              <w:jc w:val="both"/>
            </w:pPr>
            <w:r>
              <w:rPr>
                <w:rFonts w:ascii="仿宋_GB2312" w:hAnsi="仿宋_GB2312" w:cs="仿宋_GB2312" w:eastAsia="仿宋_GB2312"/>
                <w:sz w:val="24"/>
                <w:b/>
              </w:rPr>
              <w:t>一、数据标准管理</w:t>
            </w:r>
          </w:p>
          <w:p>
            <w:pPr>
              <w:pStyle w:val="null3"/>
              <w:jc w:val="both"/>
            </w:pPr>
            <w:r>
              <w:rPr>
                <w:rFonts w:ascii="仿宋_GB2312" w:hAnsi="仿宋_GB2312" w:cs="仿宋_GB2312" w:eastAsia="仿宋_GB2312"/>
                <w:sz w:val="24"/>
                <w:b/>
              </w:rPr>
              <w:t>（一）元数据与主数据管理</w:t>
            </w:r>
          </w:p>
          <w:p>
            <w:pPr>
              <w:pStyle w:val="null3"/>
              <w:jc w:val="both"/>
            </w:pPr>
            <w:r>
              <w:rPr>
                <w:rFonts w:ascii="仿宋_GB2312" w:hAnsi="仿宋_GB2312" w:cs="仿宋_GB2312" w:eastAsia="仿宋_GB2312"/>
                <w:sz w:val="24"/>
              </w:rPr>
              <w:t>▲支持建立数据标准字典数据元，对系统中最基本的数据单元（数据元）进行标准化定义和管理，确保数据同数同源、字典统一，且系统需预设相关国标基础字典数据；同时覆盖数据集全生命周期关键信息，包括基础属性、质量属性、业务属性、技术属性，支持元数据自动提取（通过接口从HIS系统同步）与手动编辑（提供可视化界面，支持字段补录、错误修正及操作留痕），支持多条件组合查询及查询结果导出（Excel/PDF格式）。</w:t>
            </w:r>
          </w:p>
          <w:p>
            <w:pPr>
              <w:pStyle w:val="null3"/>
              <w:jc w:val="both"/>
            </w:pPr>
            <w:r>
              <w:rPr>
                <w:rFonts w:ascii="仿宋_GB2312" w:hAnsi="仿宋_GB2312" w:cs="仿宋_GB2312" w:eastAsia="仿宋_GB2312"/>
                <w:sz w:val="24"/>
              </w:rPr>
              <w:t>基于国家权威中医术语库编制标准主数据，包括《中医临床诊疗术语》（</w:t>
            </w:r>
            <w:r>
              <w:rPr>
                <w:rFonts w:ascii="仿宋_GB2312" w:hAnsi="仿宋_GB2312" w:cs="仿宋_GB2312" w:eastAsia="仿宋_GB2312"/>
                <w:sz w:val="24"/>
              </w:rPr>
              <w:t>GB/T 16751.1-2017 症状术语、GB/T 16751.2-2017 证候术语、GB/T 16751.3-2017 诊疗技术术语）、《中药编码规则及编码》（GB/T 31774-2015）等；针对核心主数据字段设置标准化代码值域，支持值域范围预览、新增代码、无效代码冻结，同时支持医院特色术语新增（标注“医院特色”标识，与国家标准术语区分），纳入主数据管理体系。</w:t>
            </w:r>
          </w:p>
          <w:p>
            <w:pPr>
              <w:pStyle w:val="null3"/>
              <w:jc w:val="both"/>
            </w:pPr>
            <w:r>
              <w:rPr>
                <w:rFonts w:ascii="仿宋_GB2312" w:hAnsi="仿宋_GB2312" w:cs="仿宋_GB2312" w:eastAsia="仿宋_GB2312"/>
                <w:sz w:val="24"/>
                <w:b/>
              </w:rPr>
              <w:t>（二）标准目录与版本管理</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构建标准目录，每个标准条目包含</w:t>
            </w:r>
            <w:r>
              <w:rPr>
                <w:rFonts w:ascii="仿宋_GB2312" w:hAnsi="仿宋_GB2312" w:cs="仿宋_GB2312" w:eastAsia="仿宋_GB2312"/>
                <w:sz w:val="24"/>
              </w:rPr>
              <w:t>“标准名称、标准编号、实施日期、适用范围、核心内容摘要、关联数据集”，支持在线查阅、全文下载（PDF格式）；建立标准动态维护机制，当国家发布新标或临床业务需求变化时，由数据管理组发起标准更新申请、组织评审，评审通过后发布更新并记录日志。</w:t>
            </w:r>
          </w:p>
          <w:p>
            <w:pPr>
              <w:pStyle w:val="null3"/>
              <w:jc w:val="both"/>
            </w:pPr>
            <w:r>
              <w:rPr>
                <w:rFonts w:ascii="仿宋_GB2312" w:hAnsi="仿宋_GB2312" w:cs="仿宋_GB2312" w:eastAsia="仿宋_GB2312"/>
                <w:sz w:val="24"/>
              </w:rPr>
              <w:t>记录每版标准的修订信息，包括版本号、修订原因、修订内容、修订人、生效日期，支持历史版本回溯；标准发布后自动同步至院内相关系统（如中医智慧传承信息平台），确保所有系统使用统一标准。</w:t>
            </w:r>
          </w:p>
          <w:p>
            <w:pPr>
              <w:pStyle w:val="null3"/>
              <w:jc w:val="both"/>
            </w:pPr>
            <w:r>
              <w:rPr>
                <w:rFonts w:ascii="仿宋_GB2312" w:hAnsi="仿宋_GB2312" w:cs="仿宋_GB2312" w:eastAsia="仿宋_GB2312"/>
                <w:sz w:val="24"/>
                <w:b/>
              </w:rPr>
              <w:t>二、数据采集与处理</w:t>
            </w:r>
          </w:p>
          <w:p>
            <w:pPr>
              <w:pStyle w:val="null3"/>
              <w:jc w:val="both"/>
            </w:pPr>
            <w:r>
              <w:rPr>
                <w:rFonts w:ascii="仿宋_GB2312" w:hAnsi="仿宋_GB2312" w:cs="仿宋_GB2312" w:eastAsia="仿宋_GB2312"/>
                <w:sz w:val="24"/>
                <w:b/>
              </w:rPr>
              <w:t>（一）数据归集范围</w:t>
            </w:r>
          </w:p>
          <w:p>
            <w:pPr>
              <w:pStyle w:val="null3"/>
              <w:jc w:val="both"/>
            </w:pPr>
            <w:r>
              <w:rPr>
                <w:rFonts w:ascii="仿宋_GB2312" w:hAnsi="仿宋_GB2312" w:cs="仿宋_GB2312" w:eastAsia="仿宋_GB2312"/>
                <w:sz w:val="24"/>
              </w:rPr>
              <w:t>支持对接</w:t>
            </w:r>
            <w:r>
              <w:rPr>
                <w:rFonts w:ascii="仿宋_GB2312" w:hAnsi="仿宋_GB2312" w:cs="仿宋_GB2312" w:eastAsia="仿宋_GB2312"/>
                <w:sz w:val="24"/>
              </w:rPr>
              <w:t>HIS、EMR等业务系统及中医系统生产的数据，归集临床诊疗数据（电子病历、门诊处方、住院病历、辨证分型记录、中医诊断结果）、医技检查数据（影像学检查、检验、病理检查等结果）、中药特色数据（中药处方、饮片管理、方剂配伍、中药饮片制剂方式、中医适宜技术）。</w:t>
            </w:r>
          </w:p>
          <w:p>
            <w:pPr>
              <w:pStyle w:val="null3"/>
              <w:jc w:val="both"/>
            </w:pPr>
            <w:r>
              <w:rPr>
                <w:rFonts w:ascii="仿宋_GB2312" w:hAnsi="仿宋_GB2312" w:cs="仿宋_GB2312" w:eastAsia="仿宋_GB2312"/>
                <w:sz w:val="24"/>
              </w:rPr>
              <w:t>支持患者基本信息数据（姓名、性别、年龄、联系方式等人口学信息）、门（急）诊病历信息（主诉、现病史、既往史、诊断等文本信息）、各类处方信息（中药、中成药、西药处方的药品名称、剂量、用法、频次等）的归集与存储展示。</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ETL 工具功能</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数据抽取支持全量抽取（用于初始化数据集，可按</w:t>
            </w:r>
            <w:r>
              <w:rPr>
                <w:rFonts w:ascii="仿宋_GB2312" w:hAnsi="仿宋_GB2312" w:cs="仿宋_GB2312" w:eastAsia="仿宋_GB2312"/>
                <w:sz w:val="24"/>
              </w:rPr>
              <w:t>“时间范围、科室、医师”筛选抽取范围）与增量抽取（用于日常数据更新，通过时间戳比对自动识别新增/修改数据，每日定时执行）；数据转换实现多源数据格式统一与标准化处理，结构化数据按预设规则映射字段，非结构化数据转换为规范格式。</w:t>
            </w:r>
          </w:p>
          <w:p>
            <w:pPr>
              <w:pStyle w:val="null3"/>
              <w:jc w:val="both"/>
            </w:pPr>
            <w:r>
              <w:rPr>
                <w:rFonts w:ascii="仿宋_GB2312" w:hAnsi="仿宋_GB2312" w:cs="仿宋_GB2312" w:eastAsia="仿宋_GB2312"/>
                <w:sz w:val="24"/>
              </w:rPr>
              <w:t>支持配置管理第三方系统接口，提供接口新增、查询、编辑及连接测试功能，兼容</w:t>
            </w:r>
            <w:r>
              <w:rPr>
                <w:rFonts w:ascii="仿宋_GB2312" w:hAnsi="仿宋_GB2312" w:cs="仿宋_GB2312" w:eastAsia="仿宋_GB2312"/>
                <w:sz w:val="24"/>
              </w:rPr>
              <w:t>MySQL、Oracle、PLSQL、SQLServer、HTTP、WebService等多种接口类型；对数据采集、对接任务进行统一配置，支持不同HIS的对接管理。</w:t>
            </w:r>
          </w:p>
          <w:p>
            <w:pPr>
              <w:pStyle w:val="null3"/>
              <w:jc w:val="both"/>
            </w:pPr>
            <w:r>
              <w:rPr>
                <w:rFonts w:ascii="仿宋_GB2312" w:hAnsi="仿宋_GB2312" w:cs="仿宋_GB2312" w:eastAsia="仿宋_GB2312"/>
                <w:sz w:val="24"/>
                <w:b/>
              </w:rPr>
              <w:t>（三）数据校验与质控</w:t>
            </w:r>
          </w:p>
          <w:p>
            <w:pPr>
              <w:pStyle w:val="null3"/>
              <w:jc w:val="both"/>
            </w:pPr>
            <w:r>
              <w:rPr>
                <w:rFonts w:ascii="仿宋_GB2312" w:hAnsi="仿宋_GB2312" w:cs="仿宋_GB2312" w:eastAsia="仿宋_GB2312"/>
                <w:sz w:val="24"/>
              </w:rPr>
              <w:t>对入库数据进行多维度校验，包括格式校验（检查字段格式是否符合标准）、逻辑校验（验证数据间逻辑一致性）、值域校验（检查字段值是否在预设值域内），同时进行完整性检验与规范性检验。</w:t>
            </w:r>
          </w:p>
          <w:p>
            <w:pPr>
              <w:pStyle w:val="null3"/>
              <w:jc w:val="both"/>
            </w:pPr>
            <w:r>
              <w:rPr>
                <w:rFonts w:ascii="仿宋_GB2312" w:hAnsi="仿宋_GB2312" w:cs="仿宋_GB2312" w:eastAsia="仿宋_GB2312"/>
                <w:sz w:val="24"/>
              </w:rPr>
              <w:t>系统生成《数据质控报告》，包含</w:t>
            </w:r>
            <w:r>
              <w:rPr>
                <w:rFonts w:ascii="仿宋_GB2312" w:hAnsi="仿宋_GB2312" w:cs="仿宋_GB2312" w:eastAsia="仿宋_GB2312"/>
                <w:sz w:val="24"/>
              </w:rPr>
              <w:t>“总体质控通过率、各维度错误率、错误类型”等信息，便于定位问题源头；建立错误数据整改流程，设定质控员角色，质控员完成审核与修正，整改完成后重新提交质控。</w:t>
            </w:r>
          </w:p>
          <w:p>
            <w:pPr>
              <w:pStyle w:val="null3"/>
              <w:jc w:val="both"/>
            </w:pPr>
            <w:r>
              <w:rPr>
                <w:rFonts w:ascii="仿宋_GB2312" w:hAnsi="仿宋_GB2312" w:cs="仿宋_GB2312" w:eastAsia="仿宋_GB2312"/>
                <w:sz w:val="24"/>
                <w:b/>
              </w:rPr>
              <w:t>三、数据标注与审核</w:t>
            </w:r>
          </w:p>
          <w:p>
            <w:pPr>
              <w:pStyle w:val="null3"/>
              <w:jc w:val="both"/>
            </w:pPr>
            <w:r>
              <w:rPr>
                <w:rFonts w:ascii="仿宋_GB2312" w:hAnsi="仿宋_GB2312" w:cs="仿宋_GB2312" w:eastAsia="仿宋_GB2312"/>
                <w:sz w:val="24"/>
                <w:b/>
              </w:rPr>
              <w:t>（一）标注功能</w:t>
            </w:r>
          </w:p>
          <w:p>
            <w:pPr>
              <w:pStyle w:val="null3"/>
              <w:jc w:val="both"/>
            </w:pPr>
            <w:r>
              <w:rPr>
                <w:rFonts w:ascii="仿宋_GB2312" w:hAnsi="仿宋_GB2312" w:cs="仿宋_GB2312" w:eastAsia="仿宋_GB2312"/>
                <w:sz w:val="24"/>
              </w:rPr>
              <w:t>构建标签库，涵盖</w:t>
            </w:r>
            <w:r>
              <w:rPr>
                <w:rFonts w:ascii="仿宋_GB2312" w:hAnsi="仿宋_GB2312" w:cs="仿宋_GB2312" w:eastAsia="仿宋_GB2312"/>
                <w:sz w:val="24"/>
              </w:rPr>
              <w:t>“证候、治则、处方、疗效”等类别，每个标签关联国家标准编码；支持标签标注、标注注释操作，注释内容与标签绑定存储，同时支持疾病、证型、方剂、治法等方面的内容标准标注。</w:t>
            </w:r>
          </w:p>
          <w:p>
            <w:pPr>
              <w:pStyle w:val="null3"/>
              <w:jc w:val="both"/>
            </w:pPr>
            <w:r>
              <w:rPr>
                <w:rFonts w:ascii="仿宋_GB2312" w:hAnsi="仿宋_GB2312" w:cs="仿宋_GB2312" w:eastAsia="仿宋_GB2312"/>
                <w:sz w:val="24"/>
              </w:rPr>
              <w:t>支持梳理中医临床用药配伍禁忌规则标注，包含医生开具的中药饮片处方从中药的毒性、药物配伍（十八反十九畏等）、禁忌、用量等方面的标注，确保标注内容符合中医临床规范。</w:t>
            </w:r>
            <w:r>
              <w:rPr>
                <w:rFonts w:ascii="仿宋_GB2312" w:hAnsi="仿宋_GB2312" w:cs="仿宋_GB2312" w:eastAsia="仿宋_GB2312"/>
                <w:sz w:val="24"/>
              </w:rPr>
              <w:t>（</w:t>
            </w:r>
            <w:r>
              <w:rPr>
                <w:rFonts w:ascii="仿宋_GB2312" w:hAnsi="仿宋_GB2312" w:cs="仿宋_GB2312" w:eastAsia="仿宋_GB2312"/>
                <w:sz w:val="24"/>
              </w:rPr>
              <w:t>需提供现场演示</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演示内容：</w:t>
            </w:r>
          </w:p>
          <w:p>
            <w:pPr>
              <w:pStyle w:val="null3"/>
              <w:ind w:firstLine="420"/>
              <w:jc w:val="both"/>
            </w:pPr>
            <w:r>
              <w:rPr>
                <w:rFonts w:ascii="仿宋_GB2312" w:hAnsi="仿宋_GB2312" w:cs="仿宋_GB2312" w:eastAsia="仿宋_GB2312"/>
                <w:sz w:val="21"/>
              </w:rPr>
              <w:t>实现高质量中医临床数据集的</w:t>
            </w:r>
            <w:r>
              <w:rPr>
                <w:rFonts w:ascii="仿宋_GB2312" w:hAnsi="仿宋_GB2312" w:cs="仿宋_GB2312" w:eastAsia="仿宋_GB2312"/>
                <w:sz w:val="21"/>
              </w:rPr>
              <w:t>“结构化清洗与标注体系”，实现中医病历“自动结构化”，大幅降低人工标注工作量。需演示如下功能点：</w:t>
            </w:r>
          </w:p>
          <w:p>
            <w:pPr>
              <w:pStyle w:val="null3"/>
              <w:ind w:firstLine="420"/>
              <w:jc w:val="both"/>
            </w:pPr>
            <w:r>
              <w:rPr>
                <w:rFonts w:ascii="仿宋_GB2312" w:hAnsi="仿宋_GB2312" w:cs="仿宋_GB2312" w:eastAsia="仿宋_GB2312"/>
                <w:sz w:val="21"/>
              </w:rPr>
              <w:t>1、完整的数据结构化体系，可从原始名医病历中自动抽取：主诉、现病史、既往史、体质信息、四诊信息（望闻问切）等关键字段。</w:t>
            </w:r>
          </w:p>
          <w:p>
            <w:pPr>
              <w:pStyle w:val="null3"/>
              <w:ind w:firstLine="420"/>
              <w:jc w:val="both"/>
            </w:pPr>
            <w:r>
              <w:rPr>
                <w:rFonts w:ascii="仿宋_GB2312" w:hAnsi="仿宋_GB2312" w:cs="仿宋_GB2312" w:eastAsia="仿宋_GB2312"/>
                <w:sz w:val="21"/>
              </w:rPr>
              <w:t>2、支持疾病关联症状的个性化末问诊判提供，提供多种症状采集信息的录入方式，可根据症状需要进行灵活配置，满足不同症状的数值展示方式。</w:t>
            </w:r>
          </w:p>
          <w:p>
            <w:pPr>
              <w:pStyle w:val="null3"/>
              <w:ind w:firstLine="420"/>
              <w:jc w:val="both"/>
            </w:pPr>
            <w:r>
              <w:rPr>
                <w:rFonts w:ascii="仿宋_GB2312" w:hAnsi="仿宋_GB2312" w:cs="仿宋_GB2312" w:eastAsia="仿宋_GB2312"/>
                <w:sz w:val="21"/>
              </w:rPr>
              <w:t>3、支持将非结构化的病历自动进行结构化处理，结构化的数据自动分类，包括基本信息、现病史、诊断、处方，并可一键将结构化信息填入专病问诊断和处方中，保存后生成结构化电子病历。</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、同步建立：症状词典、证候规范化体系、方剂编码体系</w:t>
            </w:r>
            <w:r>
              <w:rPr>
                <w:rFonts w:ascii="仿宋_GB2312" w:hAnsi="仿宋_GB2312" w:cs="仿宋_GB2312" w:eastAsia="仿宋_GB2312"/>
                <w:sz w:val="21"/>
              </w:rPr>
              <w:t>，</w:t>
            </w:r>
            <w:r>
              <w:rPr>
                <w:rFonts w:ascii="仿宋_GB2312" w:hAnsi="仿宋_GB2312" w:cs="仿宋_GB2312" w:eastAsia="仿宋_GB2312"/>
                <w:sz w:val="21"/>
              </w:rPr>
              <w:t>自动完成：标签标准化</w:t>
            </w:r>
            <w:r>
              <w:rPr>
                <w:rFonts w:ascii="仿宋_GB2312" w:hAnsi="仿宋_GB2312" w:cs="仿宋_GB2312" w:eastAsia="仿宋_GB2312"/>
                <w:sz w:val="21"/>
              </w:rPr>
              <w:t>→多轮质量校验→医师审核增强。</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、可形成稳定、可复用、可扩展的</w:t>
            </w:r>
            <w:r>
              <w:rPr>
                <w:rFonts w:ascii="仿宋_GB2312" w:hAnsi="仿宋_GB2312" w:cs="仿宋_GB2312" w:eastAsia="仿宋_GB2312"/>
                <w:sz w:val="21"/>
              </w:rPr>
              <w:t>“中医知识图谱”基础数据，极大提升模型训练质量。</w:t>
            </w:r>
          </w:p>
          <w:p>
            <w:pPr>
              <w:pStyle w:val="null3"/>
              <w:jc w:val="both"/>
            </w:pPr>
            <w:r>
              <w:rPr>
                <w:rFonts w:ascii="仿宋_GB2312" w:hAnsi="仿宋_GB2312" w:cs="仿宋_GB2312" w:eastAsia="仿宋_GB2312"/>
                <w:sz w:val="24"/>
                <w:b/>
              </w:rPr>
              <w:t>（二）审核与追踪</w:t>
            </w:r>
          </w:p>
          <w:p>
            <w:pPr>
              <w:pStyle w:val="null3"/>
              <w:jc w:val="both"/>
            </w:pPr>
            <w:r>
              <w:rPr>
                <w:rFonts w:ascii="仿宋_GB2312" w:hAnsi="仿宋_GB2312" w:cs="仿宋_GB2312" w:eastAsia="仿宋_GB2312"/>
                <w:sz w:val="24"/>
              </w:rPr>
              <w:t>由名老中医工作室成员负责标注审核，重点核查标注准确性与中医专业性，审核通过后纳入数据集；未通过项需提供修改建议，标注员修改后重新提交审核。</w:t>
            </w:r>
          </w:p>
          <w:p>
            <w:pPr>
              <w:pStyle w:val="null3"/>
              <w:jc w:val="both"/>
            </w:pPr>
            <w:r>
              <w:rPr>
                <w:rFonts w:ascii="仿宋_GB2312" w:hAnsi="仿宋_GB2312" w:cs="仿宋_GB2312" w:eastAsia="仿宋_GB2312"/>
                <w:sz w:val="24"/>
              </w:rPr>
              <w:t>系统记录每一条数据的审核轨迹，支持审核过程回溯，便于问题定位与责任界定；每月生成《标注审核统计报告》，包含</w:t>
            </w:r>
            <w:r>
              <w:rPr>
                <w:rFonts w:ascii="仿宋_GB2312" w:hAnsi="仿宋_GB2312" w:cs="仿宋_GB2312" w:eastAsia="仿宋_GB2312"/>
                <w:sz w:val="24"/>
              </w:rPr>
              <w:t>“标注总量、审核通过率、错误类型分布”等数据，为人员考核与流程优化提供依据。</w:t>
            </w:r>
          </w:p>
          <w:p>
            <w:pPr>
              <w:pStyle w:val="null3"/>
              <w:jc w:val="both"/>
            </w:pPr>
            <w:r>
              <w:rPr>
                <w:rFonts w:ascii="仿宋_GB2312" w:hAnsi="仿宋_GB2312" w:cs="仿宋_GB2312" w:eastAsia="仿宋_GB2312"/>
                <w:sz w:val="24"/>
                <w:b/>
              </w:rPr>
              <w:t>四、数据资源与检索</w:t>
            </w:r>
          </w:p>
          <w:p>
            <w:pPr>
              <w:pStyle w:val="null3"/>
              <w:jc w:val="both"/>
            </w:pPr>
            <w:r>
              <w:rPr>
                <w:rFonts w:ascii="仿宋_GB2312" w:hAnsi="仿宋_GB2312" w:cs="仿宋_GB2312" w:eastAsia="仿宋_GB2312"/>
                <w:sz w:val="24"/>
                <w:b/>
              </w:rPr>
              <w:t>（一）数据资源存储</w:t>
            </w:r>
          </w:p>
          <w:p>
            <w:pPr>
              <w:pStyle w:val="null3"/>
              <w:jc w:val="both"/>
            </w:pPr>
            <w:r>
              <w:rPr>
                <w:rFonts w:ascii="仿宋_GB2312" w:hAnsi="仿宋_GB2312" w:cs="仿宋_GB2312" w:eastAsia="仿宋_GB2312"/>
                <w:sz w:val="24"/>
              </w:rPr>
              <w:t>支持舌象、面象图像采用</w:t>
            </w:r>
            <w:r>
              <w:rPr>
                <w:rFonts w:ascii="仿宋_GB2312" w:hAnsi="仿宋_GB2312" w:cs="仿宋_GB2312" w:eastAsia="仿宋_GB2312"/>
                <w:sz w:val="24"/>
              </w:rPr>
              <w:t>DICOM或标准JPG/PNG格式存储，标注关键区域（舌质、舌苔、面色）进行结构化图像数据存储；通过NLP技术提取“主诉、现病史、既往史”中的关键症状、体征数据进行结构化文本数据存储。</w:t>
            </w:r>
          </w:p>
          <w:p>
            <w:pPr>
              <w:pStyle w:val="null3"/>
              <w:jc w:val="both"/>
            </w:pPr>
            <w:r>
              <w:rPr>
                <w:rFonts w:ascii="仿宋_GB2312" w:hAnsi="仿宋_GB2312" w:cs="仿宋_GB2312" w:eastAsia="仿宋_GB2312"/>
                <w:sz w:val="24"/>
              </w:rPr>
              <w:t>在同一电子病历中，同步记录中医诊断（如</w:t>
            </w:r>
            <w:r>
              <w:rPr>
                <w:rFonts w:ascii="仿宋_GB2312" w:hAnsi="仿宋_GB2312" w:cs="仿宋_GB2312" w:eastAsia="仿宋_GB2312"/>
                <w:sz w:val="24"/>
              </w:rPr>
              <w:t>“胸痹-气阴两虚证”）与西医诊断（如“冠心病”），并建立逻辑映射关系进行中西医诊断并存数据集存储；支持专病档案的存储及展示。</w:t>
            </w:r>
          </w:p>
          <w:p>
            <w:pPr>
              <w:pStyle w:val="null3"/>
              <w:jc w:val="both"/>
            </w:pPr>
            <w:r>
              <w:rPr>
                <w:rFonts w:ascii="仿宋_GB2312" w:hAnsi="仿宋_GB2312" w:cs="仿宋_GB2312" w:eastAsia="仿宋_GB2312"/>
                <w:sz w:val="24"/>
                <w:b/>
              </w:rPr>
              <w:t>（二）数据检索功能</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支持按照医案、方剂、古籍、中药、中成药、穴位、中医病证、针灸处方、脉学、舌象、标注等维度查询、编辑知识库；支持患者基本信息、门（急）诊病历、中药处方、中成药处方、西药处方、一般治疗处置、检验、检查、中医舌诊、脉诊、面诊信息的数据检索。</w:t>
            </w:r>
          </w:p>
          <w:p>
            <w:pPr>
              <w:pStyle w:val="null3"/>
              <w:jc w:val="both"/>
            </w:pPr>
            <w:r>
              <w:rPr>
                <w:rFonts w:ascii="仿宋_GB2312" w:hAnsi="仿宋_GB2312" w:cs="仿宋_GB2312" w:eastAsia="仿宋_GB2312"/>
                <w:sz w:val="24"/>
              </w:rPr>
              <w:t>提供高级检索功能，支持根据疾病名称、症状、</w:t>
            </w:r>
            <w:r>
              <w:rPr>
                <w:rFonts w:ascii="仿宋_GB2312" w:hAnsi="仿宋_GB2312" w:cs="仿宋_GB2312" w:eastAsia="仿宋_GB2312"/>
                <w:sz w:val="24"/>
              </w:rPr>
              <w:t>ICD编码、检查名称、药物名称等信息进行模糊关键字检索；支持以中文或拼音首字母方式快速查询数据，便于医生高效获取所需信息。</w:t>
            </w:r>
          </w:p>
          <w:p>
            <w:pPr>
              <w:pStyle w:val="null3"/>
              <w:jc w:val="both"/>
            </w:pPr>
            <w:r>
              <w:rPr>
                <w:rFonts w:ascii="仿宋_GB2312" w:hAnsi="仿宋_GB2312" w:cs="仿宋_GB2312" w:eastAsia="仿宋_GB2312"/>
                <w:sz w:val="24"/>
                <w:b/>
              </w:rPr>
              <w:t>五、模型反馈与闭环管理</w:t>
            </w:r>
          </w:p>
          <w:p>
            <w:pPr>
              <w:pStyle w:val="null3"/>
              <w:jc w:val="both"/>
            </w:pPr>
            <w:r>
              <w:rPr>
                <w:rFonts w:ascii="仿宋_GB2312" w:hAnsi="仿宋_GB2312" w:cs="仿宋_GB2312" w:eastAsia="仿宋_GB2312"/>
                <w:sz w:val="24"/>
                <w:b/>
              </w:rPr>
              <w:t>（一）反馈收集与处理</w:t>
            </w:r>
          </w:p>
          <w:p>
            <w:pPr>
              <w:pStyle w:val="null3"/>
              <w:jc w:val="both"/>
            </w:pPr>
            <w:r>
              <w:rPr>
                <w:rFonts w:ascii="仿宋_GB2312" w:hAnsi="仿宋_GB2312" w:cs="仿宋_GB2312" w:eastAsia="仿宋_GB2312"/>
                <w:sz w:val="24"/>
              </w:rPr>
              <w:t>提供结构化反馈表单，需填写</w:t>
            </w:r>
            <w:r>
              <w:rPr>
                <w:rFonts w:ascii="仿宋_GB2312" w:hAnsi="仿宋_GB2312" w:cs="仿宋_GB2312" w:eastAsia="仿宋_GB2312"/>
                <w:sz w:val="24"/>
              </w:rPr>
              <w:t>“反馈类型、案例编号、问题描述、改进建议、反馈人、反馈时间”，支持上传佐证材料；针对“数据问题”反馈，数据管理组核查对应数据集，补充缺失样本、修正错误标注、更新数据标准，数据优化完成后重新通过质控与审核。</w:t>
            </w:r>
          </w:p>
          <w:p>
            <w:pPr>
              <w:pStyle w:val="null3"/>
              <w:jc w:val="both"/>
            </w:pPr>
            <w:r>
              <w:rPr>
                <w:rFonts w:ascii="仿宋_GB2312" w:hAnsi="仿宋_GB2312" w:cs="仿宋_GB2312" w:eastAsia="仿宋_GB2312"/>
                <w:sz w:val="24"/>
              </w:rPr>
              <w:t>针对</w:t>
            </w:r>
            <w:r>
              <w:rPr>
                <w:rFonts w:ascii="仿宋_GB2312" w:hAnsi="仿宋_GB2312" w:cs="仿宋_GB2312" w:eastAsia="仿宋_GB2312"/>
                <w:sz w:val="24"/>
              </w:rPr>
              <w:t>“模型问题”反馈，AI算法组分析问题原因，调整模型参数、补充训练数据、优化算法逻辑，模型调优后需进行验证（如临床测试、准确率评估）；建立反馈处理闭环流程，高优先级反馈7个工作日内完成整改与验证，中优先级15个工作日内完成，低优先级30个工作日内完成。</w:t>
            </w:r>
          </w:p>
          <w:p>
            <w:pPr>
              <w:pStyle w:val="null3"/>
              <w:jc w:val="both"/>
            </w:pPr>
            <w:r>
              <w:rPr>
                <w:rFonts w:ascii="仿宋_GB2312" w:hAnsi="仿宋_GB2312" w:cs="仿宋_GB2312" w:eastAsia="仿宋_GB2312"/>
                <w:sz w:val="24"/>
                <w:b/>
              </w:rPr>
              <w:t>（二）反馈统计与分析</w:t>
            </w:r>
          </w:p>
          <w:p>
            <w:pPr>
              <w:pStyle w:val="null3"/>
              <w:jc w:val="both"/>
            </w:pPr>
            <w:r>
              <w:rPr>
                <w:rFonts w:ascii="仿宋_GB2312" w:hAnsi="仿宋_GB2312" w:cs="仿宋_GB2312" w:eastAsia="仿宋_GB2312"/>
                <w:sz w:val="24"/>
              </w:rPr>
              <w:t>每周生成《模型反馈统计周报》，包含</w:t>
            </w:r>
            <w:r>
              <w:rPr>
                <w:rFonts w:ascii="仿宋_GB2312" w:hAnsi="仿宋_GB2312" w:cs="仿宋_GB2312" w:eastAsia="仿宋_GB2312"/>
                <w:sz w:val="24"/>
              </w:rPr>
              <w:t>“反馈总量、各类型反馈占比、处理进度、未完成项”等数据，为项目进度管控提供依据；每月生成《反馈趋势分析报告》，对比不同月份的反馈数量、问题类型变化，为数据集迭代与AI工具升级提供数据支撑。</w:t>
            </w:r>
          </w:p>
          <w:p>
            <w:pPr>
              <w:pStyle w:val="null3"/>
              <w:jc w:val="both"/>
            </w:pPr>
            <w:r>
              <w:rPr>
                <w:rFonts w:ascii="仿宋_GB2312" w:hAnsi="仿宋_GB2312" w:cs="仿宋_GB2312" w:eastAsia="仿宋_GB2312"/>
                <w:sz w:val="24"/>
              </w:rPr>
              <w:t>反馈处理完成后，生成《反馈处理报告》，同步至反馈人及项目管理组，接受监督；超时限未处理的反馈自动升级，向项目负责人发送告警，确保问题及时解决。</w:t>
            </w:r>
          </w:p>
          <w:p>
            <w:pPr>
              <w:pStyle w:val="null3"/>
              <w:jc w:val="both"/>
            </w:pPr>
            <w:r>
              <w:rPr>
                <w:rFonts w:ascii="仿宋_GB2312" w:hAnsi="仿宋_GB2312" w:cs="仿宋_GB2312" w:eastAsia="仿宋_GB2312"/>
                <w:sz w:val="24"/>
                <w:b/>
              </w:rPr>
              <w:t>智能体传承应用模型（核心产品）（三个名中医）</w:t>
            </w:r>
          </w:p>
          <w:p>
            <w:pPr>
              <w:pStyle w:val="null3"/>
              <w:jc w:val="both"/>
            </w:pPr>
            <w:r>
              <w:rPr>
                <w:rFonts w:ascii="仿宋_GB2312" w:hAnsi="仿宋_GB2312" w:cs="仿宋_GB2312" w:eastAsia="仿宋_GB2312"/>
                <w:sz w:val="24"/>
              </w:rPr>
              <w:t>一、智能体数据基础建设</w:t>
            </w:r>
          </w:p>
          <w:p>
            <w:pPr>
              <w:pStyle w:val="null3"/>
              <w:jc w:val="both"/>
            </w:pPr>
            <w:r>
              <w:rPr>
                <w:rFonts w:ascii="仿宋_GB2312" w:hAnsi="仿宋_GB2312" w:cs="仿宋_GB2312" w:eastAsia="仿宋_GB2312"/>
                <w:sz w:val="24"/>
              </w:rPr>
              <w:t>（一）多源数据收集与预处理</w:t>
            </w:r>
          </w:p>
          <w:p>
            <w:pPr>
              <w:pStyle w:val="null3"/>
              <w:jc w:val="both"/>
            </w:pPr>
            <w:r>
              <w:rPr>
                <w:rFonts w:ascii="仿宋_GB2312" w:hAnsi="仿宋_GB2312" w:cs="仿宋_GB2312" w:eastAsia="仿宋_GB2312"/>
                <w:sz w:val="24"/>
              </w:rPr>
              <w:t>支持收集</w:t>
            </w:r>
            <w:r>
              <w:rPr>
                <w:rFonts w:ascii="仿宋_GB2312" w:hAnsi="仿宋_GB2312" w:cs="仿宋_GB2312" w:eastAsia="仿宋_GB2312"/>
                <w:sz w:val="24"/>
              </w:rPr>
              <w:t>3位名老中医的多类型临床经验数据，包括医案（手写扫描件OCR 后文本、电子病历）、病案、论文、著作、讲课视频及音频资料，同时整合中医经典数据（如《黄帝内经》《伤寒杂病论》）与现代医案；对收集的数据进行深度清洗（去重、格式统一）、转换（非结构化文本转结构化数据）、标注（证候、治则、处方、疗效等标签，关联国家标准编码）预处理，确保数据符合模型训练标准。</w:t>
            </w:r>
            <w:r>
              <w:rPr>
                <w:rFonts w:ascii="仿宋_GB2312" w:hAnsi="仿宋_GB2312" w:cs="仿宋_GB2312" w:eastAsia="仿宋_GB2312"/>
                <w:sz w:val="24"/>
              </w:rPr>
              <w:t>（</w:t>
            </w:r>
            <w:r>
              <w:rPr>
                <w:rFonts w:ascii="仿宋_GB2312" w:hAnsi="仿宋_GB2312" w:cs="仿宋_GB2312" w:eastAsia="仿宋_GB2312"/>
                <w:sz w:val="24"/>
              </w:rPr>
              <w:t>需提供现场演示</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演示内容：</w:t>
            </w:r>
          </w:p>
          <w:p>
            <w:pPr>
              <w:pStyle w:val="null3"/>
              <w:ind w:firstLine="420"/>
              <w:jc w:val="both"/>
            </w:pPr>
            <w:r>
              <w:rPr>
                <w:rFonts w:ascii="仿宋_GB2312" w:hAnsi="仿宋_GB2312" w:cs="仿宋_GB2312" w:eastAsia="仿宋_GB2312"/>
                <w:sz w:val="21"/>
              </w:rPr>
              <w:t>实现名老中医完整数字化复刻，基于名医几十年的临床经验，数字化成可学习、可调用、可验证的中医智能体。需演示如下功能点：</w:t>
            </w:r>
          </w:p>
          <w:p>
            <w:pPr>
              <w:pStyle w:val="null3"/>
              <w:ind w:firstLine="420"/>
              <w:jc w:val="both"/>
            </w:pPr>
            <w:r>
              <w:rPr>
                <w:rFonts w:ascii="仿宋_GB2312" w:hAnsi="仿宋_GB2312" w:cs="仿宋_GB2312" w:eastAsia="仿宋_GB2312"/>
                <w:sz w:val="21"/>
              </w:rPr>
              <w:t>1、多源数据整合：医案、病案、著作、论文、视频、音频</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智能文本提取</w:t>
            </w:r>
            <w:r>
              <w:rPr>
                <w:rFonts w:ascii="仿宋_GB2312" w:hAnsi="仿宋_GB2312" w:cs="仿宋_GB2312" w:eastAsia="仿宋_GB2312"/>
                <w:sz w:val="21"/>
              </w:rPr>
              <w:t>→清洗→结构化→标签化</w:t>
            </w:r>
          </w:p>
          <w:p>
            <w:pPr>
              <w:pStyle w:val="null3"/>
              <w:ind w:firstLine="420"/>
              <w:jc w:val="both"/>
            </w:pPr>
            <w:r>
              <w:rPr>
                <w:rFonts w:ascii="仿宋_GB2312" w:hAnsi="仿宋_GB2312" w:cs="仿宋_GB2312" w:eastAsia="仿宋_GB2312"/>
                <w:sz w:val="21"/>
              </w:rPr>
              <w:t>3、术语标准化（国家标准+医院特色术语自适应）</w:t>
            </w:r>
          </w:p>
          <w:p>
            <w:pPr>
              <w:pStyle w:val="null3"/>
              <w:ind w:firstLine="420"/>
              <w:jc w:val="both"/>
            </w:pPr>
            <w:r>
              <w:rPr>
                <w:rFonts w:ascii="仿宋_GB2312" w:hAnsi="仿宋_GB2312" w:cs="仿宋_GB2312" w:eastAsia="仿宋_GB2312"/>
                <w:sz w:val="21"/>
              </w:rPr>
              <w:t>4、证候、治则、方剂、病机等全量标签体系</w:t>
            </w:r>
          </w:p>
          <w:p>
            <w:pPr>
              <w:pStyle w:val="null3"/>
              <w:jc w:val="both"/>
            </w:pPr>
            <w:r>
              <w:rPr>
                <w:rFonts w:ascii="仿宋_GB2312" w:hAnsi="仿宋_GB2312" w:cs="仿宋_GB2312" w:eastAsia="仿宋_GB2312"/>
                <w:sz w:val="24"/>
              </w:rPr>
              <w:t>支持数据标准化处理，将医案中</w:t>
            </w:r>
            <w:r>
              <w:rPr>
                <w:rFonts w:ascii="仿宋_GB2312" w:hAnsi="仿宋_GB2312" w:cs="仿宋_GB2312" w:eastAsia="仿宋_GB2312"/>
                <w:sz w:val="24"/>
              </w:rPr>
              <w:t>“口语化表述”（如“上火”“胃不舒服”）匹配至《中医临床诊疗术语》（GB/T 16751.1-2017 症状术语、GB/T 16751.2-2017 证候术语）等国家标准术语并补充编码；同时支持学习医院自定义特色术语，通过少量标注样本快速适配，避免术语混淆。</w:t>
            </w:r>
            <w:r>
              <w:rPr>
                <w:rFonts w:ascii="仿宋_GB2312" w:hAnsi="仿宋_GB2312" w:cs="仿宋_GB2312" w:eastAsia="仿宋_GB2312"/>
                <w:sz w:val="24"/>
              </w:rPr>
              <w:t>（</w:t>
            </w:r>
            <w:r>
              <w:rPr>
                <w:rFonts w:ascii="仿宋_GB2312" w:hAnsi="仿宋_GB2312" w:cs="仿宋_GB2312" w:eastAsia="仿宋_GB2312"/>
                <w:sz w:val="24"/>
              </w:rPr>
              <w:t>需提供现场演示</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演示内容：</w:t>
            </w:r>
          </w:p>
          <w:p>
            <w:pPr>
              <w:pStyle w:val="null3"/>
              <w:ind w:firstLine="420"/>
              <w:jc w:val="both"/>
            </w:pPr>
            <w:r>
              <w:rPr>
                <w:rFonts w:ascii="仿宋_GB2312" w:hAnsi="仿宋_GB2312" w:cs="仿宋_GB2312" w:eastAsia="仿宋_GB2312"/>
                <w:sz w:val="21"/>
              </w:rPr>
              <w:t>通过对舌象、面象图像进行标准化处理与信息提取，使其转化为可复用、可分析的结构化数据</w:t>
            </w:r>
            <w:r>
              <w:rPr>
                <w:rFonts w:ascii="仿宋_GB2312" w:hAnsi="仿宋_GB2312" w:cs="仿宋_GB2312" w:eastAsia="仿宋_GB2312"/>
                <w:sz w:val="21"/>
              </w:rPr>
              <w:t>。需演示如下功能点：</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自动完成清晰度检测、色彩校正、目标区域精准裁剪及多光谱优化，确保图像质量符合分析要求</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上传</w:t>
            </w:r>
            <w:r>
              <w:rPr>
                <w:rFonts w:ascii="仿宋_GB2312" w:hAnsi="仿宋_GB2312" w:cs="仿宋_GB2312" w:eastAsia="仿宋_GB2312"/>
                <w:sz w:val="21"/>
              </w:rPr>
              <w:t>图像后，可通过自动识别或手动补充方式，完成舌质、舌苔、裂纹、齿痕、色泽、情绪等关键特征标注</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3、支持舌象图像上传，或即时拍摄舌象图片。可识别舌色、苔色、舌形、苔质、津液、舌下脉络等结构化数据回填至病历。</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图像数据自动与对应病历记录绑定，形成</w:t>
            </w:r>
            <w:r>
              <w:rPr>
                <w:rFonts w:ascii="仿宋_GB2312" w:hAnsi="仿宋_GB2312" w:cs="仿宋_GB2312" w:eastAsia="仿宋_GB2312"/>
                <w:sz w:val="21"/>
              </w:rPr>
              <w:t>“图像+病历” 的完整临床案例</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结构化后的案例可直接用于后续</w:t>
            </w:r>
            <w:r>
              <w:rPr>
                <w:rFonts w:ascii="仿宋_GB2312" w:hAnsi="仿宋_GB2312" w:cs="仿宋_GB2312" w:eastAsia="仿宋_GB2312"/>
                <w:sz w:val="21"/>
              </w:rPr>
              <w:t>AI模型训练，快速构建高质量的临床典型病例库</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rPr>
              <w:t>（二）知识图谱构建与更新</w:t>
            </w:r>
          </w:p>
          <w:p>
            <w:pPr>
              <w:pStyle w:val="null3"/>
              <w:jc w:val="both"/>
            </w:pPr>
            <w:r>
              <w:rPr>
                <w:rFonts w:ascii="仿宋_GB2312" w:hAnsi="仿宋_GB2312" w:cs="仿宋_GB2312" w:eastAsia="仿宋_GB2312"/>
                <w:sz w:val="24"/>
              </w:rPr>
              <w:t>支持对名老中医临床经验和知识进行结构化建模，构建包含</w:t>
            </w:r>
            <w:r>
              <w:rPr>
                <w:rFonts w:ascii="仿宋_GB2312" w:hAnsi="仿宋_GB2312" w:cs="仿宋_GB2312" w:eastAsia="仿宋_GB2312"/>
                <w:sz w:val="24"/>
              </w:rPr>
              <w:t>“证候-治则-处方-疗效-病因”关联关系的特色知识图谱，覆盖中医四诊（望、闻、问、切）核心要素；知识图谱支持可视化呈现（如节点关联图）和语义化检索，可按“病种、证候、医师”分类查询关联知识。</w:t>
            </w:r>
          </w:p>
          <w:p>
            <w:pPr>
              <w:pStyle w:val="null3"/>
              <w:jc w:val="both"/>
            </w:pPr>
            <w:r>
              <w:rPr>
                <w:rFonts w:ascii="仿宋_GB2312" w:hAnsi="仿宋_GB2312" w:cs="仿宋_GB2312" w:eastAsia="仿宋_GB2312"/>
                <w:sz w:val="24"/>
              </w:rPr>
              <w:t>知识图谱支持动态更新，当新增医案、收到临床反馈或获取新的名老中医经验资料时，自动更新图谱中的关联规则与知识节点；更新过程记录日志（含更新内容、更新时间、更新依据），支持历史版本回溯，便于追溯与验证。</w:t>
            </w:r>
          </w:p>
          <w:p>
            <w:pPr>
              <w:pStyle w:val="null3"/>
              <w:jc w:val="both"/>
            </w:pPr>
            <w:r>
              <w:rPr>
                <w:rFonts w:ascii="仿宋_GB2312" w:hAnsi="仿宋_GB2312" w:cs="仿宋_GB2312" w:eastAsia="仿宋_GB2312"/>
                <w:sz w:val="24"/>
              </w:rPr>
              <w:t>二、智能体核心交互与诊疗功能</w:t>
            </w:r>
          </w:p>
          <w:p>
            <w:pPr>
              <w:pStyle w:val="null3"/>
              <w:jc w:val="both"/>
            </w:pPr>
            <w:r>
              <w:rPr>
                <w:rFonts w:ascii="仿宋_GB2312" w:hAnsi="仿宋_GB2312" w:cs="仿宋_GB2312" w:eastAsia="仿宋_GB2312"/>
                <w:sz w:val="24"/>
              </w:rPr>
              <w:t>（一）对话交互与管理</w:t>
            </w:r>
          </w:p>
          <w:p>
            <w:pPr>
              <w:pStyle w:val="null3"/>
              <w:jc w:val="both"/>
            </w:pPr>
            <w:r>
              <w:rPr>
                <w:rFonts w:ascii="仿宋_GB2312" w:hAnsi="仿宋_GB2312" w:cs="仿宋_GB2312" w:eastAsia="仿宋_GB2312"/>
                <w:sz w:val="24"/>
              </w:rPr>
              <w:t>提供智能体入口，通过入口进入交互界面。支持随时开启新对话（新对话独立于历史交互内容）、中止当前回复、重新生成回复内容，同时支持快速切换至近一个月内的历史对话记录，并在原有对话基础上追加提问。支持智能体集合管理，可根据业务场景将多个智能体整合至同一业务菜单，用户按权限浏览所有已上线智能体；在对话过程中，智能体基于用户提问内容自动关联知识（基于临床指南、经典中成药、经典方剂、名医医案、期刊文献、院内医案等知识库）并生成回复。</w:t>
            </w:r>
          </w:p>
          <w:p>
            <w:pPr>
              <w:pStyle w:val="null3"/>
              <w:jc w:val="both"/>
            </w:pPr>
            <w:r>
              <w:rPr>
                <w:rFonts w:ascii="仿宋_GB2312" w:hAnsi="仿宋_GB2312" w:cs="仿宋_GB2312" w:eastAsia="仿宋_GB2312"/>
                <w:sz w:val="24"/>
              </w:rPr>
              <w:t>（二）临床诊疗辅助推荐</w:t>
            </w:r>
          </w:p>
          <w:p>
            <w:pPr>
              <w:pStyle w:val="null3"/>
              <w:jc w:val="both"/>
            </w:pPr>
            <w:r>
              <w:rPr>
                <w:rFonts w:ascii="仿宋_GB2312" w:hAnsi="仿宋_GB2312" w:cs="仿宋_GB2312" w:eastAsia="仿宋_GB2312"/>
                <w:sz w:val="24"/>
              </w:rPr>
              <w:t>支持根据输入的患者信息（主诉、现病史、既往史、舌脉数据、体质类型），结合名老中医知识图谱与经典医案，智能推荐对应疾病</w:t>
            </w:r>
            <w:r>
              <w:rPr>
                <w:rFonts w:ascii="仿宋_GB2312" w:hAnsi="仿宋_GB2312" w:cs="仿宋_GB2312" w:eastAsia="仿宋_GB2312"/>
                <w:sz w:val="24"/>
              </w:rPr>
              <w:t>/证型的核心方剂（含经方、名老中医自拟方）及加减化裁方案；推荐结果标注方剂来源（如“闫咏梅脑病经验方”“《金匮要略》经方”）、辨证证型、治法及用药依据（如“针对肝阳上亢证，用天麻钩藤饮平肝潜阳”）。</w:t>
            </w:r>
            <w:r>
              <w:rPr>
                <w:rFonts w:ascii="仿宋_GB2312" w:hAnsi="仿宋_GB2312" w:cs="仿宋_GB2312" w:eastAsia="仿宋_GB2312"/>
                <w:sz w:val="24"/>
              </w:rPr>
              <w:t>（</w:t>
            </w:r>
            <w:r>
              <w:rPr>
                <w:rFonts w:ascii="仿宋_GB2312" w:hAnsi="仿宋_GB2312" w:cs="仿宋_GB2312" w:eastAsia="仿宋_GB2312"/>
                <w:sz w:val="24"/>
              </w:rPr>
              <w:t>需提供现场演示</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演示内容：</w:t>
            </w:r>
          </w:p>
          <w:p>
            <w:pPr>
              <w:pStyle w:val="null3"/>
              <w:ind w:firstLine="420"/>
              <w:jc w:val="both"/>
            </w:pPr>
            <w:r>
              <w:rPr>
                <w:rFonts w:ascii="仿宋_GB2312" w:hAnsi="仿宋_GB2312" w:cs="仿宋_GB2312" w:eastAsia="仿宋_GB2312"/>
                <w:sz w:val="21"/>
              </w:rPr>
              <w:t>实现名医级临床推荐功能，让临床、基层获得名老中医同级别的诊疗辅助，需演示如下功能点：</w:t>
            </w:r>
          </w:p>
          <w:p>
            <w:pPr>
              <w:pStyle w:val="null3"/>
              <w:ind w:firstLine="420"/>
              <w:jc w:val="both"/>
            </w:pPr>
            <w:r>
              <w:rPr>
                <w:rFonts w:ascii="仿宋_GB2312" w:hAnsi="仿宋_GB2312" w:cs="仿宋_GB2312" w:eastAsia="仿宋_GB2312"/>
                <w:sz w:val="21"/>
              </w:rPr>
              <w:t>1、通过输入主诉、病史、舌脉、体质等→自动给出：证型、治法、代表方剂（含出处）、加减化裁、非药物疗法（穴位、推拿、食疗）、调护与疗程建议。</w:t>
            </w:r>
          </w:p>
          <w:p>
            <w:pPr>
              <w:pStyle w:val="null3"/>
              <w:ind w:firstLine="420"/>
              <w:jc w:val="both"/>
            </w:pPr>
            <w:r>
              <w:rPr>
                <w:rFonts w:ascii="仿宋_GB2312" w:hAnsi="仿宋_GB2312" w:cs="仿宋_GB2312" w:eastAsia="仿宋_GB2312"/>
                <w:sz w:val="21"/>
              </w:rPr>
              <w:t>2、提供模型推理的方解，包括方剂来源与名称、功能主治、适用范围、君臣佐使分析、整体思路和方剂特点等。</w:t>
            </w:r>
          </w:p>
          <w:p>
            <w:pPr>
              <w:pStyle w:val="null3"/>
              <w:jc w:val="both"/>
            </w:pPr>
            <w:r>
              <w:rPr>
                <w:rFonts w:ascii="仿宋_GB2312" w:hAnsi="仿宋_GB2312" w:cs="仿宋_GB2312" w:eastAsia="仿宋_GB2312"/>
                <w:sz w:val="24"/>
              </w:rPr>
              <w:t>在方剂推荐基础上，支持推荐综合治疗方案，包括非药物疗法（名老中医特色针灸穴位、推拿手法、食疗建议）、疗程建议（如</w:t>
            </w:r>
            <w:r>
              <w:rPr>
                <w:rFonts w:ascii="仿宋_GB2312" w:hAnsi="仿宋_GB2312" w:cs="仿宋_GB2312" w:eastAsia="仿宋_GB2312"/>
                <w:sz w:val="24"/>
              </w:rPr>
              <w:t>“每日1剂，水煎服，连服 14天复诊”）、调护要点（情志疏导、饮食禁忌、起居指导）及预后评估关键点；同时支持通过问答形式，基于专家核心学术思想进行智能化的病机、证候、归经分析。</w:t>
            </w:r>
          </w:p>
          <w:p>
            <w:pPr>
              <w:pStyle w:val="null3"/>
              <w:jc w:val="both"/>
            </w:pPr>
            <w:r>
              <w:rPr>
                <w:rFonts w:ascii="仿宋_GB2312" w:hAnsi="仿宋_GB2312" w:cs="仿宋_GB2312" w:eastAsia="仿宋_GB2312"/>
                <w:sz w:val="24"/>
              </w:rPr>
              <w:t>（三）教学辅助功能</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支持经典医案智能讲解，从医案库中选取名老中医典型医案，按</w:t>
            </w:r>
            <w:r>
              <w:rPr>
                <w:rFonts w:ascii="仿宋_GB2312" w:hAnsi="仿宋_GB2312" w:cs="仿宋_GB2312" w:eastAsia="仿宋_GB2312"/>
                <w:sz w:val="24"/>
              </w:rPr>
              <w:t>“四诊信息提取-辨证逻辑梳理-治则制定依据-处方思路解析-疗效反馈分析”步骤拆解，标注关键经验点（如“本案用白术量增至30g，因患者脾虚湿盛明显”）；支持模拟诊疗训练，随机抽取练习病例，学员提交诊疗方案后，模型对比名老中医标准方案，标注差异点并提供改进建议。</w:t>
            </w:r>
          </w:p>
          <w:p>
            <w:pPr>
              <w:pStyle w:val="null3"/>
              <w:jc w:val="both"/>
            </w:pPr>
            <w:r>
              <w:rPr>
                <w:rFonts w:ascii="仿宋_GB2312" w:hAnsi="仿宋_GB2312" w:cs="仿宋_GB2312" w:eastAsia="仿宋_GB2312"/>
                <w:sz w:val="24"/>
              </w:rPr>
              <w:t>支持跟诊学习实时问答，学员在跟诊过程中针对诊疗疑问提问（如</w:t>
            </w:r>
            <w:r>
              <w:rPr>
                <w:rFonts w:ascii="仿宋_GB2312" w:hAnsi="仿宋_GB2312" w:cs="仿宋_GB2312" w:eastAsia="仿宋_GB2312"/>
                <w:sz w:val="24"/>
              </w:rPr>
              <w:t>“为何此处不用茯苓”），模型基于名老中医既往经验与相似医案，生成结构化回答（含理论依据、参考案例）；同时支持将专家智能体开放给特定工作室及医生，用于临床学习与经验传承。</w:t>
            </w:r>
          </w:p>
          <w:p>
            <w:pPr>
              <w:pStyle w:val="null3"/>
              <w:jc w:val="both"/>
            </w:pPr>
            <w:r>
              <w:rPr>
                <w:rFonts w:ascii="仿宋_GB2312" w:hAnsi="仿宋_GB2312" w:cs="仿宋_GB2312" w:eastAsia="仿宋_GB2312"/>
                <w:sz w:val="24"/>
              </w:rPr>
              <w:t>三、智能体推理与模型反馈</w:t>
            </w:r>
          </w:p>
          <w:p>
            <w:pPr>
              <w:pStyle w:val="null3"/>
              <w:jc w:val="both"/>
            </w:pPr>
            <w:r>
              <w:rPr>
                <w:rFonts w:ascii="仿宋_GB2312" w:hAnsi="仿宋_GB2312" w:cs="仿宋_GB2312" w:eastAsia="仿宋_GB2312"/>
                <w:sz w:val="24"/>
              </w:rPr>
              <w:t>（一）模型推理</w:t>
            </w:r>
          </w:p>
          <w:p>
            <w:pPr>
              <w:pStyle w:val="null3"/>
              <w:jc w:val="both"/>
            </w:pPr>
            <w:r>
              <w:rPr>
                <w:rFonts w:ascii="仿宋_GB2312" w:hAnsi="仿宋_GB2312" w:cs="仿宋_GB2312" w:eastAsia="仿宋_GB2312"/>
                <w:sz w:val="24"/>
              </w:rPr>
              <w:t>模型推理严格模拟中医辨证思维链：四诊输入（舌象、脉象、问诊文本）</w:t>
            </w:r>
            <w:r>
              <w:rPr>
                <w:rFonts w:ascii="仿宋_GB2312" w:hAnsi="仿宋_GB2312" w:cs="仿宋_GB2312" w:eastAsia="仿宋_GB2312"/>
                <w:sz w:val="24"/>
              </w:rPr>
              <w:t>→症状归纳（主证提取）→八纲辨证（病性判定）→病位病机分析→治则方药生成，分步输出推理过程，支持医师逐层验证，中医辨证准确率≥95%。</w:t>
            </w:r>
            <w:r>
              <w:rPr>
                <w:rFonts w:ascii="仿宋_GB2312" w:hAnsi="仿宋_GB2312" w:cs="仿宋_GB2312" w:eastAsia="仿宋_GB2312"/>
                <w:sz w:val="24"/>
              </w:rPr>
              <w:t>（</w:t>
            </w:r>
            <w:r>
              <w:rPr>
                <w:rFonts w:ascii="仿宋_GB2312" w:hAnsi="仿宋_GB2312" w:cs="仿宋_GB2312" w:eastAsia="仿宋_GB2312"/>
                <w:sz w:val="24"/>
              </w:rPr>
              <w:t>需提供现场演示</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演示内容：</w:t>
            </w:r>
          </w:p>
          <w:p>
            <w:pPr>
              <w:pStyle w:val="null3"/>
              <w:ind w:firstLine="420"/>
              <w:jc w:val="both"/>
            </w:pPr>
            <w:r>
              <w:rPr>
                <w:rFonts w:ascii="仿宋_GB2312" w:hAnsi="仿宋_GB2312" w:cs="仿宋_GB2312" w:eastAsia="仿宋_GB2312"/>
                <w:sz w:val="21"/>
              </w:rPr>
              <w:t>实现名医思维模型推理，不仅展示结果，还能复现名医的思维路径。需演示如下功能点：</w:t>
            </w:r>
          </w:p>
          <w:p>
            <w:pPr>
              <w:pStyle w:val="null3"/>
              <w:ind w:firstLine="420"/>
              <w:jc w:val="both"/>
            </w:pPr>
            <w:r>
              <w:rPr>
                <w:rFonts w:ascii="仿宋_GB2312" w:hAnsi="仿宋_GB2312" w:cs="仿宋_GB2312" w:eastAsia="仿宋_GB2312"/>
                <w:sz w:val="21"/>
              </w:rPr>
              <w:t>1、四诊输入→症状归纳→中医辨证→病位病机→治法方药</w:t>
            </w:r>
          </w:p>
          <w:p>
            <w:pPr>
              <w:pStyle w:val="null3"/>
              <w:ind w:firstLine="420"/>
              <w:jc w:val="both"/>
            </w:pPr>
            <w:r>
              <w:rPr>
                <w:rFonts w:ascii="仿宋_GB2312" w:hAnsi="仿宋_GB2312" w:cs="仿宋_GB2312" w:eastAsia="仿宋_GB2312"/>
                <w:sz w:val="21"/>
              </w:rPr>
              <w:t>2、分层输出推理过程</w:t>
            </w:r>
          </w:p>
          <w:p>
            <w:pPr>
              <w:pStyle w:val="null3"/>
              <w:ind w:firstLine="420"/>
              <w:jc w:val="both"/>
            </w:pPr>
            <w:r>
              <w:rPr>
                <w:rFonts w:ascii="仿宋_GB2312" w:hAnsi="仿宋_GB2312" w:cs="仿宋_GB2312" w:eastAsia="仿宋_GB2312"/>
                <w:sz w:val="21"/>
              </w:rPr>
              <w:t>3、中医临床辨证准确率≥95%（可验证）</w:t>
            </w:r>
          </w:p>
          <w:p>
            <w:pPr>
              <w:pStyle w:val="null3"/>
              <w:ind w:firstLine="420"/>
              <w:jc w:val="both"/>
            </w:pPr>
            <w:r>
              <w:rPr>
                <w:rFonts w:ascii="仿宋_GB2312" w:hAnsi="仿宋_GB2312" w:cs="仿宋_GB2312" w:eastAsia="仿宋_GB2312"/>
                <w:sz w:val="21"/>
              </w:rPr>
              <w:t>4、医师可对每一步推理结果进行审核</w:t>
            </w:r>
          </w:p>
          <w:p>
            <w:pPr>
              <w:pStyle w:val="null3"/>
              <w:jc w:val="both"/>
            </w:pPr>
            <w:r>
              <w:rPr>
                <w:rFonts w:ascii="仿宋_GB2312" w:hAnsi="仿宋_GB2312" w:cs="仿宋_GB2312" w:eastAsia="仿宋_GB2312"/>
                <w:sz w:val="24"/>
              </w:rPr>
              <w:t>（二）模型反馈</w:t>
            </w:r>
          </w:p>
          <w:p>
            <w:pPr>
              <w:pStyle w:val="null3"/>
              <w:jc w:val="both"/>
            </w:pPr>
            <w:r>
              <w:rPr>
                <w:rFonts w:ascii="仿宋_GB2312" w:hAnsi="仿宋_GB2312" w:cs="仿宋_GB2312" w:eastAsia="仿宋_GB2312"/>
                <w:sz w:val="24"/>
              </w:rPr>
              <w:t>建立结构化反馈机制，接收临床医师对模型的反馈（含反馈类型、案例编号、问题描述、改进建议），支持上传佐证材料（如诊疗记录截图）；针对</w:t>
            </w:r>
            <w:r>
              <w:rPr>
                <w:rFonts w:ascii="仿宋_GB2312" w:hAnsi="仿宋_GB2312" w:cs="仿宋_GB2312" w:eastAsia="仿宋_GB2312"/>
                <w:sz w:val="24"/>
              </w:rPr>
              <w:t>“模型问题”反馈，AI算法组分析原因后调整参数、补充训练数据或优化算法逻辑，反馈处理完成后生成《反馈处理报告》，同步至反馈人及项目组，形成闭环管理。</w:t>
            </w:r>
          </w:p>
          <w:p>
            <w:pPr>
              <w:pStyle w:val="null3"/>
              <w:jc w:val="both"/>
            </w:pPr>
            <w:r>
              <w:rPr>
                <w:rFonts w:ascii="仿宋_GB2312" w:hAnsi="仿宋_GB2312" w:cs="仿宋_GB2312" w:eastAsia="仿宋_GB2312"/>
                <w:sz w:val="24"/>
              </w:rPr>
              <w:t>四、推广应用</w:t>
            </w:r>
          </w:p>
          <w:p>
            <w:pPr>
              <w:pStyle w:val="null3"/>
              <w:jc w:val="both"/>
            </w:pPr>
            <w:r>
              <w:rPr>
                <w:rFonts w:ascii="仿宋_GB2312" w:hAnsi="仿宋_GB2312" w:cs="仿宋_GB2312" w:eastAsia="仿宋_GB2312"/>
                <w:sz w:val="24"/>
              </w:rPr>
              <w:t>（一）配合采购人完成</w:t>
            </w:r>
            <w:r>
              <w:rPr>
                <w:rFonts w:ascii="仿宋_GB2312" w:hAnsi="仿宋_GB2312" w:cs="仿宋_GB2312" w:eastAsia="仿宋_GB2312"/>
                <w:sz w:val="24"/>
              </w:rPr>
              <w:t>3个软件著作权。</w:t>
            </w:r>
          </w:p>
          <w:p>
            <w:pPr>
              <w:pStyle w:val="null3"/>
              <w:jc w:val="both"/>
            </w:pPr>
            <w:r>
              <w:rPr>
                <w:rFonts w:ascii="仿宋_GB2312" w:hAnsi="仿宋_GB2312" w:cs="仿宋_GB2312" w:eastAsia="仿宋_GB2312"/>
                <w:sz w:val="24"/>
              </w:rPr>
              <w:t>（二）配合采购人发表</w:t>
            </w:r>
            <w:r>
              <w:rPr>
                <w:rFonts w:ascii="仿宋_GB2312" w:hAnsi="仿宋_GB2312" w:cs="仿宋_GB2312" w:eastAsia="仿宋_GB2312"/>
                <w:sz w:val="24"/>
              </w:rPr>
              <w:t>2-3篇高质量论文。</w:t>
            </w:r>
          </w:p>
          <w:p>
            <w:pPr>
              <w:pStyle w:val="null3"/>
              <w:jc w:val="both"/>
            </w:pPr>
            <w:r>
              <w:rPr>
                <w:rFonts w:ascii="仿宋_GB2312" w:hAnsi="仿宋_GB2312" w:cs="仿宋_GB2312" w:eastAsia="仿宋_GB2312"/>
                <w:sz w:val="24"/>
              </w:rPr>
              <w:t>（三）配合采购人形成总结报告</w:t>
            </w:r>
            <w:r>
              <w:rPr>
                <w:rFonts w:ascii="仿宋_GB2312" w:hAnsi="仿宋_GB2312" w:cs="仿宋_GB2312" w:eastAsia="仿宋_GB2312"/>
                <w:sz w:val="24"/>
              </w:rPr>
              <w:t>1份。</w:t>
            </w:r>
          </w:p>
          <w:p>
            <w:pPr>
              <w:pStyle w:val="null3"/>
              <w:jc w:val="both"/>
            </w:pPr>
            <w:r>
              <w:rPr>
                <w:rFonts w:ascii="仿宋_GB2312" w:hAnsi="仿宋_GB2312" w:cs="仿宋_GB2312" w:eastAsia="仿宋_GB2312"/>
                <w:sz w:val="24"/>
              </w:rPr>
              <w:t>（四）延伸至基层中医诊疗机构应用不少于</w:t>
            </w:r>
            <w:r>
              <w:rPr>
                <w:rFonts w:ascii="仿宋_GB2312" w:hAnsi="仿宋_GB2312" w:cs="仿宋_GB2312" w:eastAsia="仿宋_GB2312"/>
                <w:sz w:val="24"/>
              </w:rPr>
              <w:t>10家，辅助基层医生临床诊疗。</w:t>
            </w:r>
          </w:p>
          <w:p>
            <w:pPr>
              <w:pStyle w:val="null3"/>
              <w:jc w:val="both"/>
            </w:pPr>
            <w:r>
              <w:rPr>
                <w:rFonts w:ascii="仿宋_GB2312" w:hAnsi="仿宋_GB2312" w:cs="仿宋_GB2312" w:eastAsia="仿宋_GB2312"/>
                <w:sz w:val="24"/>
                <w:b/>
              </w:rPr>
              <w:t>辅助决策系统</w:t>
            </w:r>
          </w:p>
          <w:p>
            <w:pPr>
              <w:pStyle w:val="null3"/>
              <w:jc w:val="both"/>
            </w:pPr>
            <w:r>
              <w:rPr>
                <w:rFonts w:ascii="仿宋_GB2312" w:hAnsi="仿宋_GB2312" w:cs="仿宋_GB2312" w:eastAsia="仿宋_GB2312"/>
                <w:sz w:val="24"/>
              </w:rPr>
              <w:t>一、门诊辨证论治辅助诊疗模块</w:t>
            </w:r>
          </w:p>
          <w:p>
            <w:pPr>
              <w:pStyle w:val="null3"/>
              <w:jc w:val="both"/>
            </w:pPr>
            <w:r>
              <w:rPr>
                <w:rFonts w:ascii="仿宋_GB2312" w:hAnsi="仿宋_GB2312" w:cs="仿宋_GB2312" w:eastAsia="仿宋_GB2312"/>
                <w:sz w:val="24"/>
              </w:rPr>
              <w:t>（一）疾病</w:t>
            </w:r>
            <w:r>
              <w:rPr>
                <w:rFonts w:ascii="仿宋_GB2312" w:hAnsi="仿宋_GB2312" w:cs="仿宋_GB2312" w:eastAsia="仿宋_GB2312"/>
                <w:sz w:val="24"/>
              </w:rPr>
              <w:t>/病证检索与病历处理</w:t>
            </w:r>
          </w:p>
          <w:p>
            <w:pPr>
              <w:pStyle w:val="null3"/>
              <w:jc w:val="both"/>
            </w:pPr>
            <w:r>
              <w:rPr>
                <w:rFonts w:ascii="仿宋_GB2312" w:hAnsi="仿宋_GB2312" w:cs="仿宋_GB2312" w:eastAsia="仿宋_GB2312"/>
                <w:sz w:val="24"/>
              </w:rPr>
              <w:t>系统需包含常见西医疾病和中医病证的中医诊疗方案，疾病</w:t>
            </w:r>
            <w:r>
              <w:rPr>
                <w:rFonts w:ascii="仿宋_GB2312" w:hAnsi="仿宋_GB2312" w:cs="仿宋_GB2312" w:eastAsia="仿宋_GB2312"/>
                <w:sz w:val="24"/>
              </w:rPr>
              <w:t>/病证分类符合全国中医药行业高等教育规划教材规范；支持以疾病/病证名称、拼音首字母多种方式搜索；可根据患者性别限制可查询疾病，并展示疾病/病证的诊断要点、推荐症状。</w:t>
            </w:r>
          </w:p>
          <w:p>
            <w:pPr>
              <w:pStyle w:val="null3"/>
              <w:jc w:val="both"/>
            </w:pPr>
            <w:r>
              <w:rPr>
                <w:rFonts w:ascii="仿宋_GB2312" w:hAnsi="仿宋_GB2312" w:cs="仿宋_GB2312" w:eastAsia="仿宋_GB2312"/>
                <w:sz w:val="24"/>
              </w:rPr>
              <w:t>支持直接从门诊医生工作站获取患者病历信息，避免二次输入；也支持手动录入主诉、现病史等内容；通过自然语言识别技术自动解析病历中的主诉和现病史，提取标准化、结构化的中医症状；同时支持以中文或拼音首字母方式快速查询并录入常见症状，且按中医标准表述呈现。</w:t>
            </w:r>
          </w:p>
          <w:p>
            <w:pPr>
              <w:pStyle w:val="null3"/>
              <w:jc w:val="both"/>
            </w:pPr>
            <w:r>
              <w:rPr>
                <w:rFonts w:ascii="仿宋_GB2312" w:hAnsi="仿宋_GB2312" w:cs="仿宋_GB2312" w:eastAsia="仿宋_GB2312"/>
                <w:sz w:val="24"/>
              </w:rPr>
              <w:t>（二）智能辨证与开方推荐</w:t>
            </w:r>
          </w:p>
          <w:p>
            <w:pPr>
              <w:pStyle w:val="null3"/>
              <w:jc w:val="both"/>
            </w:pPr>
            <w:r>
              <w:rPr>
                <w:rFonts w:ascii="仿宋_GB2312" w:hAnsi="仿宋_GB2312" w:cs="仿宋_GB2312" w:eastAsia="仿宋_GB2312"/>
                <w:sz w:val="24"/>
              </w:rPr>
              <w:t>支持根据采集的症状，基于中医辨证论治理论，分别模拟名老中医临床思维、中医药教材辨证方案、常见病指南辨证方案进行智能辨证分型。</w:t>
            </w:r>
          </w:p>
          <w:p>
            <w:pPr>
              <w:pStyle w:val="null3"/>
              <w:jc w:val="both"/>
            </w:pPr>
            <w:r>
              <w:rPr>
                <w:rFonts w:ascii="仿宋_GB2312" w:hAnsi="仿宋_GB2312" w:cs="仿宋_GB2312" w:eastAsia="仿宋_GB2312"/>
                <w:sz w:val="24"/>
              </w:rPr>
              <w:t>针对辨证结果，系统自动推荐对应处方，标注处方的辨证证型、治法、来源出处；支持查看处方内中药材详情，且与医院药房库存数据实时同步；医生可修改处方。</w:t>
            </w:r>
          </w:p>
          <w:p>
            <w:pPr>
              <w:pStyle w:val="null3"/>
              <w:jc w:val="both"/>
            </w:pPr>
            <w:r>
              <w:rPr>
                <w:rFonts w:ascii="仿宋_GB2312" w:hAnsi="仿宋_GB2312" w:cs="仿宋_GB2312" w:eastAsia="仿宋_GB2312"/>
                <w:sz w:val="24"/>
              </w:rPr>
              <w:t>（三）用药提醒与处方管理</w:t>
            </w:r>
          </w:p>
          <w:p>
            <w:pPr>
              <w:pStyle w:val="null3"/>
              <w:jc w:val="both"/>
            </w:pPr>
            <w:r>
              <w:rPr>
                <w:rFonts w:ascii="仿宋_GB2312" w:hAnsi="仿宋_GB2312" w:cs="仿宋_GB2312" w:eastAsia="仿宋_GB2312"/>
                <w:sz w:val="24"/>
              </w:rPr>
              <w:t>支持从中药毒性、药物配伍（十八反十九畏等）、禁忌、用量等方面对处方进行监测提醒；根据药典用量提示超剂量用药，根据患者性别、年龄等信息匹配药品禁忌并提示。</w:t>
            </w:r>
          </w:p>
          <w:p>
            <w:pPr>
              <w:pStyle w:val="null3"/>
              <w:jc w:val="both"/>
            </w:pPr>
            <w:r>
              <w:rPr>
                <w:rFonts w:ascii="仿宋_GB2312" w:hAnsi="仿宋_GB2312" w:cs="仿宋_GB2312" w:eastAsia="仿宋_GB2312"/>
                <w:sz w:val="24"/>
              </w:rPr>
              <w:t>支持医生查看来自教材、指南、名老中医经验等多维度的推荐处方；系统提供推荐处方的药材加减。</w:t>
            </w:r>
          </w:p>
          <w:p>
            <w:pPr>
              <w:pStyle w:val="null3"/>
              <w:jc w:val="both"/>
            </w:pPr>
            <w:r>
              <w:rPr>
                <w:rFonts w:ascii="仿宋_GB2312" w:hAnsi="仿宋_GB2312" w:cs="仿宋_GB2312" w:eastAsia="仿宋_GB2312"/>
                <w:sz w:val="24"/>
              </w:rPr>
              <w:t>二、住院辨证论治辅助诊疗模块</w:t>
            </w:r>
          </w:p>
          <w:p>
            <w:pPr>
              <w:pStyle w:val="null3"/>
              <w:jc w:val="both"/>
            </w:pPr>
            <w:r>
              <w:rPr>
                <w:rFonts w:ascii="仿宋_GB2312" w:hAnsi="仿宋_GB2312" w:cs="仿宋_GB2312" w:eastAsia="仿宋_GB2312"/>
                <w:sz w:val="24"/>
              </w:rPr>
              <w:t>（一）疾病检索与病历处理</w:t>
            </w:r>
          </w:p>
          <w:p>
            <w:pPr>
              <w:pStyle w:val="null3"/>
              <w:jc w:val="both"/>
            </w:pPr>
            <w:r>
              <w:rPr>
                <w:rFonts w:ascii="仿宋_GB2312" w:hAnsi="仿宋_GB2312" w:cs="仿宋_GB2312" w:eastAsia="仿宋_GB2312"/>
                <w:sz w:val="24"/>
              </w:rPr>
              <w:t>包含常见西医疾病和中医病证的中医诊疗方案，分类符合全国中医药行业高等教育规划教材规范；支持分类显示、多方式搜索（名称</w:t>
            </w:r>
            <w:r>
              <w:rPr>
                <w:rFonts w:ascii="仿宋_GB2312" w:hAnsi="仿宋_GB2312" w:cs="仿宋_GB2312" w:eastAsia="仿宋_GB2312"/>
                <w:sz w:val="24"/>
              </w:rPr>
              <w:t>/拼音首字母），展示疾病/病证的诊断要点、推荐症状；根据患者性别限制可查询疾病，降低出错概率，提升病历质量。</w:t>
            </w:r>
          </w:p>
          <w:p>
            <w:pPr>
              <w:pStyle w:val="null3"/>
              <w:jc w:val="both"/>
            </w:pPr>
            <w:r>
              <w:rPr>
                <w:rFonts w:ascii="仿宋_GB2312" w:hAnsi="仿宋_GB2312" w:cs="仿宋_GB2312" w:eastAsia="仿宋_GB2312"/>
                <w:sz w:val="24"/>
              </w:rPr>
              <w:t>支持直接从住院医生工作站入院记录获取患者病历信息，也支持手动录入主诉、现病史；通过自然语言识别技术解析病历中的主诉和现病史，提取标准化、结构化中医症状；基于中医知识图谱和</w:t>
            </w:r>
            <w:r>
              <w:rPr>
                <w:rFonts w:ascii="仿宋_GB2312" w:hAnsi="仿宋_GB2312" w:cs="仿宋_GB2312" w:eastAsia="仿宋_GB2312"/>
                <w:sz w:val="24"/>
              </w:rPr>
              <w:t>AI算法，根据当前症状自动联想推荐可能的其他症状，实时更新推荐结果并分类排序，引导医生全面采集。</w:t>
            </w:r>
          </w:p>
          <w:p>
            <w:pPr>
              <w:pStyle w:val="null3"/>
              <w:jc w:val="both"/>
            </w:pPr>
            <w:r>
              <w:rPr>
                <w:rFonts w:ascii="仿宋_GB2312" w:hAnsi="仿宋_GB2312" w:cs="仿宋_GB2312" w:eastAsia="仿宋_GB2312"/>
                <w:sz w:val="24"/>
              </w:rPr>
              <w:t>（二）智能辨证开方与用药管理</w:t>
            </w:r>
          </w:p>
          <w:p>
            <w:pPr>
              <w:pStyle w:val="null3"/>
              <w:jc w:val="both"/>
            </w:pPr>
            <w:r>
              <w:rPr>
                <w:rFonts w:ascii="仿宋_GB2312" w:hAnsi="仿宋_GB2312" w:cs="仿宋_GB2312" w:eastAsia="仿宋_GB2312"/>
                <w:sz w:val="24"/>
              </w:rPr>
              <w:t>根据采集的症状，基于中医</w:t>
            </w:r>
            <w:r>
              <w:rPr>
                <w:rFonts w:ascii="仿宋_GB2312" w:hAnsi="仿宋_GB2312" w:cs="仿宋_GB2312" w:eastAsia="仿宋_GB2312"/>
                <w:sz w:val="24"/>
              </w:rPr>
              <w:t>“辨证论治”思维辅助医生智能辨证，显示来自教材、指南、名老中医经验等多维度的中医处方；标注处方的辨证证型、治法、来源，计算并按推荐度排序；支持查看药材详情、修改处方，且与药房库存实时同步。</w:t>
            </w:r>
          </w:p>
          <w:p>
            <w:pPr>
              <w:pStyle w:val="null3"/>
              <w:jc w:val="both"/>
            </w:pPr>
            <w:r>
              <w:rPr>
                <w:rFonts w:ascii="仿宋_GB2312" w:hAnsi="仿宋_GB2312" w:cs="仿宋_GB2312" w:eastAsia="仿宋_GB2312"/>
                <w:sz w:val="24"/>
              </w:rPr>
              <w:t>在辨证基础上，从中药毒性、药物配伍（十八反十九畏）、禁忌、用量等方面监控处方并提醒；支持医生查看多维度推荐处方；提供推荐处方的药材加减。</w:t>
            </w:r>
          </w:p>
          <w:p>
            <w:pPr>
              <w:pStyle w:val="null3"/>
              <w:jc w:val="both"/>
            </w:pPr>
            <w:r>
              <w:rPr>
                <w:rFonts w:ascii="仿宋_GB2312" w:hAnsi="仿宋_GB2312" w:cs="仿宋_GB2312" w:eastAsia="仿宋_GB2312"/>
                <w:sz w:val="24"/>
              </w:rPr>
              <w:t>四、医技辅助决策与知识库模块</w:t>
            </w:r>
          </w:p>
          <w:p>
            <w:pPr>
              <w:pStyle w:val="null3"/>
              <w:jc w:val="both"/>
            </w:pPr>
            <w:r>
              <w:rPr>
                <w:rFonts w:ascii="仿宋_GB2312" w:hAnsi="仿宋_GB2312" w:cs="仿宋_GB2312" w:eastAsia="仿宋_GB2312"/>
                <w:sz w:val="24"/>
              </w:rPr>
              <w:t>（一）医技辅助决策</w:t>
            </w:r>
          </w:p>
          <w:p>
            <w:pPr>
              <w:pStyle w:val="null3"/>
              <w:jc w:val="both"/>
            </w:pPr>
            <w:r>
              <w:rPr>
                <w:rFonts w:ascii="仿宋_GB2312" w:hAnsi="仿宋_GB2312" w:cs="仿宋_GB2312" w:eastAsia="仿宋_GB2312"/>
                <w:sz w:val="24"/>
              </w:rPr>
              <w:t>门诊</w:t>
            </w:r>
            <w:r>
              <w:rPr>
                <w:rFonts w:ascii="仿宋_GB2312" w:hAnsi="仿宋_GB2312" w:cs="仿宋_GB2312" w:eastAsia="仿宋_GB2312"/>
                <w:sz w:val="24"/>
              </w:rPr>
              <w:t>/住院下达检查/检验申请时，系统可根据知识库、患者诊断、其他检查检验结果，列出所需检查/检验项目并提出建议；下达申请时提供检验项目和标本信息（适应症、采集要求、作用等）；针对患者性别、诊断、以往检验申请与结果等，自动审核申请合理性，对问题申请给出提示。</w:t>
            </w:r>
          </w:p>
          <w:p>
            <w:pPr>
              <w:pStyle w:val="null3"/>
              <w:jc w:val="both"/>
            </w:pPr>
            <w:r>
              <w:rPr>
                <w:rFonts w:ascii="仿宋_GB2312" w:hAnsi="仿宋_GB2312" w:cs="仿宋_GB2312" w:eastAsia="仿宋_GB2312"/>
                <w:sz w:val="24"/>
              </w:rPr>
              <w:t>支持根据医技内容（如影像学检查、检验、病理检查等）生成注意事项，包括检查前准备、检查过程要求、检查后护理要点等，辅助医技人员规范操作，也为医生解读结果提供参考。</w:t>
            </w:r>
          </w:p>
          <w:p>
            <w:pPr>
              <w:pStyle w:val="null3"/>
              <w:jc w:val="both"/>
            </w:pPr>
            <w:r>
              <w:rPr>
                <w:rFonts w:ascii="仿宋_GB2312" w:hAnsi="仿宋_GB2312" w:cs="仿宋_GB2312" w:eastAsia="仿宋_GB2312"/>
                <w:sz w:val="24"/>
              </w:rPr>
              <w:t>（二）知识库功能</w:t>
            </w:r>
          </w:p>
          <w:p>
            <w:pPr>
              <w:pStyle w:val="null3"/>
              <w:jc w:val="both"/>
            </w:pPr>
            <w:r>
              <w:rPr>
                <w:rFonts w:ascii="仿宋_GB2312" w:hAnsi="仿宋_GB2312" w:cs="仿宋_GB2312" w:eastAsia="仿宋_GB2312"/>
                <w:sz w:val="24"/>
              </w:rPr>
              <w:t>支持名医医案、方剂、古籍、中药、中成药、穴位、中医病证、针灸处方、脉学、舌象等维度的知识查询与管理：</w:t>
            </w:r>
          </w:p>
          <w:p>
            <w:pPr>
              <w:pStyle w:val="null3"/>
              <w:jc w:val="both"/>
            </w:pPr>
            <w:r>
              <w:rPr>
                <w:rFonts w:ascii="仿宋_GB2312" w:hAnsi="仿宋_GB2312" w:cs="仿宋_GB2312" w:eastAsia="仿宋_GB2312"/>
                <w:sz w:val="24"/>
              </w:rPr>
              <w:t>名医医案：提供当代国医大师、名老中医及经典医案，按系统疾病（如神经系统、消化系统）构建子库，支持多方式搜索，展示医案详情；</w:t>
            </w:r>
          </w:p>
          <w:p>
            <w:pPr>
              <w:pStyle w:val="null3"/>
              <w:jc w:val="both"/>
            </w:pPr>
            <w:r>
              <w:rPr>
                <w:rFonts w:ascii="仿宋_GB2312" w:hAnsi="仿宋_GB2312" w:cs="仿宋_GB2312" w:eastAsia="仿宋_GB2312"/>
                <w:sz w:val="24"/>
              </w:rPr>
              <w:t>方剂知识：提供方剂，按功效（如解表、祛湿）构建子库，支持多方式搜索，展示方剂用法、功效、来源等；</w:t>
            </w:r>
          </w:p>
          <w:p>
            <w:pPr>
              <w:pStyle w:val="null3"/>
              <w:jc w:val="both"/>
            </w:pPr>
            <w:r>
              <w:rPr>
                <w:rFonts w:ascii="仿宋_GB2312" w:hAnsi="仿宋_GB2312" w:cs="仿宋_GB2312" w:eastAsia="仿宋_GB2312"/>
                <w:sz w:val="24"/>
              </w:rPr>
              <w:t>中药知识：提供中药，按性味、归经、毒性等筛选查询，展示药材图片、主治、古籍引述等；</w:t>
            </w:r>
          </w:p>
          <w:p>
            <w:pPr>
              <w:pStyle w:val="null3"/>
              <w:jc w:val="both"/>
            </w:pPr>
            <w:r>
              <w:rPr>
                <w:rFonts w:ascii="仿宋_GB2312" w:hAnsi="仿宋_GB2312" w:cs="仿宋_GB2312" w:eastAsia="仿宋_GB2312"/>
                <w:sz w:val="24"/>
              </w:rPr>
              <w:t>其他知识：提供中成药、穴位、中医病证、针灸处方、脉学、舌象知识，分别按类别构建子库，支持多方式查询与详情展示。</w:t>
            </w:r>
          </w:p>
          <w:p>
            <w:pPr>
              <w:pStyle w:val="null3"/>
              <w:jc w:val="both"/>
            </w:pPr>
            <w:r>
              <w:rPr>
                <w:rFonts w:ascii="仿宋_GB2312" w:hAnsi="仿宋_GB2312" w:cs="仿宋_GB2312" w:eastAsia="仿宋_GB2312"/>
                <w:sz w:val="24"/>
              </w:rPr>
              <w:t>支持知识库高级检索，可根据疾病名称、症状、</w:t>
            </w:r>
            <w:r>
              <w:rPr>
                <w:rFonts w:ascii="仿宋_GB2312" w:hAnsi="仿宋_GB2312" w:cs="仿宋_GB2312" w:eastAsia="仿宋_GB2312"/>
                <w:sz w:val="24"/>
              </w:rPr>
              <w:t>ICD编码、检查名称、药物名称等进行模糊关键字检索；支持添加知识阅读笔记，并设置笔记是否开放；支持定期以升级包形式对知识库内容进行升级维护，确保知识时效性。</w:t>
            </w:r>
          </w:p>
          <w:p>
            <w:pPr>
              <w:pStyle w:val="null3"/>
              <w:jc w:val="both"/>
            </w:pPr>
            <w:r>
              <w:rPr>
                <w:rFonts w:ascii="仿宋_GB2312" w:hAnsi="仿宋_GB2312" w:cs="仿宋_GB2312" w:eastAsia="仿宋_GB2312"/>
                <w:sz w:val="24"/>
                <w:b/>
              </w:rPr>
              <w:t>GPU服务器</w:t>
            </w:r>
            <w:r>
              <w:br/>
            </w:r>
            <w:r>
              <w:rPr>
                <w:rFonts w:ascii="仿宋_GB2312" w:hAnsi="仿宋_GB2312" w:cs="仿宋_GB2312" w:eastAsia="仿宋_GB2312"/>
                <w:sz w:val="24"/>
                <w:b/>
              </w:rPr>
              <w:t>GPU服务器部署于医院数据中心，实现本地化部署</w:t>
            </w:r>
          </w:p>
          <w:p>
            <w:pPr>
              <w:pStyle w:val="null3"/>
              <w:jc w:val="both"/>
            </w:pPr>
            <w:r>
              <w:rPr>
                <w:rFonts w:ascii="仿宋_GB2312" w:hAnsi="仿宋_GB2312" w:cs="仿宋_GB2312" w:eastAsia="仿宋_GB2312"/>
                <w:sz w:val="24"/>
              </w:rPr>
              <w:t>（一）核心计算组件</w:t>
            </w:r>
          </w:p>
          <w:p>
            <w:pPr>
              <w:pStyle w:val="null3"/>
              <w:jc w:val="both"/>
            </w:pPr>
            <w:r>
              <w:rPr>
                <w:rFonts w:ascii="仿宋_GB2312" w:hAnsi="仿宋_GB2312" w:cs="仿宋_GB2312" w:eastAsia="仿宋_GB2312"/>
                <w:sz w:val="24"/>
              </w:rPr>
              <w:t>CPU配置：需实配≥2颗处理器，单颗处理器核数≥32核、主频≥2.1GHz。</w:t>
            </w:r>
          </w:p>
          <w:p>
            <w:pPr>
              <w:pStyle w:val="null3"/>
              <w:jc w:val="both"/>
            </w:pPr>
            <w:r>
              <w:rPr>
                <w:rFonts w:ascii="仿宋_GB2312" w:hAnsi="仿宋_GB2312" w:cs="仿宋_GB2312" w:eastAsia="仿宋_GB2312"/>
                <w:sz w:val="24"/>
              </w:rPr>
              <w:t>GPU配置：需配置≥160GB显存的GPU卡。</w:t>
            </w:r>
          </w:p>
          <w:p>
            <w:pPr>
              <w:pStyle w:val="null3"/>
              <w:jc w:val="both"/>
            </w:pPr>
            <w:r>
              <w:rPr>
                <w:rFonts w:ascii="仿宋_GB2312" w:hAnsi="仿宋_GB2312" w:cs="仿宋_GB2312" w:eastAsia="仿宋_GB2312"/>
                <w:sz w:val="24"/>
              </w:rPr>
              <w:t>内存配置：需配置</w:t>
            </w:r>
            <w:r>
              <w:rPr>
                <w:rFonts w:ascii="仿宋_GB2312" w:hAnsi="仿宋_GB2312" w:cs="仿宋_GB2312" w:eastAsia="仿宋_GB2312"/>
                <w:sz w:val="24"/>
              </w:rPr>
              <w:t>≥512GB 内存。</w:t>
            </w:r>
          </w:p>
          <w:p>
            <w:pPr>
              <w:pStyle w:val="null3"/>
              <w:jc w:val="both"/>
            </w:pPr>
            <w:r>
              <w:rPr>
                <w:rFonts w:ascii="仿宋_GB2312" w:hAnsi="仿宋_GB2312" w:cs="仿宋_GB2312" w:eastAsia="仿宋_GB2312"/>
                <w:sz w:val="24"/>
              </w:rPr>
              <w:t>硬盘配置：需配置</w:t>
            </w:r>
            <w:r>
              <w:rPr>
                <w:rFonts w:ascii="仿宋_GB2312" w:hAnsi="仿宋_GB2312" w:cs="仿宋_GB2312" w:eastAsia="仿宋_GB2312"/>
                <w:sz w:val="24"/>
              </w:rPr>
              <w:t>≥2块960GB SATA SSD硬盘模块（系统盘）及≥4块 3.84TB SATA SSD 硬盘模块（数据盘），同时需配备独立阵列卡。</w:t>
            </w:r>
          </w:p>
          <w:p>
            <w:pPr>
              <w:pStyle w:val="null3"/>
              <w:jc w:val="both"/>
            </w:pPr>
            <w:r>
              <w:rPr>
                <w:rFonts w:ascii="仿宋_GB2312" w:hAnsi="仿宋_GB2312" w:cs="仿宋_GB2312" w:eastAsia="仿宋_GB2312"/>
                <w:sz w:val="24"/>
              </w:rPr>
              <w:t>（二）网络组件</w:t>
            </w:r>
          </w:p>
          <w:p>
            <w:pPr>
              <w:pStyle w:val="null3"/>
              <w:jc w:val="both"/>
            </w:pPr>
            <w:r>
              <w:rPr>
                <w:rFonts w:ascii="仿宋_GB2312" w:hAnsi="仿宋_GB2312" w:cs="仿宋_GB2312" w:eastAsia="仿宋_GB2312"/>
                <w:sz w:val="24"/>
              </w:rPr>
              <w:t>需配置不少于</w:t>
            </w:r>
            <w:r>
              <w:rPr>
                <w:rFonts w:ascii="仿宋_GB2312" w:hAnsi="仿宋_GB2312" w:cs="仿宋_GB2312" w:eastAsia="仿宋_GB2312"/>
                <w:sz w:val="24"/>
              </w:rPr>
              <w:t>2个万兆光口的网卡。</w:t>
            </w:r>
          </w:p>
          <w:p>
            <w:pPr>
              <w:pStyle w:val="null3"/>
              <w:jc w:val="both"/>
            </w:pPr>
            <w:r>
              <w:rPr>
                <w:rFonts w:ascii="仿宋_GB2312" w:hAnsi="仿宋_GB2312" w:cs="仿宋_GB2312" w:eastAsia="仿宋_GB2312"/>
                <w:sz w:val="24"/>
              </w:rPr>
              <w:t>（三）电源组件</w:t>
            </w:r>
          </w:p>
          <w:p>
            <w:pPr>
              <w:pStyle w:val="null3"/>
              <w:jc w:val="both"/>
            </w:pPr>
            <w:r>
              <w:rPr>
                <w:rFonts w:ascii="仿宋_GB2312" w:hAnsi="仿宋_GB2312" w:cs="仿宋_GB2312" w:eastAsia="仿宋_GB2312"/>
                <w:sz w:val="24"/>
              </w:rPr>
              <w:t>电源配置：需配置</w:t>
            </w:r>
            <w:r>
              <w:rPr>
                <w:rFonts w:ascii="仿宋_GB2312" w:hAnsi="仿宋_GB2312" w:cs="仿宋_GB2312" w:eastAsia="仿宋_GB2312"/>
                <w:sz w:val="24"/>
              </w:rPr>
              <w:t>≥2块交流电源。</w:t>
            </w:r>
          </w:p>
          <w:p>
            <w:pPr>
              <w:pStyle w:val="null3"/>
              <w:jc w:val="both"/>
            </w:pPr>
            <w:r>
              <w:rPr>
                <w:rFonts w:ascii="仿宋_GB2312" w:hAnsi="仿宋_GB2312" w:cs="仿宋_GB2312" w:eastAsia="仿宋_GB2312"/>
                <w:sz w:val="24"/>
                <w:b/>
              </w:rPr>
              <w:t>接口</w:t>
            </w:r>
          </w:p>
          <w:p>
            <w:pPr>
              <w:pStyle w:val="null3"/>
              <w:jc w:val="both"/>
            </w:pPr>
            <w:r>
              <w:rPr>
                <w:rFonts w:ascii="仿宋_GB2312" w:hAnsi="仿宋_GB2312" w:cs="仿宋_GB2312" w:eastAsia="仿宋_GB2312"/>
                <w:sz w:val="24"/>
              </w:rPr>
              <w:t>（一）对接系统</w:t>
            </w:r>
          </w:p>
          <w:tbl>
            <w:tblPr>
              <w:tblInd w:type="dxa" w:w="105"/>
              <w:tblBorders>
                <w:top w:val="none" w:color="000000" w:sz="4"/>
                <w:left w:val="none" w:color="000000" w:sz="4"/>
                <w:bottom w:val="none" w:color="000000" w:sz="4"/>
                <w:right w:val="none" w:color="000000" w:sz="4"/>
                <w:insideH w:val="none"/>
                <w:insideV w:val="none"/>
              </w:tblBorders>
            </w:tblPr>
            <w:tblGrid>
              <w:gridCol w:w="586"/>
              <w:gridCol w:w="1967"/>
            </w:tblGrid>
            <w:tr>
              <w:tc>
                <w:tcPr>
                  <w:tcW w:type="dxa" w:w="5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19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系统名称</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HIS系统</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EMR系统</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传承平台（一期项目）</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LIS、PACS等其他相关系统</w:t>
                  </w:r>
                </w:p>
              </w:tc>
            </w:tr>
          </w:tbl>
          <w:p>
            <w:pPr>
              <w:pStyle w:val="null3"/>
              <w:jc w:val="both"/>
            </w:pPr>
            <w:r>
              <w:rPr>
                <w:rFonts w:ascii="仿宋_GB2312" w:hAnsi="仿宋_GB2312" w:cs="仿宋_GB2312" w:eastAsia="仿宋_GB2312"/>
                <w:sz w:val="24"/>
              </w:rPr>
              <w:t>（二）技术要求</w:t>
            </w:r>
          </w:p>
          <w:p>
            <w:pPr>
              <w:pStyle w:val="null3"/>
              <w:jc w:val="both"/>
            </w:pPr>
            <w:r>
              <w:rPr>
                <w:rFonts w:ascii="仿宋_GB2312" w:hAnsi="仿宋_GB2312" w:cs="仿宋_GB2312" w:eastAsia="仿宋_GB2312"/>
                <w:sz w:val="24"/>
              </w:rPr>
              <w:t>1.接口标准化要求：采用HTTP+RESTful API或Web Service（SOAP）作为核心接口协议，优先使用JSON/XML作为数据交换格式；疾病诊断、药品等核心数据需遵循ICD-10、国家药品编码等国家/行业标准，确保数据互通兼容性。</w:t>
            </w:r>
          </w:p>
          <w:p>
            <w:pPr>
              <w:pStyle w:val="null3"/>
              <w:jc w:val="both"/>
            </w:pPr>
            <w:r>
              <w:rPr>
                <w:rFonts w:ascii="仿宋_GB2312" w:hAnsi="仿宋_GB2312" w:cs="仿宋_GB2312" w:eastAsia="仿宋_GB2312"/>
                <w:sz w:val="24"/>
              </w:rPr>
              <w:t>2.数据安全保障要求：建立身份认证机制（如API Key、OAuth2.0），数据传输采用TLS/SSL加密；严格落实患者敏感信息脱敏存储与访问权限管控，对接过程全程留存操作日志，满足医疗数据安全合规要求。</w:t>
            </w:r>
          </w:p>
          <w:p>
            <w:pPr>
              <w:pStyle w:val="null3"/>
              <w:jc w:val="both"/>
            </w:pPr>
            <w:r>
              <w:rPr>
                <w:rFonts w:ascii="仿宋_GB2312" w:hAnsi="仿宋_GB2312" w:cs="仿宋_GB2312" w:eastAsia="仿宋_GB2312"/>
                <w:sz w:val="24"/>
              </w:rPr>
              <w:t>3.实时性与稳定性要求：关键业务数据（如患者诊疗信息、检查结果）采用CDC技术实现实时同步，数据传输延迟不超过3秒；系统需支持7×24小时稳定运行，接口调用成功率≥99.9%，具备故障自动告警与快速恢复能力。</w:t>
            </w:r>
          </w:p>
          <w:p>
            <w:pPr>
              <w:pStyle w:val="null3"/>
              <w:jc w:val="both"/>
            </w:pPr>
            <w:r>
              <w:rPr>
                <w:rFonts w:ascii="仿宋_GB2312" w:hAnsi="仿宋_GB2312" w:cs="仿宋_GB2312" w:eastAsia="仿宋_GB2312"/>
                <w:sz w:val="24"/>
              </w:rPr>
              <w:t>4.扩展性与兼容性要求：采用开放架构设计，预留接口扩展空间以适配未来新增系统；支持与院内现有兼容，可通过ETL工具适配大数据量传输场景，保障系统集成的灵活性与可维护性。</w:t>
            </w:r>
          </w:p>
          <w:p>
            <w:pPr>
              <w:pStyle w:val="null3"/>
              <w:spacing w:before="75" w:after="45"/>
              <w:jc w:val="both"/>
            </w:pPr>
            <w:r>
              <w:rPr>
                <w:rFonts w:ascii="仿宋_GB2312" w:hAnsi="仿宋_GB2312" w:cs="仿宋_GB2312" w:eastAsia="仿宋_GB2312"/>
                <w:sz w:val="24"/>
                <w:b/>
              </w:rPr>
              <w:t>性能要求</w:t>
            </w:r>
          </w:p>
          <w:p>
            <w:pPr>
              <w:pStyle w:val="null3"/>
              <w:jc w:val="both"/>
            </w:pPr>
            <w:r>
              <w:rPr>
                <w:rFonts w:ascii="仿宋_GB2312" w:hAnsi="仿宋_GB2312" w:cs="仿宋_GB2312" w:eastAsia="仿宋_GB2312"/>
                <w:sz w:val="24"/>
              </w:rPr>
              <w:t>1.用户规模：5000个并发在线用户</w:t>
            </w:r>
          </w:p>
          <w:p>
            <w:pPr>
              <w:pStyle w:val="null3"/>
              <w:jc w:val="both"/>
            </w:pPr>
            <w:r>
              <w:rPr>
                <w:rFonts w:ascii="仿宋_GB2312" w:hAnsi="仿宋_GB2312" w:cs="仿宋_GB2312" w:eastAsia="仿宋_GB2312"/>
                <w:sz w:val="24"/>
              </w:rPr>
              <w:t>2.并发能力：单台支持128-600并发</w:t>
            </w:r>
          </w:p>
          <w:p>
            <w:pPr>
              <w:pStyle w:val="null3"/>
              <w:jc w:val="both"/>
            </w:pPr>
            <w:r>
              <w:rPr>
                <w:rFonts w:ascii="仿宋_GB2312" w:hAnsi="仿宋_GB2312" w:cs="仿宋_GB2312" w:eastAsia="仿宋_GB2312"/>
                <w:sz w:val="24"/>
              </w:rPr>
              <w:t>3.响应时间：智能体交互≤3秒，数据集调取≤1秒</w:t>
            </w:r>
          </w:p>
          <w:p>
            <w:pPr>
              <w:pStyle w:val="null3"/>
              <w:jc w:val="both"/>
            </w:pPr>
            <w:r>
              <w:rPr>
                <w:rFonts w:ascii="仿宋_GB2312" w:hAnsi="仿宋_GB2312" w:cs="仿宋_GB2312" w:eastAsia="仿宋_GB2312"/>
                <w:sz w:val="24"/>
              </w:rPr>
              <w:t>4.额外数值：数据集查询响应≤2秒，系统可用性≥99.9%</w:t>
            </w:r>
          </w:p>
          <w:p>
            <w:pPr>
              <w:pStyle w:val="null3"/>
              <w:spacing w:before="75" w:after="45"/>
              <w:jc w:val="both"/>
            </w:pPr>
            <w:r>
              <w:rPr>
                <w:rFonts w:ascii="仿宋_GB2312" w:hAnsi="仿宋_GB2312" w:cs="仿宋_GB2312" w:eastAsia="仿宋_GB2312"/>
                <w:sz w:val="24"/>
                <w:b/>
              </w:rPr>
              <w:t>安全要求</w:t>
            </w:r>
          </w:p>
          <w:p>
            <w:pPr>
              <w:pStyle w:val="null3"/>
              <w:jc w:val="both"/>
            </w:pPr>
            <w:r>
              <w:rPr>
                <w:rFonts w:ascii="仿宋_GB2312" w:hAnsi="仿宋_GB2312" w:cs="仿宋_GB2312" w:eastAsia="仿宋_GB2312"/>
                <w:sz w:val="24"/>
              </w:rPr>
              <w:t>项目建设需严格遵循网络安全等级保护测评三级要求，采用独立网络分区、逻辑隔离等架构设计，与院内现有生产系统实现安全隔离，避免对现有业务运行产生干扰；同时围绕数据全生命周期构建安全防护体系，涵盖权限管控、加密传输、分级存储等措施，全面满足数据安全合规要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自合同签订之日起8个月内完成安装部署</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陕西中医药大学附属医院。乙方按照甲方要求时间安装调试到甲方指定地点。乙方未能按照甲方要求到货完成安装调试的，甲方有权不予接收并可要求乙方及时整改，若构成违约的，承担相应违约责任。</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本项目完成初验合格后，乙方开具的合同等额的增值税发票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项目经整体验收合格，正常运行三个月后，乙方开具的合同等额的增值税发票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项目在整体验收合格之日满三年后，乙方开具的合同等额的增值税发票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一、初验 （1）硬件验收标准： 1.1 数量验收：甲方根据本合同采购明细中的硬件设备清单，对到货设备的名称、规格型号、数量进行逐一核对，确保与合同约定一致，无短缺、错发情况。 1.2外观验收：检查设备外观是否完好，无划痕、变形、破损等情况，设备包装是否完整，无开封、受潮、挤压等痕迹，附件、说明书、保修卡等资料是否齐全。 1.3性能验收：乙方需按照设备厂家提供的技术参数及行业标准，对硬件设备进行性能测试，包括但不限于服务器的 CPU 运算速度、内存读写速度、硬盘存储性能，存储设备的读写速度、网络端口速率等，测试结果需符合合同约定的技术要求及设备厂家的出厂标准。 硬件设备验收合格后，双方签署《硬件设备到货验收单》；如验收不合格，乙方需在 7 个日历日内更换或补齐不合格设备，重新组织验收，由此产生的费用由乙方承担，工期相应顺延。 （2）软件验收标准： 2.1功能验收：按照本合同约定的软件功能模块及甲方根据国家智慧中医医院试点项目和咸阳市科技局课题提出的个性化需求，对软件的各项功能进行逐一测试，确保软件功能完整、准确，能够满足甲方日常业务处理及管理需求，无功能缺失、逻辑错误等问题。 2.2 文档验收：乙方需向甲方提交完整的软件技术文档，包括需求分析报告、设计方案文档、数据库字典、测试报告、性能报告、用户手册、操作指南、维护手册等，文档内容需完整、准确、清晰，符合行业规范及甲方要求。 2.3 培训验收：乙方完成用户培训后，甲方组织科研部等相关部门对参训人员进行培训考核，相关参训人员考核通过即达到培训要求。 相关验收合格后，双方签署《软件验收单》；如验收不合格，乙方需根据甲方提出的整改意见在30个日历日内完成整改，整改费用由乙方承担，若整改后仍无法通过验收，甲方有权解除合同。 2.4软件性能验收 对软件性能进行极限测试、反应速度测试、数据展示测试、性能测试、容错测试、流畅度测试、兼容性测试、维护测试等进行验收。 二、终验 （3）项目整体验收标准： 项目整体验收需在硬件设备验收合格、软件验收合格后，乙方提出验收申请，甲方在10个工作日内组织进行项目整体验收，整体验收标准包括： 3.1.硬件设备运行正常，无故障发生，性能稳定，满足软件运行及甲方业务需求。 3.2.软件功能完善，运行稳定，数据准确，能够正常处理相关日常业务，无重大 bug 及安全隐患。 3.3.乙方已完成合同约定的所有服务内容，包括需求调研、方案设计、开发编码、测试调试、部署上线、用户培训、技术支持等，且服务质量符合合同要求。 3.4.验收依据：采购文件、投标响应文件、澄清函、合同附件等。 项目整体验收合格后，出具《项目最终验收报告》；如整体验收不合格，乙方需在30个日历日内完成整改，重新组织验收，若整改后因乙方原因仍无法通过验收，乙方承担相应的违约责任。</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承诺对应用软件系统、硬件产品提供3年免费质保期，该免费维护保修自项目最终验收合格之日起计算。质保期内应用软件的升级、维护或者质量问题，维修、更换产生的一切费用由乙方承担，不再收取任何配件成本及维修人工等服务费。 2、维护期届满前3个月，双方可协商签订《售后维护续期协议》，明确续期服务内容、费用标准及服务期限。若未签订续期协议，乙方仍需提供有偿维护服务，收费标准不超过合同软件金额的7%（保修、质保期内的维护内容包括：软件版本升级、系统补丁免费升级，软件问题处理，接口处理等），具体以另行签订的服务协议为准。 3、硬件设备维护： 定期巡检：维护期内，乙方每3个月需安排专业工程师对硬件设备进行一次现场巡检，检查设备运行状态、硬件参数、连接稳定性等，形成《硬件设备巡检报告》提交甲方，及时发现并排除潜在故障。 故障处理：硬件设备出现故障时，乙方需在接到甲方通知后1小时内响应，4小时内安排工程师到达现场，24小时内完成故障修复或更换（需厂家调配零部件的，修复时间可延长至零部件到货后36小时内）。 备件保障：乙方需协调设备供货商在48小时内确保常用零部件（如服务器硬盘、电源、交换机端口模块等）的供应，避免因备件短缺导致维护延误。 设备维护：乙方需协调设备原厂为甲方提供免费的维修、更换零部件服务。 4、软件维护 三年的免费质保期内，乙方提供专业售后服务人员提供BUG修复、版本更新、技术支持等服务，甲方要求人员现场支持时，期间产生的一切费用由乙方承担。 BUG 修复：乙方需对软件运行过程中出现的功能故障、逻辑错误等 BUG，在接到甲方反馈后2小时内响应，24小时内提供临时解决方案，72小时内完成正式修复并上线。 版本更新：根据甲方业务需求变化及国家相关政策调整，乙方需每6个月评估一次软件更新需求，提供免费的功能优化、接口升级服务，确保软件符合甲方实际使用需求。 技术支持：维护期内提供7×24小时远程技术支持，通过电话、邮件、远程协助等方式解答甲方使用疑问，协助解决软件操作、数据处理等问题，响应时间不超过1小时。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（1）甲乙双方应按本合同约定履行各自的义务，若任何一方违反本合同约定条款，应承担相应违约责任，违约金最高不超过合同总价的10%。 （2）因不可抗力导致无法执行本协议项下的义务将不视为违约，但应在条件允许的情况下采取一切必要的补偿措施，以减少因不可抗力造成的损失。 （3）乙方应保证按时交付货物并完成安装调试（因甲方场地和安装条件等甲方原因除外），每延期一日，应当按照合同金额的0.2‰向甲方支付违约金，最高不超过合同金额的5%。</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中标公告发布后，中标供应商须向采购代理机构提供纸质版投标文件2套、电子U盘1份，且提供的投标文件必须与在陕西省政府采购综合管理平台的项目电子化交易系统中递交的电子投标文件内容一致。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2.具有良好的商业信誉和健全的财务会计制度（提供2024年度财务审计报告或开标前6个月内银行资信证明或财政部门认可的政府采购专业担保机构出具的投标担保函）； 3.具有履行合同所必需的服务能力（格式详见附件）； 4.具有依法缴纳税收和社会保障资金的良好记录（提供开标前12个月内任一月份的社保和缴纳税收的证明，税种须包含增值税或企业所得税，依法不需要缴纳社会保障资金、免税或无须缴纳税款的供应商，应提供相关证明文件)； 5.参加政府采购活动前三年内，在经营活动中没有重大违法记录（格式详见附件）供应商需在项目电子化交易系统中按要求上传相应证明文件并进行电子签章。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2024年度财务审计报告或开标前6个月内银行资信证明或财政部门认可的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供应商诚信承诺书.docx 拒绝商业贿赂承诺书.docx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附法定代表人身份证明（法定代表人直接参加投标，须提供法定代表人身份证明及身份证复印件）或法定代表人授权委托书（附法定代表人、被授权人身份证复印件）；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规格、技术参数偏离表.docx 开标一览表 标的清单 商务偏离表.docx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投标文件封面 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投标文件封面 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投标文件封面 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投标文件封面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核心产品</w:t>
            </w:r>
          </w:p>
        </w:tc>
        <w:tc>
          <w:tcPr>
            <w:tcW w:type="dxa" w:w="3322"/>
          </w:tcPr>
          <w:p>
            <w:pPr>
              <w:pStyle w:val="null3"/>
            </w:pPr>
            <w:r>
              <w:rPr>
                <w:rFonts w:ascii="仿宋_GB2312" w:hAnsi="仿宋_GB2312" w:cs="仿宋_GB2312" w:eastAsia="仿宋_GB2312"/>
              </w:rPr>
              <w:t>在符合性审查环节提供核心产品品牌不足3个的，视为有效投标人不足3家。</w:t>
            </w:r>
          </w:p>
        </w:tc>
        <w:tc>
          <w:tcPr>
            <w:tcW w:type="dxa" w:w="1661"/>
          </w:tcPr>
          <w:p>
            <w:pPr>
              <w:pStyle w:val="null3"/>
            </w:pPr>
            <w:r>
              <w:rPr>
                <w:rFonts w:ascii="仿宋_GB2312" w:hAnsi="仿宋_GB2312" w:cs="仿宋_GB2312" w:eastAsia="仿宋_GB2312"/>
              </w:rPr>
              <w:t>规格、技术参数偏离表.docx 投标文件封面 商务偏离表.docx 报价表及分项报价表.docx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规格、技术参数偏离表.docx 投标文件封面 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参数符合性</w:t>
            </w:r>
          </w:p>
        </w:tc>
        <w:tc>
          <w:tcPr>
            <w:tcW w:type="dxa" w:w="2492"/>
          </w:tcPr>
          <w:p>
            <w:pPr>
              <w:pStyle w:val="null3"/>
            </w:pPr>
            <w:r>
              <w:rPr>
                <w:rFonts w:ascii="仿宋_GB2312" w:hAnsi="仿宋_GB2312" w:cs="仿宋_GB2312" w:eastAsia="仿宋_GB2312"/>
              </w:rPr>
              <w:t>产品技术参数完全符合招标文件配置要求的,得20分。其中“▲”标注参数为重要技术参数。每负偏离一项扣2分，直至本项扣完为止；非“▲”参数为一般参数，每负偏离一项扣1分，直至本项扣完为止。 注：带“▲”参数需提供佐证材料并加盖公章。（佐证材料不限于：检测报告、功能说明书、功能截图等内容，未提供相关证明材料不得分。）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认证体系</w:t>
            </w:r>
          </w:p>
        </w:tc>
        <w:tc>
          <w:tcPr>
            <w:tcW w:type="dxa" w:w="2492"/>
          </w:tcPr>
          <w:p>
            <w:pPr>
              <w:pStyle w:val="null3"/>
            </w:pPr>
            <w:r>
              <w:rPr>
                <w:rFonts w:ascii="仿宋_GB2312" w:hAnsi="仿宋_GB2312" w:cs="仿宋_GB2312" w:eastAsia="仿宋_GB2312"/>
              </w:rPr>
              <w:t>供应商具有具有：ISO9001质量管理体系认证证书、ISO20000信息技术服务管理体系认证证书；所有证书认证范围须包括软件开发，每提供一个证书得1分，最高得2分。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软件著作权证书</w:t>
            </w:r>
          </w:p>
        </w:tc>
        <w:tc>
          <w:tcPr>
            <w:tcW w:type="dxa" w:w="2492"/>
          </w:tcPr>
          <w:p>
            <w:pPr>
              <w:pStyle w:val="null3"/>
            </w:pPr>
            <w:r>
              <w:rPr>
                <w:rFonts w:ascii="仿宋_GB2312" w:hAnsi="仿宋_GB2312" w:cs="仿宋_GB2312" w:eastAsia="仿宋_GB2312"/>
              </w:rPr>
              <w:t>供应商具有与本项目功能类似的软件著作权证书，著作权证书登记日期必须在招标文件发布之日前，每提供一个证书得1分，满分3分，提供复印件并加盖公章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供应商提供针对本项目的实施方案，方案针对本项目实施提出：（1）项目实施步骤或流程；（2）各阶段实施任务；（3）项目质量管理；（4）风险管理；（5）测试方案等内容。 方案各项内容全面详细、阐述条理清晰详尽，每有一个缺项扣2分，每有一项内容存在缺陷，扣1分，扣完为止。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拟投入本项目人员1</w:t>
            </w:r>
          </w:p>
        </w:tc>
        <w:tc>
          <w:tcPr>
            <w:tcW w:type="dxa" w:w="2492"/>
          </w:tcPr>
          <w:p>
            <w:pPr>
              <w:pStyle w:val="null3"/>
            </w:pPr>
            <w:r>
              <w:rPr>
                <w:rFonts w:ascii="仿宋_GB2312" w:hAnsi="仿宋_GB2312" w:cs="仿宋_GB2312" w:eastAsia="仿宋_GB2312"/>
              </w:rPr>
              <w:t>拟派项目负责人具有高级信息系统项目管理师证书；得2分。 注：提供相关证书复印件并加盖公章。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拟投入本项目人员2</w:t>
            </w:r>
          </w:p>
        </w:tc>
        <w:tc>
          <w:tcPr>
            <w:tcW w:type="dxa" w:w="2492"/>
          </w:tcPr>
          <w:p>
            <w:pPr>
              <w:pStyle w:val="null3"/>
            </w:pPr>
            <w:r>
              <w:rPr>
                <w:rFonts w:ascii="仿宋_GB2312" w:hAnsi="仿宋_GB2312" w:cs="仿宋_GB2312" w:eastAsia="仿宋_GB2312"/>
              </w:rPr>
              <w:t>拟派团队成员（除项目负责人）具有软件设计师证书、系统集成项目管理师,每提供1个得1分，最高得3分;具有高级信息系统项目管理师证书，每提供1个得2分，最高得2分，满分5分。 （同类证书不重复计算，同一人得多个证书不重复计算）。 注：提供相关证书复印件并加盖公章。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根据各供应商提供针对本项目的培训方案，至少包含：（1）培训内容；（2）培训计划及方式；（3）培训人员配置。 方案各项内容全面详细、阐述条理清晰，能有效保障本项目实施得6分，每有一项缺项扣2分，每有一处内容存在缺陷，扣1分，扣完为止。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售后方案</w:t>
            </w:r>
          </w:p>
        </w:tc>
        <w:tc>
          <w:tcPr>
            <w:tcW w:type="dxa" w:w="2492"/>
          </w:tcPr>
          <w:p>
            <w:pPr>
              <w:pStyle w:val="null3"/>
            </w:pPr>
            <w:r>
              <w:rPr>
                <w:rFonts w:ascii="仿宋_GB2312" w:hAnsi="仿宋_GB2312" w:cs="仿宋_GB2312" w:eastAsia="仿宋_GB2312"/>
              </w:rPr>
              <w:t>提供针对本项目提供售后服务方案，内容包含：（1）服务承诺；（2）售后服务人员配置；（3）售后服务计划；（4）故障处理等的响应时间安排计划。 方案内容全面详细、阐述条理清晰、配置合理，能有效保障本项目实施得8分，每有一项缺项扣2分，每有一项内容存在缺陷，扣1分，扣完为止。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演示内容：详见第三章“招标项目技术、服务、商务及其他要求”中。每项功能点演示0.5分，满分10分 1、每项内容演示完全满足采购需求得0.5分； 2、内容演示不能满足需求或未提供演示采购得0分。 注：演示地点为陕西省西安市莲湖区高新四路号高科广场A0503会议室（提供软件实操演示或播放演示视频。时长不得超过15分钟，超出时长部分不计入得分。）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系统演示.docx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价格分统一采用低价优先法计算，即满足招标文件要求且投标价格最低的投标报价为评标基准价，其价格分为满分。其他供应商的价格分统一按照下列公式计算：价格分=(评标基准价／投标报价)×30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详见附件：报价表及分项报价表.docx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详见附件：拟投入本项目的人员.docx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详见附件：供应商认为需要提供的其他资料.docx</w:t>
      </w:r>
    </w:p>
    <w:p>
      <w:pPr>
        <w:pStyle w:val="null3"/>
        <w:ind w:firstLine="960"/>
      </w:pPr>
      <w:r>
        <w:rPr>
          <w:rFonts w:ascii="仿宋_GB2312" w:hAnsi="仿宋_GB2312" w:cs="仿宋_GB2312" w:eastAsia="仿宋_GB2312"/>
        </w:rPr>
        <w:t>详见附件：系统演示.docx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详见附件：终版合同.docx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