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F7B71">
      <w:pPr>
        <w:snapToGrid w:val="0"/>
        <w:spacing w:line="360" w:lineRule="auto"/>
        <w:ind w:firstLine="6090" w:firstLineChars="29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MTM-XA-202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14:paraId="69DB2484">
      <w:pPr>
        <w:snapToGrid w:val="0"/>
        <w:spacing w:line="360" w:lineRule="auto"/>
        <w:rPr>
          <w:rFonts w:hint="eastAsia" w:ascii="宋体" w:hAnsi="宋体" w:eastAsia="宋体" w:cs="宋体"/>
          <w:color w:val="auto"/>
          <w:sz w:val="21"/>
          <w:szCs w:val="21"/>
          <w:highlight w:val="none"/>
        </w:rPr>
      </w:pPr>
    </w:p>
    <w:p w14:paraId="2789366F">
      <w:pPr>
        <w:snapToGrid w:val="0"/>
        <w:spacing w:line="360" w:lineRule="auto"/>
        <w:rPr>
          <w:rFonts w:hint="eastAsia" w:ascii="宋体" w:hAnsi="宋体" w:eastAsia="宋体" w:cs="宋体"/>
          <w:color w:val="auto"/>
          <w:sz w:val="21"/>
          <w:szCs w:val="21"/>
          <w:highlight w:val="none"/>
        </w:rPr>
      </w:pPr>
    </w:p>
    <w:p w14:paraId="417ACBF5">
      <w:pPr>
        <w:snapToGrid w:val="0"/>
        <w:spacing w:line="360" w:lineRule="auto"/>
        <w:rPr>
          <w:rFonts w:hint="eastAsia" w:ascii="宋体" w:hAnsi="宋体" w:eastAsia="宋体" w:cs="宋体"/>
          <w:color w:val="auto"/>
          <w:sz w:val="21"/>
          <w:szCs w:val="21"/>
          <w:highlight w:val="none"/>
        </w:rPr>
      </w:pPr>
    </w:p>
    <w:p w14:paraId="04C70235">
      <w:pPr>
        <w:snapToGrid w:val="0"/>
        <w:spacing w:line="360" w:lineRule="auto"/>
        <w:rPr>
          <w:rFonts w:hint="eastAsia" w:ascii="宋体" w:hAnsi="宋体" w:eastAsia="宋体" w:cs="宋体"/>
          <w:color w:val="auto"/>
          <w:sz w:val="21"/>
          <w:szCs w:val="21"/>
          <w:highlight w:val="none"/>
        </w:rPr>
      </w:pPr>
    </w:p>
    <w:p w14:paraId="66F57908">
      <w:pPr>
        <w:keepNext w:val="0"/>
        <w:keepLines w:val="0"/>
        <w:widowControl/>
        <w:suppressLineNumbers w:val="0"/>
        <w:spacing w:line="480" w:lineRule="auto"/>
        <w:jc w:val="center"/>
        <w:rPr>
          <w:rFonts w:hint="eastAsia" w:ascii="宋体" w:hAnsi="宋体" w:eastAsia="宋体" w:cs="宋体"/>
          <w:b/>
          <w:bCs/>
          <w:color w:val="auto"/>
          <w:kern w:val="0"/>
          <w:sz w:val="44"/>
          <w:szCs w:val="44"/>
          <w:highlight w:val="none"/>
          <w:lang w:bidi="ar"/>
        </w:rPr>
      </w:pPr>
      <w:r>
        <w:rPr>
          <w:rFonts w:hint="eastAsia" w:ascii="宋体" w:hAnsi="宋体" w:eastAsia="宋体" w:cs="宋体"/>
          <w:b/>
          <w:bCs/>
          <w:color w:val="auto"/>
          <w:kern w:val="0"/>
          <w:sz w:val="44"/>
          <w:szCs w:val="44"/>
          <w:highlight w:val="none"/>
          <w:lang w:val="en-US" w:eastAsia="zh-CN" w:bidi="ar"/>
        </w:rPr>
        <w:t>陕西省卫生健康监督中心</w:t>
      </w:r>
    </w:p>
    <w:p w14:paraId="69107A24">
      <w:pPr>
        <w:keepNext w:val="0"/>
        <w:keepLines w:val="0"/>
        <w:widowControl/>
        <w:suppressLineNumbers w:val="0"/>
        <w:spacing w:line="48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kern w:val="0"/>
          <w:sz w:val="44"/>
          <w:szCs w:val="44"/>
          <w:highlight w:val="none"/>
          <w:lang w:val="en-US" w:eastAsia="zh-CN" w:bidi="ar"/>
        </w:rPr>
        <w:t>卫生监督平台运维</w:t>
      </w:r>
    </w:p>
    <w:p w14:paraId="38D431C9">
      <w:pPr>
        <w:snapToGrid w:val="0"/>
        <w:spacing w:line="360" w:lineRule="auto"/>
        <w:rPr>
          <w:rFonts w:hint="eastAsia" w:ascii="宋体" w:hAnsi="宋体" w:eastAsia="宋体" w:cs="宋体"/>
          <w:color w:val="auto"/>
          <w:sz w:val="21"/>
          <w:szCs w:val="21"/>
          <w:highlight w:val="none"/>
        </w:rPr>
      </w:pPr>
    </w:p>
    <w:p w14:paraId="32B905A0">
      <w:pPr>
        <w:snapToGrid w:val="0"/>
        <w:spacing w:line="360" w:lineRule="auto"/>
        <w:rPr>
          <w:rFonts w:hint="eastAsia" w:ascii="宋体" w:hAnsi="宋体" w:eastAsia="宋体" w:cs="宋体"/>
          <w:color w:val="auto"/>
          <w:sz w:val="21"/>
          <w:szCs w:val="21"/>
          <w:highlight w:val="none"/>
        </w:rPr>
      </w:pPr>
    </w:p>
    <w:p w14:paraId="5715463E">
      <w:pPr>
        <w:snapToGrid w:val="0"/>
        <w:spacing w:line="360" w:lineRule="auto"/>
        <w:rPr>
          <w:rFonts w:hint="eastAsia" w:ascii="宋体" w:hAnsi="宋体" w:eastAsia="宋体" w:cs="宋体"/>
          <w:color w:val="auto"/>
          <w:sz w:val="21"/>
          <w:szCs w:val="21"/>
          <w:highlight w:val="none"/>
        </w:rPr>
      </w:pPr>
    </w:p>
    <w:p w14:paraId="10FB21E1">
      <w:pPr>
        <w:snapToGrid w:val="0"/>
        <w:spacing w:line="360" w:lineRule="auto"/>
        <w:rPr>
          <w:rFonts w:hint="eastAsia" w:ascii="宋体" w:hAnsi="宋体" w:eastAsia="宋体" w:cs="宋体"/>
          <w:color w:val="auto"/>
          <w:sz w:val="21"/>
          <w:szCs w:val="21"/>
          <w:highlight w:val="none"/>
        </w:rPr>
      </w:pPr>
    </w:p>
    <w:p w14:paraId="01B2F8D4">
      <w:pPr>
        <w:snapToGrid w:val="0"/>
        <w:spacing w:line="360" w:lineRule="auto"/>
        <w:rPr>
          <w:rFonts w:hint="eastAsia" w:ascii="宋体" w:hAnsi="宋体" w:eastAsia="宋体" w:cs="宋体"/>
          <w:color w:val="auto"/>
          <w:sz w:val="21"/>
          <w:szCs w:val="21"/>
          <w:highlight w:val="none"/>
        </w:rPr>
      </w:pPr>
    </w:p>
    <w:p w14:paraId="02651D65">
      <w:pPr>
        <w:snapToGrid w:val="0"/>
        <w:spacing w:line="360" w:lineRule="auto"/>
        <w:rPr>
          <w:rFonts w:hint="eastAsia" w:ascii="宋体" w:hAnsi="宋体" w:eastAsia="宋体" w:cs="宋体"/>
          <w:color w:val="auto"/>
          <w:sz w:val="21"/>
          <w:szCs w:val="21"/>
          <w:highlight w:val="none"/>
        </w:rPr>
      </w:pPr>
    </w:p>
    <w:p w14:paraId="4A54FBE3">
      <w:pPr>
        <w:snapToGrid w:val="0"/>
        <w:spacing w:line="360" w:lineRule="auto"/>
        <w:rPr>
          <w:rFonts w:hint="eastAsia" w:ascii="宋体" w:hAnsi="宋体" w:eastAsia="宋体" w:cs="宋体"/>
          <w:color w:val="auto"/>
          <w:sz w:val="21"/>
          <w:szCs w:val="21"/>
          <w:highlight w:val="none"/>
        </w:rPr>
      </w:pPr>
    </w:p>
    <w:p w14:paraId="3DE76C38">
      <w:pPr>
        <w:snapToGrid w:val="0"/>
        <w:spacing w:line="360" w:lineRule="auto"/>
        <w:rPr>
          <w:rFonts w:hint="eastAsia" w:ascii="宋体" w:hAnsi="宋体" w:eastAsia="宋体" w:cs="宋体"/>
          <w:color w:val="auto"/>
          <w:sz w:val="21"/>
          <w:szCs w:val="21"/>
          <w:highlight w:val="none"/>
        </w:rPr>
      </w:pPr>
    </w:p>
    <w:p w14:paraId="7E801BB8">
      <w:pPr>
        <w:snapToGrid w:val="0"/>
        <w:spacing w:line="360" w:lineRule="auto"/>
        <w:rPr>
          <w:rFonts w:hint="eastAsia" w:ascii="宋体" w:hAnsi="宋体" w:eastAsia="宋体" w:cs="宋体"/>
          <w:color w:val="auto"/>
          <w:sz w:val="21"/>
          <w:szCs w:val="21"/>
          <w:highlight w:val="none"/>
        </w:rPr>
      </w:pPr>
    </w:p>
    <w:p w14:paraId="6ABE04D5">
      <w:pPr>
        <w:snapToGrid w:val="0"/>
        <w:spacing w:line="360" w:lineRule="auto"/>
        <w:rPr>
          <w:rFonts w:hint="eastAsia" w:ascii="宋体" w:hAnsi="宋体" w:eastAsia="宋体" w:cs="宋体"/>
          <w:color w:val="auto"/>
          <w:sz w:val="21"/>
          <w:szCs w:val="21"/>
          <w:highlight w:val="none"/>
        </w:rPr>
      </w:pPr>
    </w:p>
    <w:p w14:paraId="6304514D">
      <w:pPr>
        <w:spacing w:line="360" w:lineRule="auto"/>
        <w:ind w:firstLine="2520" w:firstLineChars="1200"/>
        <w:jc w:val="both"/>
        <w:rPr>
          <w:rFonts w:hint="default" w:ascii="宋体" w:hAnsi="宋体" w:eastAsia="宋体" w:cs="宋体"/>
          <w:color w:val="auto"/>
          <w:kern w:val="2"/>
          <w:sz w:val="21"/>
          <w:szCs w:val="21"/>
          <w:highlight w:val="none"/>
          <w:u w:val="single"/>
          <w:lang w:val="en-US" w:eastAsia="zh-CN" w:bidi="ar"/>
        </w:rPr>
      </w:pPr>
      <w:bookmarkStart w:id="0" w:name="_Toc185392185"/>
      <w:bookmarkStart w:id="1" w:name="_Toc192415692"/>
      <w:bookmarkStart w:id="2" w:name="_Toc168284701"/>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lang w:val="en-US" w:eastAsia="zh-CN"/>
        </w:rPr>
        <w:t xml:space="preserve">                        </w:t>
      </w:r>
    </w:p>
    <w:p w14:paraId="49ADBF62">
      <w:pPr>
        <w:spacing w:line="360" w:lineRule="auto"/>
        <w:ind w:firstLine="2520" w:firstLineChars="1200"/>
        <w:jc w:val="both"/>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lang w:val="en-US" w:eastAsia="zh-CN"/>
        </w:rPr>
        <w:t xml:space="preserve">                        </w:t>
      </w:r>
    </w:p>
    <w:p w14:paraId="4A8BB80A">
      <w:pPr>
        <w:spacing w:line="360" w:lineRule="auto"/>
        <w:ind w:firstLine="1260" w:firstLineChars="600"/>
        <w:jc w:val="center"/>
        <w:rPr>
          <w:rFonts w:hint="eastAsia" w:ascii="宋体" w:hAnsi="宋体" w:eastAsia="宋体" w:cs="宋体"/>
          <w:color w:val="auto"/>
          <w:sz w:val="21"/>
          <w:szCs w:val="21"/>
          <w:highlight w:val="none"/>
        </w:rPr>
      </w:pPr>
    </w:p>
    <w:p w14:paraId="3B02EC58">
      <w:pPr>
        <w:spacing w:line="360" w:lineRule="auto"/>
        <w:jc w:val="center"/>
        <w:rPr>
          <w:rFonts w:hint="eastAsia" w:ascii="宋体" w:hAnsi="宋体" w:eastAsia="宋体" w:cs="宋体"/>
          <w:b/>
          <w:color w:val="auto"/>
          <w:sz w:val="21"/>
          <w:szCs w:val="21"/>
          <w:highlight w:val="none"/>
        </w:rPr>
      </w:pPr>
    </w:p>
    <w:p w14:paraId="04E687DF">
      <w:pPr>
        <w:snapToGrid w:val="0"/>
        <w:spacing w:line="360" w:lineRule="auto"/>
        <w:ind w:firstLine="420" w:firstLineChars="200"/>
        <w:outlineLvl w:val="0"/>
        <w:rPr>
          <w:rFonts w:hint="eastAsia" w:ascii="宋体" w:hAnsi="宋体" w:eastAsia="宋体" w:cs="宋体"/>
          <w:bCs/>
          <w:color w:val="auto"/>
          <w:kern w:val="0"/>
          <w:sz w:val="21"/>
          <w:szCs w:val="21"/>
          <w:highlight w:val="none"/>
          <w:lang w:val="nl-NL"/>
        </w:rPr>
      </w:pPr>
      <w:r>
        <w:rPr>
          <w:rFonts w:hint="eastAsia" w:ascii="宋体" w:hAnsi="宋体" w:eastAsia="宋体" w:cs="宋体"/>
          <w:bCs/>
          <w:color w:val="auto"/>
          <w:kern w:val="0"/>
          <w:sz w:val="21"/>
          <w:szCs w:val="21"/>
          <w:highlight w:val="none"/>
          <w:lang w:val="nl-NL"/>
        </w:rPr>
        <w:br w:type="page"/>
      </w:r>
      <w:bookmarkStart w:id="3" w:name="_Toc23646"/>
      <w:bookmarkStart w:id="4" w:name="_Toc23282"/>
      <w:r>
        <w:rPr>
          <w:rFonts w:hint="eastAsia" w:ascii="宋体" w:hAnsi="宋体" w:eastAsia="宋体" w:cs="宋体"/>
          <w:b/>
          <w:bCs w:val="0"/>
          <w:color w:val="auto"/>
          <w:kern w:val="0"/>
          <w:sz w:val="21"/>
          <w:szCs w:val="21"/>
          <w:highlight w:val="none"/>
          <w:lang w:val="nl-NL"/>
        </w:rPr>
        <w:t>一、说明条款</w:t>
      </w:r>
      <w:bookmarkEnd w:id="0"/>
      <w:bookmarkEnd w:id="1"/>
      <w:bookmarkEnd w:id="2"/>
      <w:bookmarkEnd w:id="3"/>
      <w:bookmarkEnd w:id="4"/>
    </w:p>
    <w:p w14:paraId="64DF4576">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.根据《中华人民共和国民法典》及国家相关法律法规的规定，甲乙双方本着诚实守信、合作互利的原则，经过友好协商，就甲方委托乙方提供卫生监督业务软件系统及系统运行维护服务事宜签订本合同。</w:t>
      </w:r>
    </w:p>
    <w:p w14:paraId="2180AEC6">
      <w:p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.甲乙双方之间任何与本合同有关的信函、电话，均使用下列双方确认的地址、电话,如有变动双方协商确定</w:t>
      </w:r>
      <w:r>
        <w:rPr>
          <w:rFonts w:hint="eastAsia" w:ascii="宋体" w:hAnsi="宋体" w:eastAsia="宋体" w:cs="宋体"/>
          <w:color w:val="auto"/>
          <w:sz w:val="21"/>
          <w:szCs w:val="21"/>
          <w:highlight w:val="none"/>
        </w:rPr>
        <w:t>。</w:t>
      </w:r>
    </w:p>
    <w:tbl>
      <w:tblPr>
        <w:tblStyle w:val="3"/>
        <w:tblW w:w="4845" w:type="pct"/>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925"/>
        <w:gridCol w:w="3803"/>
        <w:gridCol w:w="3530"/>
      </w:tblGrid>
      <w:tr w14:paraId="1A5DDB8A">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539" w:hRule="atLeast"/>
          <w:jc w:val="center"/>
        </w:trPr>
        <w:tc>
          <w:tcPr>
            <w:tcW w:w="560" w:type="pct"/>
            <w:noWrap w:val="0"/>
            <w:vAlign w:val="center"/>
          </w:tcPr>
          <w:p w14:paraId="17CA1BB5">
            <w:pPr>
              <w:snapToGrid w:val="0"/>
              <w:spacing w:line="360" w:lineRule="auto"/>
              <w:ind w:firstLine="420" w:firstLineChars="200"/>
              <w:jc w:val="center"/>
              <w:rPr>
                <w:rFonts w:hint="eastAsia" w:ascii="宋体" w:hAnsi="宋体" w:eastAsia="宋体" w:cs="宋体"/>
                <w:b w:val="0"/>
                <w:caps w:val="0"/>
                <w:color w:val="auto"/>
                <w:sz w:val="21"/>
                <w:szCs w:val="21"/>
                <w:highlight w:val="none"/>
              </w:rPr>
            </w:pPr>
          </w:p>
        </w:tc>
        <w:tc>
          <w:tcPr>
            <w:tcW w:w="2302" w:type="pct"/>
            <w:noWrap w:val="0"/>
            <w:vAlign w:val="center"/>
          </w:tcPr>
          <w:p w14:paraId="3649CEBB">
            <w:pPr>
              <w:snapToGrid w:val="0"/>
              <w:spacing w:line="360" w:lineRule="auto"/>
              <w:ind w:firstLine="420" w:firstLineChars="200"/>
              <w:jc w:val="center"/>
              <w:rPr>
                <w:rFonts w:hint="eastAsia" w:ascii="宋体" w:hAnsi="宋体" w:eastAsia="宋体" w:cs="宋体"/>
                <w:caps w:val="0"/>
                <w:color w:val="auto"/>
                <w:sz w:val="21"/>
                <w:szCs w:val="21"/>
                <w:highlight w:val="none"/>
              </w:rPr>
            </w:pPr>
            <w:r>
              <w:rPr>
                <w:rFonts w:hint="eastAsia" w:ascii="宋体" w:hAnsi="宋体" w:eastAsia="宋体" w:cs="宋体"/>
                <w:caps w:val="0"/>
                <w:color w:val="auto"/>
                <w:sz w:val="21"/>
                <w:szCs w:val="21"/>
                <w:highlight w:val="none"/>
              </w:rPr>
              <w:t>甲  方</w:t>
            </w:r>
          </w:p>
        </w:tc>
        <w:tc>
          <w:tcPr>
            <w:tcW w:w="2137" w:type="pct"/>
            <w:noWrap w:val="0"/>
            <w:vAlign w:val="center"/>
          </w:tcPr>
          <w:p w14:paraId="1AAE4363">
            <w:pPr>
              <w:snapToGrid w:val="0"/>
              <w:spacing w:line="360" w:lineRule="auto"/>
              <w:ind w:firstLine="420" w:firstLineChars="200"/>
              <w:jc w:val="center"/>
              <w:rPr>
                <w:rFonts w:hint="eastAsia" w:ascii="宋体" w:hAnsi="宋体" w:eastAsia="宋体" w:cs="宋体"/>
                <w:caps w:val="0"/>
                <w:color w:val="auto"/>
                <w:sz w:val="21"/>
                <w:szCs w:val="21"/>
                <w:highlight w:val="none"/>
              </w:rPr>
            </w:pPr>
            <w:r>
              <w:rPr>
                <w:rFonts w:hint="eastAsia" w:ascii="宋体" w:hAnsi="宋体" w:eastAsia="宋体" w:cs="宋体"/>
                <w:caps w:val="0"/>
                <w:color w:val="auto"/>
                <w:sz w:val="21"/>
                <w:szCs w:val="21"/>
                <w:highlight w:val="none"/>
              </w:rPr>
              <w:t>乙  方</w:t>
            </w:r>
          </w:p>
        </w:tc>
      </w:tr>
      <w:tr w14:paraId="2A69A16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539" w:hRule="atLeast"/>
          <w:jc w:val="center"/>
        </w:trPr>
        <w:tc>
          <w:tcPr>
            <w:tcW w:w="560" w:type="pct"/>
            <w:noWrap w:val="0"/>
            <w:vAlign w:val="center"/>
          </w:tcPr>
          <w:p w14:paraId="1D56ADBD">
            <w:pPr>
              <w:snapToGrid w:val="0"/>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c>
          <w:tcPr>
            <w:tcW w:w="2302" w:type="pct"/>
            <w:noWrap w:val="0"/>
            <w:vAlign w:val="center"/>
          </w:tcPr>
          <w:p w14:paraId="3C143D5F">
            <w:pPr>
              <w:snapToGrid w:val="0"/>
              <w:spacing w:line="360" w:lineRule="auto"/>
              <w:ind w:firstLine="0" w:firstLineChars="0"/>
              <w:jc w:val="center"/>
              <w:rPr>
                <w:rFonts w:hint="eastAsia" w:ascii="宋体" w:hAnsi="宋体" w:eastAsia="宋体" w:cs="宋体"/>
                <w:color w:val="auto"/>
                <w:sz w:val="21"/>
                <w:szCs w:val="21"/>
                <w:highlight w:val="none"/>
              </w:rPr>
            </w:pPr>
          </w:p>
        </w:tc>
        <w:tc>
          <w:tcPr>
            <w:tcW w:w="2137" w:type="pct"/>
            <w:noWrap w:val="0"/>
            <w:vAlign w:val="center"/>
          </w:tcPr>
          <w:p w14:paraId="4CE8C3F8">
            <w:pPr>
              <w:snapToGrid w:val="0"/>
              <w:spacing w:before="0" w:beforeLines="0" w:line="360" w:lineRule="auto"/>
              <w:ind w:firstLine="0" w:firstLineChars="0"/>
              <w:jc w:val="center"/>
              <w:rPr>
                <w:rFonts w:hint="eastAsia" w:ascii="宋体" w:hAnsi="宋体" w:eastAsia="宋体" w:cs="宋体"/>
                <w:color w:val="auto"/>
                <w:sz w:val="21"/>
                <w:szCs w:val="21"/>
                <w:highlight w:val="none"/>
              </w:rPr>
            </w:pPr>
          </w:p>
        </w:tc>
      </w:tr>
      <w:tr w14:paraId="4F817F5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539" w:hRule="atLeast"/>
          <w:jc w:val="center"/>
        </w:trPr>
        <w:tc>
          <w:tcPr>
            <w:tcW w:w="560" w:type="pct"/>
            <w:noWrap w:val="0"/>
            <w:vAlign w:val="center"/>
          </w:tcPr>
          <w:p w14:paraId="62433A2B">
            <w:pPr>
              <w:snapToGrid w:val="0"/>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 编</w:t>
            </w:r>
          </w:p>
        </w:tc>
        <w:tc>
          <w:tcPr>
            <w:tcW w:w="2302" w:type="pct"/>
            <w:noWrap w:val="0"/>
            <w:vAlign w:val="center"/>
          </w:tcPr>
          <w:p w14:paraId="180736EF">
            <w:pPr>
              <w:snapToGrid w:val="0"/>
              <w:spacing w:line="360" w:lineRule="auto"/>
              <w:ind w:firstLine="0" w:firstLineChars="0"/>
              <w:jc w:val="center"/>
              <w:rPr>
                <w:rFonts w:hint="eastAsia" w:ascii="宋体" w:hAnsi="宋体" w:eastAsia="宋体" w:cs="宋体"/>
                <w:color w:val="auto"/>
                <w:sz w:val="21"/>
                <w:szCs w:val="21"/>
                <w:highlight w:val="none"/>
              </w:rPr>
            </w:pPr>
          </w:p>
        </w:tc>
        <w:tc>
          <w:tcPr>
            <w:tcW w:w="2137" w:type="pct"/>
            <w:noWrap w:val="0"/>
            <w:vAlign w:val="center"/>
          </w:tcPr>
          <w:p w14:paraId="481D075D">
            <w:pPr>
              <w:snapToGrid w:val="0"/>
              <w:spacing w:line="360" w:lineRule="auto"/>
              <w:ind w:firstLine="420" w:firstLineChars="200"/>
              <w:jc w:val="center"/>
              <w:rPr>
                <w:rFonts w:hint="eastAsia" w:ascii="宋体" w:hAnsi="宋体" w:eastAsia="宋体" w:cs="宋体"/>
                <w:color w:val="auto"/>
                <w:sz w:val="21"/>
                <w:szCs w:val="21"/>
                <w:highlight w:val="none"/>
                <w:lang w:val="en-US" w:eastAsia="zh-CN"/>
              </w:rPr>
            </w:pPr>
          </w:p>
        </w:tc>
      </w:tr>
      <w:tr w14:paraId="52D2DD9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539" w:hRule="atLeast"/>
          <w:jc w:val="center"/>
        </w:trPr>
        <w:tc>
          <w:tcPr>
            <w:tcW w:w="560" w:type="pct"/>
            <w:noWrap w:val="0"/>
            <w:vAlign w:val="center"/>
          </w:tcPr>
          <w:p w14:paraId="0300B281">
            <w:pPr>
              <w:snapToGrid w:val="0"/>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p>
        </w:tc>
        <w:tc>
          <w:tcPr>
            <w:tcW w:w="2302" w:type="pct"/>
            <w:noWrap w:val="0"/>
            <w:vAlign w:val="center"/>
          </w:tcPr>
          <w:p w14:paraId="6FFC1B1E">
            <w:pPr>
              <w:snapToGrid w:val="0"/>
              <w:spacing w:line="360" w:lineRule="auto"/>
              <w:ind w:firstLine="0" w:firstLineChars="0"/>
              <w:jc w:val="center"/>
              <w:rPr>
                <w:rFonts w:hint="eastAsia" w:ascii="宋体" w:hAnsi="宋体" w:eastAsia="宋体" w:cs="宋体"/>
                <w:color w:val="auto"/>
                <w:sz w:val="21"/>
                <w:szCs w:val="21"/>
                <w:highlight w:val="none"/>
                <w:lang w:eastAsia="zh-CN"/>
              </w:rPr>
            </w:pPr>
          </w:p>
        </w:tc>
        <w:tc>
          <w:tcPr>
            <w:tcW w:w="2137" w:type="pct"/>
            <w:noWrap w:val="0"/>
            <w:vAlign w:val="center"/>
          </w:tcPr>
          <w:p w14:paraId="58AFAAAC">
            <w:pPr>
              <w:snapToGrid w:val="0"/>
              <w:spacing w:line="360" w:lineRule="auto"/>
              <w:ind w:firstLine="420" w:firstLineChars="200"/>
              <w:jc w:val="center"/>
              <w:rPr>
                <w:rFonts w:hint="eastAsia" w:ascii="宋体" w:hAnsi="宋体" w:eastAsia="宋体" w:cs="宋体"/>
                <w:color w:val="auto"/>
                <w:sz w:val="21"/>
                <w:szCs w:val="21"/>
                <w:highlight w:val="none"/>
              </w:rPr>
            </w:pPr>
          </w:p>
        </w:tc>
      </w:tr>
      <w:tr w14:paraId="7E023D9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539" w:hRule="atLeast"/>
          <w:jc w:val="center"/>
        </w:trPr>
        <w:tc>
          <w:tcPr>
            <w:tcW w:w="560" w:type="pct"/>
            <w:noWrap w:val="0"/>
            <w:vAlign w:val="center"/>
          </w:tcPr>
          <w:p w14:paraId="4AEF0E49">
            <w:pPr>
              <w:snapToGrid w:val="0"/>
              <w:spacing w:line="360" w:lineRule="auto"/>
              <w:ind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名 称      </w:t>
            </w:r>
          </w:p>
        </w:tc>
        <w:tc>
          <w:tcPr>
            <w:tcW w:w="2302" w:type="pct"/>
            <w:noWrap w:val="0"/>
            <w:vAlign w:val="center"/>
          </w:tcPr>
          <w:p w14:paraId="0699046F">
            <w:pPr>
              <w:snapToGrid w:val="0"/>
              <w:spacing w:line="360" w:lineRule="auto"/>
              <w:ind w:firstLine="0" w:firstLineChars="0"/>
              <w:jc w:val="center"/>
              <w:rPr>
                <w:rFonts w:hint="eastAsia" w:ascii="宋体" w:hAnsi="宋体" w:eastAsia="宋体" w:cs="宋体"/>
                <w:color w:val="auto"/>
                <w:sz w:val="21"/>
                <w:szCs w:val="21"/>
                <w:highlight w:val="none"/>
              </w:rPr>
            </w:pPr>
          </w:p>
        </w:tc>
        <w:tc>
          <w:tcPr>
            <w:tcW w:w="2137" w:type="pct"/>
            <w:noWrap w:val="0"/>
            <w:vAlign w:val="center"/>
          </w:tcPr>
          <w:p w14:paraId="24E03B9B">
            <w:pPr>
              <w:snapToGrid w:val="0"/>
              <w:spacing w:line="360" w:lineRule="auto"/>
              <w:ind w:firstLine="0" w:firstLineChars="0"/>
              <w:jc w:val="center"/>
              <w:rPr>
                <w:rFonts w:hint="eastAsia" w:ascii="宋体" w:hAnsi="宋体" w:eastAsia="宋体" w:cs="宋体"/>
                <w:color w:val="auto"/>
                <w:sz w:val="21"/>
                <w:szCs w:val="21"/>
                <w:highlight w:val="none"/>
              </w:rPr>
            </w:pPr>
          </w:p>
        </w:tc>
      </w:tr>
    </w:tbl>
    <w:p w14:paraId="1872A483">
      <w:pPr>
        <w:snapToGrid w:val="0"/>
        <w:spacing w:before="156" w:beforeLines="50"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.本合同书的有效组成部分包括：本合同书正文与合同附件。</w:t>
      </w:r>
      <w:bookmarkStart w:id="5" w:name="_Toc192415693"/>
      <w:bookmarkStart w:id="6" w:name="_Toc185392186"/>
      <w:bookmarkStart w:id="7" w:name="_Toc168284702"/>
    </w:p>
    <w:p w14:paraId="3F440A54">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8" w:name="_Toc7984"/>
      <w:bookmarkStart w:id="9" w:name="_Toc23019"/>
      <w:r>
        <w:rPr>
          <w:rFonts w:hint="eastAsia" w:ascii="宋体" w:hAnsi="宋体" w:eastAsia="宋体" w:cs="宋体"/>
          <w:b/>
          <w:bCs w:val="0"/>
          <w:color w:val="auto"/>
          <w:kern w:val="0"/>
          <w:sz w:val="21"/>
          <w:szCs w:val="21"/>
          <w:highlight w:val="none"/>
          <w:lang w:val="nl-NL"/>
        </w:rPr>
        <w:t>二、约定内容</w:t>
      </w:r>
      <w:bookmarkEnd w:id="5"/>
      <w:bookmarkEnd w:id="6"/>
      <w:bookmarkEnd w:id="7"/>
      <w:bookmarkEnd w:id="8"/>
      <w:bookmarkEnd w:id="9"/>
      <w:bookmarkStart w:id="10" w:name="_Toc185392187"/>
      <w:bookmarkStart w:id="11" w:name="_Toc168284703"/>
    </w:p>
    <w:bookmarkEnd w:id="10"/>
    <w:bookmarkEnd w:id="11"/>
    <w:p w14:paraId="3FC21316">
      <w:pPr>
        <w:snapToGrid w:val="0"/>
        <w:spacing w:line="360" w:lineRule="auto"/>
        <w:ind w:firstLine="420" w:firstLineChars="200"/>
        <w:jc w:val="left"/>
        <w:rPr>
          <w:rFonts w:hint="eastAsia" w:ascii="宋体" w:hAnsi="宋体" w:eastAsia="宋体" w:cs="宋体"/>
          <w:b w:val="0"/>
          <w:bCs/>
          <w:color w:val="auto"/>
          <w:sz w:val="21"/>
          <w:szCs w:val="21"/>
          <w:highlight w:val="none"/>
        </w:rPr>
      </w:pPr>
      <w:bookmarkStart w:id="12" w:name="_Toc168284704"/>
      <w:bookmarkStart w:id="13" w:name="_Toc185392188"/>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val="en-US" w:eastAsia="zh-CN"/>
        </w:rPr>
        <w:t>.</w:t>
      </w:r>
      <w:r>
        <w:rPr>
          <w:rFonts w:hint="eastAsia" w:ascii="宋体" w:hAnsi="宋体" w:eastAsia="宋体" w:cs="宋体"/>
          <w:b w:val="0"/>
          <w:bCs/>
          <w:color w:val="auto"/>
          <w:sz w:val="21"/>
          <w:szCs w:val="21"/>
          <w:highlight w:val="none"/>
        </w:rPr>
        <w:t>服务项目：</w:t>
      </w:r>
    </w:p>
    <w:p w14:paraId="7DEEB575">
      <w:pPr>
        <w:snapToGrid w:val="0"/>
        <w:spacing w:line="360" w:lineRule="auto"/>
        <w:ind w:firstLine="420" w:firstLineChars="200"/>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乙方接受甲方委托，对甲方部署的卫生监督应用软件体系、网络安全及应用程序提供日常运行维护服务，确保监督平台及网络设施正常运行。具体服务内容和方式，详见附件1：《卫生监督业务软件系统运维服务范围和内容》，附件2：《安全保密协议》。</w:t>
      </w:r>
    </w:p>
    <w:p w14:paraId="74B7BAFE">
      <w:pPr>
        <w:snapToGrid w:val="0"/>
        <w:spacing w:line="360" w:lineRule="auto"/>
        <w:ind w:firstLine="420" w:firstLineChars="200"/>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w:t>
      </w:r>
      <w:r>
        <w:rPr>
          <w:rFonts w:hint="eastAsia" w:ascii="宋体" w:hAnsi="宋体" w:eastAsia="宋体" w:cs="宋体"/>
          <w:b w:val="0"/>
          <w:bCs/>
          <w:color w:val="auto"/>
          <w:sz w:val="21"/>
          <w:szCs w:val="21"/>
          <w:highlight w:val="none"/>
          <w:lang w:val="en-US" w:eastAsia="zh-CN"/>
        </w:rPr>
        <w:t>.</w:t>
      </w:r>
      <w:r>
        <w:rPr>
          <w:rFonts w:hint="eastAsia" w:ascii="宋体" w:hAnsi="宋体" w:eastAsia="宋体" w:cs="宋体"/>
          <w:b w:val="0"/>
          <w:bCs/>
          <w:color w:val="auto"/>
          <w:sz w:val="21"/>
          <w:szCs w:val="21"/>
          <w:highlight w:val="none"/>
        </w:rPr>
        <w:t>服务承诺</w:t>
      </w:r>
      <w:bookmarkEnd w:id="12"/>
      <w:bookmarkEnd w:id="13"/>
      <w:r>
        <w:rPr>
          <w:rFonts w:hint="eastAsia" w:ascii="宋体" w:hAnsi="宋体" w:eastAsia="宋体" w:cs="宋体"/>
          <w:b w:val="0"/>
          <w:bCs/>
          <w:color w:val="auto"/>
          <w:sz w:val="21"/>
          <w:szCs w:val="21"/>
          <w:highlight w:val="none"/>
        </w:rPr>
        <w:t>：</w:t>
      </w:r>
    </w:p>
    <w:p w14:paraId="7150AFF1">
      <w:pPr>
        <w:snapToGrid w:val="0"/>
        <w:spacing w:line="360" w:lineRule="auto"/>
        <w:ind w:firstLine="420" w:firstLineChars="200"/>
        <w:jc w:val="lef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乙方在本合同约定的服务期内，面向陕西省监督平台环境中涉及的服务器硬件及系统软件、基础软件提供的运行维护服务内容包括：软件系统运维、巡检服务、技术咨询及培训、故障处理、系统升级、硬件维护、日常监控、应急响应、文档管理。</w:t>
      </w:r>
    </w:p>
    <w:p w14:paraId="1180D608">
      <w:pPr>
        <w:snapToGrid w:val="0"/>
        <w:spacing w:line="360" w:lineRule="auto"/>
        <w:ind w:firstLine="420" w:firstLineChars="200"/>
        <w:jc w:val="left"/>
        <w:rPr>
          <w:rFonts w:hint="eastAsia" w:ascii="宋体" w:hAnsi="宋体" w:eastAsia="宋体" w:cs="宋体"/>
          <w:b w:val="0"/>
          <w:bCs/>
          <w:color w:val="auto"/>
          <w:sz w:val="21"/>
          <w:szCs w:val="21"/>
          <w:highlight w:val="none"/>
        </w:rPr>
      </w:pPr>
      <w:bookmarkStart w:id="14" w:name="_Toc168284705"/>
      <w:bookmarkStart w:id="15" w:name="_Toc185392189"/>
      <w:r>
        <w:rPr>
          <w:rFonts w:hint="eastAsia" w:ascii="宋体" w:hAnsi="宋体" w:eastAsia="宋体" w:cs="宋体"/>
          <w:b w:val="0"/>
          <w:bCs/>
          <w:color w:val="auto"/>
          <w:sz w:val="21"/>
          <w:szCs w:val="21"/>
          <w:highlight w:val="none"/>
        </w:rPr>
        <w:t>3</w:t>
      </w:r>
      <w:r>
        <w:rPr>
          <w:rFonts w:hint="eastAsia" w:ascii="宋体" w:hAnsi="宋体" w:eastAsia="宋体" w:cs="宋体"/>
          <w:b w:val="0"/>
          <w:bCs/>
          <w:color w:val="auto"/>
          <w:sz w:val="21"/>
          <w:szCs w:val="21"/>
          <w:highlight w:val="none"/>
          <w:lang w:val="en-US" w:eastAsia="zh-CN"/>
        </w:rPr>
        <w:t>.</w:t>
      </w:r>
      <w:r>
        <w:rPr>
          <w:rFonts w:hint="eastAsia" w:ascii="宋体" w:hAnsi="宋体" w:eastAsia="宋体" w:cs="宋体"/>
          <w:b w:val="0"/>
          <w:bCs/>
          <w:color w:val="auto"/>
          <w:sz w:val="21"/>
          <w:szCs w:val="21"/>
          <w:highlight w:val="none"/>
        </w:rPr>
        <w:t>服务</w:t>
      </w:r>
      <w:bookmarkEnd w:id="14"/>
      <w:bookmarkEnd w:id="15"/>
      <w:r>
        <w:rPr>
          <w:rFonts w:hint="eastAsia" w:ascii="宋体" w:hAnsi="宋体" w:eastAsia="宋体" w:cs="宋体"/>
          <w:b w:val="0"/>
          <w:bCs/>
          <w:color w:val="auto"/>
          <w:sz w:val="21"/>
          <w:szCs w:val="21"/>
          <w:highlight w:val="none"/>
        </w:rPr>
        <w:t>期限</w:t>
      </w:r>
    </w:p>
    <w:p w14:paraId="25834319">
      <w:pPr>
        <w:snapToGrid w:val="0"/>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本合同约定的运行维护服务，服务期为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w:t>
      </w:r>
      <w:r>
        <w:rPr>
          <w:rFonts w:hint="eastAsia" w:ascii="宋体" w:hAnsi="宋体" w:eastAsia="宋体" w:cs="宋体"/>
          <w:color w:val="auto"/>
          <w:sz w:val="21"/>
          <w:szCs w:val="21"/>
          <w:highlight w:val="none"/>
        </w:rPr>
        <w:t>到</w:t>
      </w:r>
      <w:r>
        <w:rPr>
          <w:rFonts w:hint="eastAsia" w:ascii="宋体" w:hAnsi="宋体" w:eastAsia="宋体" w:cs="宋体"/>
          <w:i/>
          <w:iCs/>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w:t>
      </w:r>
      <w:r>
        <w:rPr>
          <w:rFonts w:hint="eastAsia" w:ascii="宋体" w:hAnsi="宋体" w:eastAsia="宋体" w:cs="宋体"/>
          <w:color w:val="auto"/>
          <w:sz w:val="21"/>
          <w:szCs w:val="21"/>
          <w:highlight w:val="none"/>
        </w:rPr>
        <w:t>。服务期满前一个月，双方另行约定续约条款。</w:t>
      </w:r>
    </w:p>
    <w:p w14:paraId="1DFDC883">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16" w:name="_Toc13313"/>
      <w:bookmarkStart w:id="17" w:name="_Toc8152"/>
      <w:r>
        <w:rPr>
          <w:rFonts w:hint="eastAsia" w:ascii="宋体" w:hAnsi="宋体" w:eastAsia="宋体" w:cs="宋体"/>
          <w:b/>
          <w:bCs w:val="0"/>
          <w:color w:val="auto"/>
          <w:kern w:val="0"/>
          <w:sz w:val="21"/>
          <w:szCs w:val="21"/>
          <w:highlight w:val="none"/>
          <w:lang w:val="nl-NL"/>
        </w:rPr>
        <w:t>三、组织模式</w:t>
      </w:r>
      <w:bookmarkEnd w:id="16"/>
      <w:bookmarkEnd w:id="17"/>
    </w:p>
    <w:p w14:paraId="4579736D">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甲方指派专人和乙方就本项目相关责任沟通与协调；重要工作事项的安排、涉及系统配置的变化，须经甲方项目负责人审批通过后方可执行。</w:t>
      </w:r>
    </w:p>
    <w:p w14:paraId="24341461">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18" w:name="_Toc16310"/>
      <w:bookmarkStart w:id="19" w:name="_Toc32491"/>
      <w:r>
        <w:rPr>
          <w:rFonts w:hint="eastAsia" w:ascii="宋体" w:hAnsi="宋体" w:eastAsia="宋体" w:cs="宋体"/>
          <w:b/>
          <w:bCs w:val="0"/>
          <w:color w:val="auto"/>
          <w:kern w:val="0"/>
          <w:sz w:val="21"/>
          <w:szCs w:val="21"/>
          <w:highlight w:val="none"/>
          <w:lang w:val="nl-NL"/>
        </w:rPr>
        <w:t>四、双方职责</w:t>
      </w:r>
      <w:bookmarkEnd w:id="18"/>
      <w:bookmarkEnd w:id="19"/>
    </w:p>
    <w:p w14:paraId="6E1E3476">
      <w:pPr>
        <w:snapToGrid w:val="0"/>
        <w:spacing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bookmarkStart w:id="20" w:name="_Toc192415694"/>
      <w:r>
        <w:rPr>
          <w:rFonts w:hint="eastAsia" w:ascii="宋体" w:hAnsi="宋体" w:eastAsia="宋体" w:cs="宋体"/>
          <w:color w:val="auto"/>
          <w:sz w:val="21"/>
          <w:szCs w:val="21"/>
          <w:highlight w:val="none"/>
          <w:lang w:val="en-US" w:eastAsia="zh-CN"/>
        </w:rPr>
        <w:t>甲方职责</w:t>
      </w:r>
    </w:p>
    <w:p w14:paraId="0B483E54">
      <w:pPr>
        <w:snapToGrid w:val="0"/>
        <w:spacing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1）配备或指定1名工作人员作为本合同双方的管理协调员；</w:t>
      </w:r>
    </w:p>
    <w:p w14:paraId="686DE247">
      <w:pPr>
        <w:snapToGrid w:val="0"/>
        <w:spacing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2）监督乙方运行维护服务的工作过程与效果并及时反馈乙方；</w:t>
      </w:r>
    </w:p>
    <w:p w14:paraId="1FD16667">
      <w:pPr>
        <w:snapToGrid w:val="0"/>
        <w:spacing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3）负责乙方针对单位用户培训的组织协调工作。</w:t>
      </w:r>
    </w:p>
    <w:p w14:paraId="704C0780">
      <w:pPr>
        <w:snapToGrid w:val="0"/>
        <w:spacing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2.乙方职责</w:t>
      </w:r>
    </w:p>
    <w:p w14:paraId="37152002">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按照合同附件1和附件2的服务范围、内容和职责，负责完成本合同甲方要求的运营维护工作内容，并达到甲方在本合同中要求的服务质量标准。</w:t>
      </w:r>
      <w:r>
        <w:rPr>
          <w:rFonts w:hint="eastAsia" w:ascii="宋体" w:hAnsi="宋体" w:eastAsia="宋体" w:cs="宋体"/>
          <w:color w:val="auto"/>
          <w:sz w:val="21"/>
          <w:szCs w:val="21"/>
          <w:highlight w:val="none"/>
        </w:rPr>
        <w:t>。</w:t>
      </w:r>
    </w:p>
    <w:p w14:paraId="5005B91C">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21" w:name="_Toc17158"/>
      <w:bookmarkStart w:id="22" w:name="_Toc14366"/>
      <w:r>
        <w:rPr>
          <w:rFonts w:hint="eastAsia" w:ascii="宋体" w:hAnsi="宋体" w:eastAsia="宋体" w:cs="宋体"/>
          <w:b/>
          <w:bCs w:val="0"/>
          <w:color w:val="auto"/>
          <w:kern w:val="0"/>
          <w:sz w:val="21"/>
          <w:szCs w:val="21"/>
          <w:highlight w:val="none"/>
          <w:lang w:val="nl-NL"/>
        </w:rPr>
        <w:t>五、合同款</w:t>
      </w:r>
      <w:bookmarkEnd w:id="20"/>
      <w:r>
        <w:rPr>
          <w:rFonts w:hint="eastAsia" w:ascii="宋体" w:hAnsi="宋体" w:eastAsia="宋体" w:cs="宋体"/>
          <w:b/>
          <w:bCs w:val="0"/>
          <w:color w:val="auto"/>
          <w:kern w:val="0"/>
          <w:sz w:val="21"/>
          <w:szCs w:val="21"/>
          <w:highlight w:val="none"/>
          <w:lang w:val="nl-NL"/>
        </w:rPr>
        <w:t>项</w:t>
      </w:r>
      <w:bookmarkEnd w:id="21"/>
      <w:bookmarkEnd w:id="22"/>
    </w:p>
    <w:p w14:paraId="454491E1">
      <w:pPr>
        <w:snapToGrid w:val="0"/>
        <w:spacing w:line="360" w:lineRule="auto"/>
        <w:ind w:firstLine="420" w:firstLineChars="200"/>
        <w:jc w:val="left"/>
        <w:rPr>
          <w:rFonts w:hint="eastAsia" w:ascii="宋体" w:hAnsi="宋体" w:eastAsia="宋体" w:cs="宋体"/>
          <w:color w:val="auto"/>
          <w:sz w:val="21"/>
          <w:szCs w:val="21"/>
          <w:highlight w:val="none"/>
        </w:rPr>
      </w:pPr>
      <w:bookmarkStart w:id="23" w:name="_Toc192415695"/>
      <w:bookmarkStart w:id="24" w:name="_Toc185392191"/>
      <w:bookmarkStart w:id="25" w:name="_Toc168284707"/>
      <w:r>
        <w:rPr>
          <w:rFonts w:hint="eastAsia" w:ascii="宋体" w:hAnsi="宋体" w:eastAsia="宋体" w:cs="宋体"/>
          <w:color w:val="auto"/>
          <w:sz w:val="21"/>
          <w:szCs w:val="21"/>
          <w:highlight w:val="none"/>
        </w:rPr>
        <w:t>根据本合同及附件约定的具体服务内容，年度服务期限内的合同价款为：人民币大写</w:t>
      </w:r>
    </w:p>
    <w:p w14:paraId="7E5EB3B1">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整（</w:t>
      </w:r>
      <w:r>
        <w:rPr>
          <w:rFonts w:hint="eastAsia" w:ascii="宋体" w:hAnsi="宋体" w:eastAsia="宋体" w:cs="宋体"/>
          <w:color w:val="auto"/>
          <w:sz w:val="21"/>
          <w:szCs w:val="21"/>
          <w:highlight w:val="none"/>
          <w:lang w:eastAsia="zh-CN"/>
        </w:rPr>
        <w:t>小写：</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p>
    <w:p w14:paraId="028C3B7F">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26" w:name="_Toc3683"/>
      <w:bookmarkStart w:id="27" w:name="_Toc30473"/>
      <w:r>
        <w:rPr>
          <w:rFonts w:hint="eastAsia" w:ascii="宋体" w:hAnsi="宋体" w:eastAsia="宋体" w:cs="宋体"/>
          <w:b/>
          <w:bCs w:val="0"/>
          <w:color w:val="auto"/>
          <w:kern w:val="0"/>
          <w:sz w:val="21"/>
          <w:szCs w:val="21"/>
          <w:highlight w:val="none"/>
          <w:lang w:val="nl-NL"/>
        </w:rPr>
        <w:t>六、款项支付</w:t>
      </w:r>
      <w:bookmarkEnd w:id="23"/>
      <w:bookmarkEnd w:id="24"/>
      <w:bookmarkEnd w:id="25"/>
      <w:bookmarkEnd w:id="26"/>
      <w:bookmarkEnd w:id="27"/>
      <w:bookmarkStart w:id="28" w:name="_Toc185392192"/>
      <w:bookmarkStart w:id="29" w:name="_Toc168284710"/>
    </w:p>
    <w:bookmarkEnd w:id="28"/>
    <w:bookmarkEnd w:id="29"/>
    <w:p w14:paraId="05213650">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合同签订后15个工作日内一次性支付，甲方支付给乙方全部合同款项。</w:t>
      </w:r>
    </w:p>
    <w:p w14:paraId="329E52BB">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在甲方支付合同款项前，乙方应提前给甲方开具符合国家规定的相应金额的发票，否则甲方有权拒绝付款并不承担违约责任。</w:t>
      </w:r>
    </w:p>
    <w:p w14:paraId="33339924">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30" w:name="_Toc11547"/>
      <w:bookmarkStart w:id="31" w:name="_Toc192415696"/>
      <w:bookmarkStart w:id="32" w:name="_Toc22246"/>
      <w:bookmarkStart w:id="33" w:name="_Toc168284712"/>
      <w:bookmarkStart w:id="34" w:name="_Toc185392194"/>
      <w:r>
        <w:rPr>
          <w:rFonts w:hint="eastAsia" w:ascii="宋体" w:hAnsi="宋体" w:eastAsia="宋体" w:cs="宋体"/>
          <w:b/>
          <w:bCs w:val="0"/>
          <w:color w:val="auto"/>
          <w:kern w:val="0"/>
          <w:sz w:val="21"/>
          <w:szCs w:val="21"/>
          <w:highlight w:val="none"/>
          <w:lang w:val="nl-NL"/>
        </w:rPr>
        <w:t>七、违约条款</w:t>
      </w:r>
      <w:bookmarkEnd w:id="30"/>
      <w:bookmarkEnd w:id="31"/>
      <w:bookmarkEnd w:id="32"/>
      <w:bookmarkEnd w:id="33"/>
      <w:bookmarkEnd w:id="34"/>
      <w:bookmarkStart w:id="35" w:name="_Toc168284713"/>
      <w:bookmarkStart w:id="36" w:name="_Toc185392195"/>
    </w:p>
    <w:bookmarkEnd w:id="35"/>
    <w:bookmarkEnd w:id="36"/>
    <w:p w14:paraId="0F82C9F4">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乙方未按约定提供服务</w:t>
      </w:r>
    </w:p>
    <w:p w14:paraId="1EBFC82D">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乙方未按合同规定的服务条款提供技术服务时，每影响一日应按年度运行维护费的 1‰ 向甲方支付违约金，但不得超过本合同签订的总金额。</w:t>
      </w:r>
    </w:p>
    <w:p w14:paraId="097B93A3">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甲方未按约定支付服务费</w:t>
      </w:r>
    </w:p>
    <w:p w14:paraId="35A32848">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如因甲方不能按期办理支付乙方年度运行维护费时，应从逾期20个工作日起，每日按迟延支付金额的1‰向乙方支付违约金，但不得超过本合同签订的总金额。</w:t>
      </w:r>
      <w:bookmarkStart w:id="37" w:name="_Toc185392197"/>
      <w:bookmarkStart w:id="38" w:name="_Toc192415697"/>
    </w:p>
    <w:p w14:paraId="79534596">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39" w:name="_Toc26775"/>
      <w:bookmarkStart w:id="40" w:name="_Toc12488"/>
      <w:r>
        <w:rPr>
          <w:rFonts w:hint="eastAsia" w:ascii="宋体" w:hAnsi="宋体" w:eastAsia="宋体" w:cs="宋体"/>
          <w:b/>
          <w:bCs w:val="0"/>
          <w:color w:val="auto"/>
          <w:kern w:val="0"/>
          <w:sz w:val="21"/>
          <w:szCs w:val="21"/>
          <w:highlight w:val="none"/>
          <w:lang w:val="nl-NL"/>
        </w:rPr>
        <w:t>八、</w:t>
      </w:r>
      <w:bookmarkEnd w:id="37"/>
      <w:bookmarkEnd w:id="38"/>
      <w:bookmarkStart w:id="41" w:name="_Toc185392201"/>
      <w:bookmarkStart w:id="42" w:name="_Toc192415698"/>
      <w:bookmarkStart w:id="43" w:name="_Toc168284715"/>
      <w:r>
        <w:rPr>
          <w:rFonts w:hint="eastAsia" w:ascii="宋体" w:hAnsi="宋体" w:eastAsia="宋体" w:cs="宋体"/>
          <w:b/>
          <w:bCs w:val="0"/>
          <w:color w:val="auto"/>
          <w:kern w:val="0"/>
          <w:sz w:val="21"/>
          <w:szCs w:val="21"/>
          <w:highlight w:val="none"/>
          <w:lang w:val="nl-NL"/>
        </w:rPr>
        <w:t>服务质量</w:t>
      </w:r>
      <w:bookmarkEnd w:id="39"/>
      <w:bookmarkEnd w:id="40"/>
      <w:bookmarkEnd w:id="41"/>
      <w:bookmarkEnd w:id="42"/>
      <w:bookmarkEnd w:id="43"/>
    </w:p>
    <w:p w14:paraId="4816CF40">
      <w:pPr>
        <w:snapToGrid w:val="0"/>
        <w:spacing w:line="360" w:lineRule="auto"/>
        <w:ind w:firstLine="420" w:firstLineChars="200"/>
        <w:jc w:val="left"/>
        <w:rPr>
          <w:rFonts w:hint="eastAsia" w:ascii="宋体" w:hAnsi="宋体" w:eastAsia="宋体" w:cs="宋体"/>
          <w:color w:val="auto"/>
          <w:sz w:val="21"/>
          <w:szCs w:val="21"/>
          <w:highlight w:val="none"/>
        </w:rPr>
      </w:pPr>
      <w:bookmarkStart w:id="44" w:name="_Toc185392202"/>
      <w:bookmarkStart w:id="45" w:name="_Toc168284718"/>
      <w:bookmarkStart w:id="46" w:name="_Toc192415699"/>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本合同签订后，乙方承诺严格服务质量标准，为甲方用户提供更优质的服务。</w:t>
      </w:r>
    </w:p>
    <w:p w14:paraId="50C5763C">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在本合同有效期内，乙方未按运维服务范围、内容和要求进行规范运维，如在维护报告，维护时间、频次等方面达不到合同及附件要求，甲方有权拒付运维服务费。</w:t>
      </w:r>
    </w:p>
    <w:p w14:paraId="3941615E">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47" w:name="_Toc19011"/>
      <w:bookmarkStart w:id="48" w:name="_Toc8070"/>
      <w:r>
        <w:rPr>
          <w:rFonts w:hint="eastAsia" w:ascii="宋体" w:hAnsi="宋体" w:eastAsia="宋体" w:cs="宋体"/>
          <w:b/>
          <w:bCs w:val="0"/>
          <w:color w:val="auto"/>
          <w:kern w:val="0"/>
          <w:sz w:val="21"/>
          <w:szCs w:val="21"/>
          <w:highlight w:val="none"/>
          <w:lang w:val="nl-NL"/>
        </w:rPr>
        <w:t>九、安全保密</w:t>
      </w:r>
      <w:bookmarkEnd w:id="44"/>
      <w:bookmarkEnd w:id="45"/>
      <w:bookmarkEnd w:id="46"/>
      <w:bookmarkEnd w:id="47"/>
      <w:bookmarkEnd w:id="48"/>
    </w:p>
    <w:p w14:paraId="19ECCDB0">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自合同签订之日起，乙方有责任对甲方提供的各种技术文件（软件、咨询报告、服务内容）与工作业务信息进行保密，未经甲方书面批准不得提供给第三方。如有违反，乙方应承担相应的法律责任。此保密义务不因合同的终止而免除。</w:t>
      </w:r>
    </w:p>
    <w:p w14:paraId="7FAE0576">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乙方必须与甲方签订《安全保密协议》，见附件。</w:t>
      </w:r>
    </w:p>
    <w:p w14:paraId="06B708C6">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乙方必须遵守甲方的各项规章制度，严格按照工作规范组织进行运维工作，制定切实可行的措施保障人员安全，设备安全，生产安全。</w:t>
      </w:r>
    </w:p>
    <w:p w14:paraId="120CDD62">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乙方必须制定合理的措施对运维人员进行管理和思想教育，加强保密意识，安全生产意识。</w:t>
      </w:r>
    </w:p>
    <w:p w14:paraId="49C25309">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乙方如违反《安全保密协议》，乙方必须承担全部责任并赔偿甲方的一切损失，甲方有权追究乙方的法律责任并终止本合同。</w:t>
      </w:r>
    </w:p>
    <w:p w14:paraId="40187AA5">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双方应积极配合信息安全主管部门对信息安全进行监督检查。</w:t>
      </w:r>
      <w:bookmarkStart w:id="49" w:name="_Toc168284720"/>
      <w:bookmarkStart w:id="50" w:name="_Toc192415700"/>
      <w:bookmarkStart w:id="51" w:name="_Toc185392203"/>
    </w:p>
    <w:p w14:paraId="4ECE9110">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52" w:name="_Toc25520"/>
      <w:bookmarkStart w:id="53" w:name="_Toc6071"/>
      <w:r>
        <w:rPr>
          <w:rFonts w:hint="eastAsia" w:ascii="宋体" w:hAnsi="宋体" w:eastAsia="宋体" w:cs="宋体"/>
          <w:b/>
          <w:bCs w:val="0"/>
          <w:color w:val="auto"/>
          <w:kern w:val="0"/>
          <w:sz w:val="21"/>
          <w:szCs w:val="21"/>
          <w:highlight w:val="none"/>
          <w:lang w:val="nl-NL"/>
        </w:rPr>
        <w:t>十、知识产权</w:t>
      </w:r>
      <w:bookmarkEnd w:id="49"/>
      <w:bookmarkEnd w:id="50"/>
      <w:bookmarkEnd w:id="51"/>
      <w:bookmarkEnd w:id="52"/>
      <w:bookmarkEnd w:id="53"/>
    </w:p>
    <w:p w14:paraId="28D02B2C">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保证甲方在使用乙方提供的任何产品、服务时，不受第三方提出侵犯知识产权指控。如果任何第三方提出与乙方提供的任何产品、服务有关的侵权指控，乙方须与第三方交涉并承担因此发生的一切法律责任和费用。</w:t>
      </w:r>
    </w:p>
    <w:p w14:paraId="53E027E8">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项目实施所产生的信息资源及完成的所有技术成果（包括但不限于软件、源代码及技术资料）的知识产权（包括但不限于著作权、专利权、商标权、专有技术等权利）及衍生权利均由乙方享有，凡有必要或可能申请专利的技术成果，均须通过甲方办理专利申请。</w:t>
      </w:r>
    </w:p>
    <w:p w14:paraId="7B3D6B0A">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对在运行维护过程中获知的甲方或为甲方提供服务的第三方的知识产权，都受本条款的保护。</w:t>
      </w:r>
      <w:bookmarkStart w:id="54" w:name="_Toc192415701"/>
      <w:bookmarkStart w:id="55" w:name="_Toc168284721"/>
      <w:bookmarkStart w:id="56" w:name="_Toc185392204"/>
    </w:p>
    <w:p w14:paraId="521AE5E4">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57" w:name="_Toc11508"/>
      <w:bookmarkStart w:id="58" w:name="_Toc29671"/>
      <w:r>
        <w:rPr>
          <w:rFonts w:hint="eastAsia" w:ascii="宋体" w:hAnsi="宋体" w:eastAsia="宋体" w:cs="宋体"/>
          <w:b/>
          <w:bCs w:val="0"/>
          <w:color w:val="auto"/>
          <w:kern w:val="0"/>
          <w:sz w:val="21"/>
          <w:szCs w:val="21"/>
          <w:highlight w:val="none"/>
          <w:lang w:val="nl-NL"/>
        </w:rPr>
        <w:t>十一、不可抗力</w:t>
      </w:r>
      <w:bookmarkEnd w:id="54"/>
      <w:bookmarkEnd w:id="55"/>
      <w:bookmarkEnd w:id="56"/>
      <w:bookmarkEnd w:id="57"/>
      <w:bookmarkEnd w:id="58"/>
    </w:p>
    <w:p w14:paraId="43C2A8C5">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如果合同任一方因战争、火灾、洪水、台风、地震和其他不可抗力原因，影响了合同的履行，则可根据受影响的程度顺延合同履行期限，这一期限应相当于事故所影响的时间，并可根据情况部分或全部免予承担违约责任。但若一方违约在先，不得以此后发生不可抗力为由免除其违约责任。</w:t>
      </w:r>
    </w:p>
    <w:p w14:paraId="5E8D747E">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受不可抗力影响的一方应在事件发生后，立即通知对方，并在十日内以书面方式向对方提供该不可抗力事件的证明文件（如政府公告、新闻报道等），并应于不可抗力事件结束后，立即恢复对本合同的履行。</w:t>
      </w:r>
    </w:p>
    <w:p w14:paraId="5BFC165E">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如果不可抗力事件后果影响合同执行超过180天，双方则就未来合同的履行另行商议。</w:t>
      </w:r>
      <w:bookmarkStart w:id="59" w:name="_Toc168284722"/>
      <w:bookmarkStart w:id="60" w:name="_Toc192415702"/>
      <w:bookmarkStart w:id="61" w:name="_Toc185392205"/>
    </w:p>
    <w:p w14:paraId="6B6ACB75">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62" w:name="_Toc31507"/>
      <w:bookmarkStart w:id="63" w:name="_Toc32222"/>
      <w:r>
        <w:rPr>
          <w:rFonts w:hint="eastAsia" w:ascii="宋体" w:hAnsi="宋体" w:eastAsia="宋体" w:cs="宋体"/>
          <w:b/>
          <w:bCs w:val="0"/>
          <w:color w:val="auto"/>
          <w:kern w:val="0"/>
          <w:sz w:val="21"/>
          <w:szCs w:val="21"/>
          <w:highlight w:val="none"/>
          <w:lang w:val="nl-NL"/>
        </w:rPr>
        <w:t>十二、争议解决</w:t>
      </w:r>
      <w:bookmarkEnd w:id="59"/>
      <w:bookmarkEnd w:id="60"/>
      <w:bookmarkEnd w:id="61"/>
      <w:bookmarkEnd w:id="62"/>
      <w:bookmarkEnd w:id="63"/>
    </w:p>
    <w:p w14:paraId="0F2AA103">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争议的解决：因履行本合同所发生的和与本合同有关的一切争议，甲、乙双方应首先通过协商方式解决。若协商不成，任何一方均可向有管辖权的人民法院提起诉讼。</w:t>
      </w:r>
    </w:p>
    <w:p w14:paraId="6E6C75DE">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争议期间服务的连续性：如果甲户和乙方之间发生争议，乙方有义务继续按照服务内容条款中的要求提供服务，不得中断。如果争议的内容是有关甲方应支付的费用，乙方能且只能在做出通知6个月之后，终止合同并停止服务。</w:t>
      </w:r>
      <w:bookmarkStart w:id="64" w:name="_Toc168284725"/>
      <w:bookmarkStart w:id="65" w:name="_Toc185392208"/>
      <w:bookmarkStart w:id="66" w:name="_Toc192415703"/>
    </w:p>
    <w:p w14:paraId="50E9AEA4">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67" w:name="_Toc4447"/>
      <w:bookmarkStart w:id="68" w:name="_Toc32721"/>
      <w:r>
        <w:rPr>
          <w:rFonts w:hint="eastAsia" w:ascii="宋体" w:hAnsi="宋体" w:eastAsia="宋体" w:cs="宋体"/>
          <w:b/>
          <w:bCs w:val="0"/>
          <w:color w:val="auto"/>
          <w:kern w:val="0"/>
          <w:sz w:val="21"/>
          <w:szCs w:val="21"/>
          <w:highlight w:val="none"/>
          <w:lang w:val="nl-NL"/>
        </w:rPr>
        <w:t>十三、其它</w:t>
      </w:r>
      <w:bookmarkEnd w:id="64"/>
      <w:r>
        <w:rPr>
          <w:rFonts w:hint="eastAsia" w:ascii="宋体" w:hAnsi="宋体" w:eastAsia="宋体" w:cs="宋体"/>
          <w:b/>
          <w:bCs w:val="0"/>
          <w:color w:val="auto"/>
          <w:kern w:val="0"/>
          <w:sz w:val="21"/>
          <w:szCs w:val="21"/>
          <w:highlight w:val="none"/>
          <w:lang w:val="nl-NL"/>
        </w:rPr>
        <w:t>条款</w:t>
      </w:r>
      <w:bookmarkEnd w:id="65"/>
      <w:bookmarkEnd w:id="66"/>
      <w:bookmarkEnd w:id="67"/>
      <w:bookmarkEnd w:id="68"/>
    </w:p>
    <w:p w14:paraId="5A79B250">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合同履行过程中，甲、乙双方均不得任意修改合同内容，一方如需修改合同某项条款，需向另一方出具变更内容及理由的申请书，经对方同意并修改相应内容后方可实施，在达成新的协议之前，双方仍按原合同条款进行，否则，后果由自行修改条款一方负责。</w:t>
      </w:r>
    </w:p>
    <w:p w14:paraId="3D0695B8">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本合同的附件为本合同不可分割的部分，与合同正文具有同等效力。</w:t>
      </w:r>
    </w:p>
    <w:p w14:paraId="2061A1F7">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如本合同附件中的条款或本合同签署之前所签署的任何文件与本合同的条款相冲突或不一致，以本合同为准。</w:t>
      </w:r>
    </w:p>
    <w:p w14:paraId="09D21005">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续约：甲方在合同到期日前180天提前通知乙方的情况下，双方可以商议续约。</w:t>
      </w:r>
    </w:p>
    <w:p w14:paraId="57D4F663">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违约的终止：任何一方违反合同的约定并在接到非违约方书面的违约通知30个工作日内补救失败，非违约方在提前7天给予书面通知的情况下有权终止合同。一旦合同以这种方式终止，各方应按照约定履行。</w:t>
      </w:r>
    </w:p>
    <w:p w14:paraId="72045D5A">
      <w:pPr>
        <w:snapToGrid w:val="0"/>
        <w:spacing w:line="360" w:lineRule="auto"/>
        <w:ind w:firstLine="422" w:firstLineChars="200"/>
        <w:outlineLvl w:val="0"/>
        <w:rPr>
          <w:rFonts w:hint="eastAsia" w:ascii="宋体" w:hAnsi="宋体" w:eastAsia="宋体" w:cs="宋体"/>
          <w:b/>
          <w:bCs w:val="0"/>
          <w:color w:val="auto"/>
          <w:kern w:val="0"/>
          <w:sz w:val="21"/>
          <w:szCs w:val="21"/>
          <w:highlight w:val="none"/>
          <w:lang w:val="nl-NL"/>
        </w:rPr>
      </w:pPr>
      <w:bookmarkStart w:id="69" w:name="_Toc4401"/>
      <w:bookmarkStart w:id="70" w:name="_Toc26657"/>
      <w:r>
        <w:rPr>
          <w:rFonts w:hint="eastAsia" w:ascii="宋体" w:hAnsi="宋体" w:eastAsia="宋体" w:cs="宋体"/>
          <w:b/>
          <w:bCs w:val="0"/>
          <w:color w:val="auto"/>
          <w:kern w:val="0"/>
          <w:sz w:val="21"/>
          <w:szCs w:val="21"/>
          <w:highlight w:val="none"/>
          <w:lang w:val="nl-NL"/>
        </w:rPr>
        <w:t>十四、合同的生效</w:t>
      </w:r>
      <w:bookmarkEnd w:id="69"/>
      <w:bookmarkEnd w:id="70"/>
    </w:p>
    <w:p w14:paraId="2EECAC0A">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本合同经双方负责人或授权代表签字并盖章之日起生效。</w:t>
      </w:r>
    </w:p>
    <w:p w14:paraId="1956667B">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本合同一式肆份，双方各执贰份。具有同等法律效力。</w:t>
      </w:r>
    </w:p>
    <w:p w14:paraId="260BA4B2">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本合同附件（如果有）为本合同不可分割的组成部分，具有同等的法律效力。</w:t>
      </w:r>
    </w:p>
    <w:p w14:paraId="569006A8">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本合同未尽事宜，凡需对本合同条款进行修改，应经双方协商后以补充协议方式明确。</w:t>
      </w:r>
    </w:p>
    <w:p w14:paraId="5384EE88">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附件1卫生监督业务软件系统及系统中间件运维服务范围和内容</w:t>
      </w:r>
    </w:p>
    <w:p w14:paraId="07B676FB">
      <w:pPr>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 保密协议书</w:t>
      </w:r>
    </w:p>
    <w:tbl>
      <w:tblPr>
        <w:tblStyle w:val="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2"/>
        <w:gridCol w:w="4660"/>
      </w:tblGrid>
      <w:tr w14:paraId="0A4C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412" w:type="dxa"/>
            <w:noWrap w:val="0"/>
            <w:vAlign w:val="center"/>
          </w:tcPr>
          <w:p w14:paraId="2882940B">
            <w:pPr>
              <w:snapToGrid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甲方:（盖章）</w:t>
            </w:r>
          </w:p>
        </w:tc>
        <w:tc>
          <w:tcPr>
            <w:tcW w:w="4660" w:type="dxa"/>
            <w:noWrap w:val="0"/>
            <w:vAlign w:val="center"/>
          </w:tcPr>
          <w:p w14:paraId="313A4FA6">
            <w:pPr>
              <w:snapToGrid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乙方:（盖章）</w:t>
            </w:r>
          </w:p>
        </w:tc>
      </w:tr>
      <w:tr w14:paraId="57C7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412" w:type="dxa"/>
            <w:noWrap w:val="0"/>
            <w:vAlign w:val="center"/>
          </w:tcPr>
          <w:p w14:paraId="08CD23CB">
            <w:pPr>
              <w:snapToGrid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负责人或授权代表：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（签字）</w:t>
            </w:r>
          </w:p>
        </w:tc>
        <w:tc>
          <w:tcPr>
            <w:tcW w:w="4660" w:type="dxa"/>
            <w:noWrap w:val="0"/>
            <w:vAlign w:val="center"/>
          </w:tcPr>
          <w:p w14:paraId="1E0151AE">
            <w:pPr>
              <w:snapToGrid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负责人或授权代表:         （签字）</w:t>
            </w:r>
          </w:p>
        </w:tc>
      </w:tr>
      <w:tr w14:paraId="0AC10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412" w:type="dxa"/>
            <w:noWrap w:val="0"/>
            <w:vAlign w:val="center"/>
          </w:tcPr>
          <w:p w14:paraId="67919545">
            <w:pPr>
              <w:snapToGrid w:val="0"/>
              <w:spacing w:line="360" w:lineRule="auto"/>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签约日期：     年   月   日</w:t>
            </w:r>
          </w:p>
        </w:tc>
        <w:tc>
          <w:tcPr>
            <w:tcW w:w="4660" w:type="dxa"/>
            <w:noWrap w:val="0"/>
            <w:vAlign w:val="center"/>
          </w:tcPr>
          <w:p w14:paraId="1014E7E2">
            <w:pPr>
              <w:snapToGrid w:val="0"/>
              <w:spacing w:line="360" w:lineRule="auto"/>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签约日期：     年   月   日</w:t>
            </w:r>
          </w:p>
        </w:tc>
      </w:tr>
      <w:tr w14:paraId="0F0D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412" w:type="dxa"/>
            <w:noWrap w:val="0"/>
            <w:vAlign w:val="center"/>
          </w:tcPr>
          <w:p w14:paraId="2751D2B5">
            <w:pPr>
              <w:snapToGrid w:val="0"/>
              <w:spacing w:line="360" w:lineRule="auto"/>
              <w:jc w:val="both"/>
              <w:rPr>
                <w:rFonts w:hint="eastAsia" w:ascii="宋体" w:hAnsi="宋体" w:eastAsia="宋体" w:cs="宋体"/>
                <w:color w:val="auto"/>
                <w:sz w:val="21"/>
                <w:szCs w:val="21"/>
                <w:highlight w:val="none"/>
              </w:rPr>
            </w:pPr>
          </w:p>
        </w:tc>
        <w:tc>
          <w:tcPr>
            <w:tcW w:w="4660" w:type="dxa"/>
            <w:noWrap w:val="0"/>
            <w:vAlign w:val="center"/>
          </w:tcPr>
          <w:p w14:paraId="06ACD517">
            <w:pPr>
              <w:snapToGrid w:val="0"/>
              <w:spacing w:line="360" w:lineRule="auto"/>
              <w:ind w:right="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开户行：</w:t>
            </w:r>
          </w:p>
        </w:tc>
      </w:tr>
      <w:tr w14:paraId="5B1E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4412" w:type="dxa"/>
            <w:noWrap w:val="0"/>
            <w:vAlign w:val="center"/>
          </w:tcPr>
          <w:p w14:paraId="2155D787">
            <w:pPr>
              <w:snapToGrid w:val="0"/>
              <w:spacing w:line="360" w:lineRule="auto"/>
              <w:jc w:val="both"/>
              <w:rPr>
                <w:rFonts w:hint="eastAsia" w:ascii="宋体" w:hAnsi="宋体" w:eastAsia="宋体" w:cs="宋体"/>
                <w:color w:val="auto"/>
                <w:sz w:val="21"/>
                <w:szCs w:val="21"/>
                <w:highlight w:val="none"/>
              </w:rPr>
            </w:pPr>
          </w:p>
        </w:tc>
        <w:tc>
          <w:tcPr>
            <w:tcW w:w="4660" w:type="dxa"/>
            <w:noWrap w:val="0"/>
            <w:vAlign w:val="center"/>
          </w:tcPr>
          <w:p w14:paraId="62B545A6">
            <w:pPr>
              <w:snapToGrid w:val="0"/>
              <w:spacing w:line="360" w:lineRule="auto"/>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帐  号：</w:t>
            </w:r>
          </w:p>
        </w:tc>
      </w:tr>
    </w:tbl>
    <w:p w14:paraId="4C7B4A23">
      <w:pPr>
        <w:snapToGrid w:val="0"/>
        <w:spacing w:line="360" w:lineRule="auto"/>
        <w:ind w:left="4950" w:hanging="3465" w:hangingChars="1650"/>
        <w:rPr>
          <w:rFonts w:hint="eastAsia" w:ascii="宋体" w:hAnsi="宋体" w:eastAsia="宋体" w:cs="宋体"/>
          <w:color w:val="auto"/>
          <w:sz w:val="21"/>
          <w:szCs w:val="21"/>
          <w:highlight w:val="none"/>
        </w:rPr>
      </w:pPr>
    </w:p>
    <w:p w14:paraId="01D2A2E9">
      <w:pPr>
        <w:snapToGrid w:val="0"/>
        <w:spacing w:line="360" w:lineRule="auto"/>
        <w:ind w:left="4950" w:hanging="3465" w:hangingChars="1650"/>
        <w:rPr>
          <w:rFonts w:hint="eastAsia" w:ascii="宋体" w:hAnsi="宋体" w:eastAsia="宋体" w:cs="宋体"/>
          <w:color w:val="auto"/>
          <w:sz w:val="21"/>
          <w:szCs w:val="21"/>
          <w:highlight w:val="none"/>
        </w:rPr>
      </w:pPr>
    </w:p>
    <w:p w14:paraId="5545D448">
      <w:pPr>
        <w:snapToGrid w:val="0"/>
        <w:spacing w:line="360" w:lineRule="auto"/>
        <w:ind w:left="4950" w:hanging="3465" w:hangingChars="1650"/>
        <w:rPr>
          <w:rFonts w:hint="eastAsia" w:ascii="宋体" w:hAnsi="宋体" w:eastAsia="宋体" w:cs="宋体"/>
          <w:color w:val="auto"/>
          <w:sz w:val="21"/>
          <w:szCs w:val="21"/>
          <w:highlight w:val="none"/>
        </w:rPr>
      </w:pPr>
    </w:p>
    <w:p w14:paraId="594F9157">
      <w:pPr>
        <w:snapToGrid w:val="0"/>
        <w:spacing w:line="360" w:lineRule="auto"/>
        <w:ind w:left="4950" w:hanging="3465" w:hangingChars="1650"/>
        <w:rPr>
          <w:rFonts w:hint="eastAsia" w:ascii="宋体" w:hAnsi="宋体" w:eastAsia="宋体" w:cs="宋体"/>
          <w:color w:val="auto"/>
          <w:sz w:val="21"/>
          <w:szCs w:val="21"/>
          <w:highlight w:val="none"/>
        </w:rPr>
      </w:pPr>
    </w:p>
    <w:p w14:paraId="7FE5035B">
      <w:pPr>
        <w:snapToGrid w:val="0"/>
        <w:spacing w:line="360" w:lineRule="auto"/>
        <w:ind w:left="4950" w:hanging="3465" w:hangingChars="1650"/>
        <w:rPr>
          <w:rFonts w:hint="eastAsia" w:ascii="宋体" w:hAnsi="宋体" w:eastAsia="宋体" w:cs="宋体"/>
          <w:color w:val="auto"/>
          <w:sz w:val="21"/>
          <w:szCs w:val="21"/>
          <w:highlight w:val="none"/>
        </w:rPr>
      </w:pPr>
    </w:p>
    <w:p w14:paraId="18FC905C">
      <w:pPr>
        <w:snapToGrid w:val="0"/>
        <w:spacing w:line="360" w:lineRule="auto"/>
        <w:ind w:left="4950" w:hanging="3465" w:hangingChars="1650"/>
        <w:rPr>
          <w:rFonts w:hint="eastAsia" w:ascii="宋体" w:hAnsi="宋体" w:eastAsia="宋体" w:cs="宋体"/>
          <w:color w:val="auto"/>
          <w:sz w:val="21"/>
          <w:szCs w:val="21"/>
          <w:highlight w:val="none"/>
        </w:rPr>
      </w:pPr>
    </w:p>
    <w:p w14:paraId="0FEE37EB">
      <w:pPr>
        <w:snapToGrid w:val="0"/>
        <w:spacing w:line="360" w:lineRule="auto"/>
        <w:ind w:left="4950" w:hanging="3465" w:hangingChars="1650"/>
        <w:rPr>
          <w:rFonts w:hint="eastAsia" w:ascii="宋体" w:hAnsi="宋体" w:eastAsia="宋体" w:cs="宋体"/>
          <w:color w:val="auto"/>
          <w:sz w:val="21"/>
          <w:szCs w:val="21"/>
          <w:highlight w:val="none"/>
        </w:rPr>
      </w:pPr>
    </w:p>
    <w:p w14:paraId="35228624">
      <w:pPr>
        <w:snapToGrid w:val="0"/>
        <w:spacing w:line="360" w:lineRule="auto"/>
        <w:ind w:left="4950" w:hanging="3465" w:hangingChars="1650"/>
        <w:rPr>
          <w:rFonts w:hint="eastAsia" w:ascii="宋体" w:hAnsi="宋体" w:eastAsia="宋体" w:cs="宋体"/>
          <w:color w:val="auto"/>
          <w:sz w:val="21"/>
          <w:szCs w:val="21"/>
          <w:highlight w:val="none"/>
        </w:rPr>
      </w:pPr>
    </w:p>
    <w:p w14:paraId="0B6B3E4C">
      <w:pPr>
        <w:snapToGrid w:val="0"/>
        <w:spacing w:line="360" w:lineRule="auto"/>
        <w:jc w:val="left"/>
        <w:rPr>
          <w:rFonts w:hint="eastAsia" w:ascii="宋体" w:hAnsi="宋体" w:eastAsia="宋体" w:cs="宋体"/>
          <w:color w:val="auto"/>
          <w:sz w:val="21"/>
          <w:szCs w:val="21"/>
          <w:highlight w:val="none"/>
        </w:rPr>
      </w:pPr>
      <w:bookmarkStart w:id="71" w:name="_Toc192415709"/>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 xml:space="preserve">附件1： </w:t>
      </w:r>
    </w:p>
    <w:p w14:paraId="576DDDCC">
      <w:pPr>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卫生监督业务软件系统及网络软硬件设施运维服务范围和内容</w:t>
      </w:r>
    </w:p>
    <w:p w14:paraId="3DF15DF6">
      <w:pPr>
        <w:spacing w:line="360" w:lineRule="auto"/>
        <w:ind w:firstLine="420" w:firstLineChars="200"/>
        <w:rPr>
          <w:rFonts w:hint="eastAsia" w:ascii="宋体" w:hAnsi="宋体" w:eastAsia="宋体" w:cs="宋体"/>
          <w:color w:val="auto"/>
          <w:sz w:val="21"/>
          <w:szCs w:val="21"/>
          <w:highlight w:val="none"/>
        </w:rPr>
      </w:pPr>
      <w:bookmarkStart w:id="72" w:name="_Toc30380"/>
      <w:bookmarkStart w:id="73" w:name="_Toc27491"/>
      <w:r>
        <w:rPr>
          <w:rFonts w:hint="eastAsia" w:ascii="宋体" w:hAnsi="宋体" w:eastAsia="宋体" w:cs="宋体"/>
          <w:color w:val="auto"/>
          <w:sz w:val="21"/>
          <w:szCs w:val="21"/>
          <w:highlight w:val="none"/>
        </w:rPr>
        <w:t>面向陕西省卫生健康监督综合管理平台环境中涉及的服务器硬件及系统软件、基础软件提供的运行维护服务内容包括：软件系统运维、巡检服务、技术咨询及培训、故障处理、系统升级、硬件维护、日常监控、应急响应、文档管理。</w:t>
      </w:r>
    </w:p>
    <w:p w14:paraId="753716B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本期运维项目不包含任何软件系统定制开发服务。</w:t>
      </w:r>
    </w:p>
    <w:p w14:paraId="6A285C92">
      <w:pPr>
        <w:spacing w:line="360" w:lineRule="auto"/>
        <w:ind w:firstLine="422" w:firstLineChars="200"/>
        <w:rPr>
          <w:rFonts w:hint="eastAsia" w:ascii="宋体" w:hAnsi="宋体" w:eastAsia="宋体" w:cs="宋体"/>
          <w:b/>
          <w:bCs/>
          <w:color w:val="auto"/>
          <w:sz w:val="21"/>
          <w:szCs w:val="21"/>
          <w:highlight w:val="none"/>
        </w:rPr>
      </w:pPr>
      <w:bookmarkStart w:id="74" w:name="_Toc167461721"/>
      <w:bookmarkEnd w:id="74"/>
      <w:bookmarkStart w:id="75" w:name="_Toc167460705"/>
      <w:bookmarkEnd w:id="75"/>
      <w:bookmarkStart w:id="76" w:name="_Toc167460480"/>
      <w:bookmarkEnd w:id="76"/>
      <w:bookmarkStart w:id="77" w:name="_Toc167459959"/>
      <w:bookmarkEnd w:id="77"/>
      <w:bookmarkStart w:id="78" w:name="_Toc167459663"/>
      <w:bookmarkEnd w:id="78"/>
      <w:bookmarkStart w:id="79" w:name="_Toc167460353"/>
      <w:bookmarkEnd w:id="79"/>
      <w:bookmarkStart w:id="80" w:name="_Toc167460836"/>
      <w:bookmarkEnd w:id="80"/>
      <w:bookmarkStart w:id="81" w:name="_Toc167459592"/>
      <w:bookmarkEnd w:id="81"/>
      <w:bookmarkStart w:id="82" w:name="_Toc167459296"/>
      <w:bookmarkEnd w:id="82"/>
      <w:bookmarkStart w:id="83" w:name="_Toc167461046"/>
      <w:bookmarkEnd w:id="83"/>
      <w:bookmarkStart w:id="84" w:name="_Toc167459126"/>
      <w:bookmarkEnd w:id="84"/>
      <w:bookmarkStart w:id="85" w:name="_Toc167461650"/>
      <w:bookmarkEnd w:id="85"/>
      <w:bookmarkStart w:id="86" w:name="_Toc167459515"/>
      <w:bookmarkEnd w:id="86"/>
      <w:bookmarkStart w:id="87" w:name="_Toc167460966"/>
      <w:bookmarkEnd w:id="87"/>
      <w:bookmarkStart w:id="88" w:name="_Toc167459811"/>
      <w:bookmarkEnd w:id="88"/>
      <w:bookmarkStart w:id="89" w:name="_Toc167461139"/>
      <w:bookmarkEnd w:id="89"/>
      <w:bookmarkStart w:id="90" w:name="_Toc167461210"/>
      <w:bookmarkEnd w:id="90"/>
      <w:bookmarkStart w:id="91" w:name="_Toc167459444"/>
      <w:bookmarkEnd w:id="91"/>
      <w:bookmarkStart w:id="92" w:name="_Toc167459373"/>
      <w:bookmarkEnd w:id="92"/>
      <w:bookmarkStart w:id="93" w:name="_Toc167459740"/>
      <w:bookmarkEnd w:id="93"/>
      <w:bookmarkStart w:id="94" w:name="_Toc167461336"/>
      <w:bookmarkEnd w:id="94"/>
      <w:bookmarkStart w:id="95" w:name="_Toc167459225"/>
      <w:bookmarkEnd w:id="95"/>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.1软件运维</w:t>
      </w:r>
    </w:p>
    <w:p w14:paraId="390A8212">
      <w:pPr>
        <w:spacing w:line="360" w:lineRule="auto"/>
        <w:ind w:firstLine="422" w:firstLineChars="200"/>
        <w:rPr>
          <w:rFonts w:hint="eastAsia" w:ascii="宋体" w:hAnsi="宋体" w:eastAsia="宋体" w:cs="宋体"/>
          <w:b/>
          <w:bCs/>
          <w:color w:val="auto"/>
          <w:sz w:val="21"/>
          <w:szCs w:val="21"/>
          <w:highlight w:val="none"/>
        </w:rPr>
      </w:pPr>
      <w:bookmarkStart w:id="96" w:name="_Toc31022"/>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.1.1软件系统运维</w:t>
      </w:r>
      <w:bookmarkEnd w:id="96"/>
    </w:p>
    <w:tbl>
      <w:tblPr>
        <w:tblStyle w:val="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333"/>
        <w:gridCol w:w="917"/>
        <w:gridCol w:w="4502"/>
      </w:tblGrid>
      <w:tr w14:paraId="1B1A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50" w:type="pct"/>
            <w:noWrap w:val="0"/>
            <w:vAlign w:val="center"/>
          </w:tcPr>
          <w:p w14:paraId="6D91A609">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369" w:type="pct"/>
            <w:noWrap w:val="0"/>
            <w:vAlign w:val="center"/>
          </w:tcPr>
          <w:p w14:paraId="533A996B">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系统名称</w:t>
            </w:r>
          </w:p>
        </w:tc>
        <w:tc>
          <w:tcPr>
            <w:tcW w:w="538" w:type="pct"/>
            <w:noWrap w:val="0"/>
            <w:vAlign w:val="center"/>
          </w:tcPr>
          <w:p w14:paraId="21878F2C">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数量</w:t>
            </w:r>
          </w:p>
        </w:tc>
        <w:tc>
          <w:tcPr>
            <w:tcW w:w="2642" w:type="pct"/>
            <w:noWrap w:val="0"/>
            <w:vAlign w:val="center"/>
          </w:tcPr>
          <w:p w14:paraId="6C1E5A6B">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服务内容</w:t>
            </w:r>
          </w:p>
        </w:tc>
      </w:tr>
      <w:tr w14:paraId="38AE8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114D4E83">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369" w:type="pct"/>
            <w:noWrap w:val="0"/>
            <w:vAlign w:val="center"/>
          </w:tcPr>
          <w:p w14:paraId="128F0521">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卫生监督指挥调度系统</w:t>
            </w:r>
          </w:p>
        </w:tc>
        <w:tc>
          <w:tcPr>
            <w:tcW w:w="538" w:type="pct"/>
            <w:noWrap w:val="0"/>
            <w:vAlign w:val="center"/>
          </w:tcPr>
          <w:p w14:paraId="3736F9EC">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610C5A8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系统正常链接4G版执法记录仪设备，执法记录仪现场工作场景的影像和声音在指挥调度系统中运行稳定、清晰、正常。</w:t>
            </w:r>
          </w:p>
        </w:tc>
      </w:tr>
      <w:tr w14:paraId="31FC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1C82F0D7">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369" w:type="pct"/>
            <w:noWrap w:val="0"/>
            <w:vAlign w:val="center"/>
          </w:tcPr>
          <w:p w14:paraId="56828D35">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投诉举报处理信息系统</w:t>
            </w:r>
          </w:p>
        </w:tc>
        <w:tc>
          <w:tcPr>
            <w:tcW w:w="538" w:type="pct"/>
            <w:noWrap w:val="0"/>
            <w:vAlign w:val="center"/>
          </w:tcPr>
          <w:p w14:paraId="3F0BB14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7C37C5B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省、</w:t>
            </w:r>
            <w:r>
              <w:rPr>
                <w:rFonts w:hint="eastAsia" w:ascii="宋体" w:hAnsi="宋体" w:eastAsia="宋体" w:cs="宋体"/>
                <w:color w:val="auto"/>
                <w:sz w:val="21"/>
                <w:szCs w:val="21"/>
                <w:highlight w:val="none"/>
              </w:rPr>
              <w:t>市、区</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级卫监部门正常使用投诉举报系统功能，按工作要求及时调整信息流程。</w:t>
            </w:r>
          </w:p>
        </w:tc>
      </w:tr>
      <w:tr w14:paraId="20BA4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5EE4C1DC">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369" w:type="pct"/>
            <w:noWrap w:val="0"/>
            <w:vAlign w:val="center"/>
          </w:tcPr>
          <w:p w14:paraId="77AD65EE">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行政办公系统</w:t>
            </w:r>
          </w:p>
        </w:tc>
        <w:tc>
          <w:tcPr>
            <w:tcW w:w="538" w:type="pct"/>
            <w:noWrap w:val="0"/>
            <w:vAlign w:val="center"/>
          </w:tcPr>
          <w:p w14:paraId="3F1C983B">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5A227BD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行政办公系统正常开展公文管理、内勤管理、行政管理、用车管理、物资管理等功能。按照工作要求调整信息流程。</w:t>
            </w:r>
          </w:p>
        </w:tc>
      </w:tr>
      <w:tr w14:paraId="61F4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3C2C4804">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369" w:type="pct"/>
            <w:noWrap w:val="0"/>
            <w:vAlign w:val="center"/>
          </w:tcPr>
          <w:p w14:paraId="12073DE1">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电子档案系统</w:t>
            </w:r>
          </w:p>
        </w:tc>
        <w:tc>
          <w:tcPr>
            <w:tcW w:w="538" w:type="pct"/>
            <w:noWrap w:val="0"/>
            <w:vAlign w:val="center"/>
          </w:tcPr>
          <w:p w14:paraId="592ECC7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56BDE6F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按照系统设计功能，正常稳定提供档案管理、综合查询、统计分析等功能。维护好</w:t>
            </w: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所机房数据备份服务器的数据备份工作，数据备份要求是每日备份更新。</w:t>
            </w:r>
          </w:p>
        </w:tc>
      </w:tr>
      <w:tr w14:paraId="59EB2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26210658">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1369" w:type="pct"/>
            <w:noWrap w:val="0"/>
            <w:vAlign w:val="center"/>
          </w:tcPr>
          <w:p w14:paraId="63B23BFB">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医疗记分系统</w:t>
            </w:r>
          </w:p>
        </w:tc>
        <w:tc>
          <w:tcPr>
            <w:tcW w:w="538" w:type="pct"/>
            <w:noWrap w:val="0"/>
            <w:vAlign w:val="center"/>
          </w:tcPr>
          <w:p w14:paraId="0043A7B7">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41ABDE2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按该模块设计功能，提供稳定的医疗机构和医护人员不良记分信息化工作系统服务，该模块的记分预警，综合查询，统计分析功能准确。可以按照工作要求进行记分标准等内容的调整。</w:t>
            </w:r>
          </w:p>
        </w:tc>
      </w:tr>
      <w:tr w14:paraId="020F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5D05F6B7">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p>
        </w:tc>
        <w:tc>
          <w:tcPr>
            <w:tcW w:w="1369" w:type="pct"/>
            <w:noWrap w:val="0"/>
            <w:vAlign w:val="center"/>
          </w:tcPr>
          <w:p w14:paraId="0B99B09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诚信自律系统</w:t>
            </w:r>
          </w:p>
        </w:tc>
        <w:tc>
          <w:tcPr>
            <w:tcW w:w="538" w:type="pct"/>
            <w:noWrap w:val="0"/>
            <w:vAlign w:val="center"/>
          </w:tcPr>
          <w:p w14:paraId="2A11FAD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3825B5A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可以按工作需求，及时调整“企业自查”、“政风行风”、“监管上报”的表格内容；维护好管理相对人平台的信息报送功能。各项报表的统计汇总功能稳定准确。</w:t>
            </w:r>
          </w:p>
        </w:tc>
      </w:tr>
      <w:tr w14:paraId="6A7C5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5E45662E">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p>
        </w:tc>
        <w:tc>
          <w:tcPr>
            <w:tcW w:w="1369" w:type="pct"/>
            <w:noWrap w:val="0"/>
            <w:vAlign w:val="center"/>
          </w:tcPr>
          <w:p w14:paraId="4998F9AC">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综合分析系统和综合统计系统</w:t>
            </w:r>
          </w:p>
        </w:tc>
        <w:tc>
          <w:tcPr>
            <w:tcW w:w="538" w:type="pct"/>
            <w:noWrap w:val="0"/>
            <w:vAlign w:val="center"/>
          </w:tcPr>
          <w:p w14:paraId="0620748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6354A352">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利用大数据技术，按照两个系统的设计要求和统计表格内容，对卫生监督业务数据进行综合分析和统计，并通过各种图形、表格的形式展示分析结果，数据准确。</w:t>
            </w:r>
          </w:p>
        </w:tc>
      </w:tr>
      <w:tr w14:paraId="08197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4465B72C">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p>
        </w:tc>
        <w:tc>
          <w:tcPr>
            <w:tcW w:w="1369" w:type="pct"/>
            <w:noWrap w:val="0"/>
            <w:vAlign w:val="center"/>
          </w:tcPr>
          <w:p w14:paraId="44AD152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教研培训系统</w:t>
            </w:r>
          </w:p>
        </w:tc>
        <w:tc>
          <w:tcPr>
            <w:tcW w:w="538" w:type="pct"/>
            <w:noWrap w:val="0"/>
            <w:vAlign w:val="center"/>
          </w:tcPr>
          <w:p w14:paraId="78FEE52F">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238D0D7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在线学习平台模块稳定运行，学习课件播放流畅，学习课件管理功能正常稳定，学习情况统计分析功能准确。</w:t>
            </w:r>
          </w:p>
        </w:tc>
      </w:tr>
      <w:tr w14:paraId="6E4F2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74A7DB8C">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9</w:t>
            </w:r>
          </w:p>
        </w:tc>
        <w:tc>
          <w:tcPr>
            <w:tcW w:w="1369" w:type="pct"/>
            <w:noWrap w:val="0"/>
            <w:vAlign w:val="center"/>
          </w:tcPr>
          <w:p w14:paraId="1BD8539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医疗综合监管系统</w:t>
            </w:r>
          </w:p>
        </w:tc>
        <w:tc>
          <w:tcPr>
            <w:tcW w:w="538" w:type="pct"/>
            <w:noWrap w:val="0"/>
            <w:vAlign w:val="center"/>
          </w:tcPr>
          <w:p w14:paraId="1CB2A27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564D8E4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按照工作要求维护调整检查表内容，手持机端和电脑平台端的医疗综合监管工作填报、查询、统计分析功能稳定，数据对接准确无误。</w:t>
            </w:r>
          </w:p>
        </w:tc>
      </w:tr>
      <w:tr w14:paraId="1964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7795FC1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p>
        </w:tc>
        <w:tc>
          <w:tcPr>
            <w:tcW w:w="1369" w:type="pct"/>
            <w:noWrap w:val="0"/>
            <w:vAlign w:val="center"/>
          </w:tcPr>
          <w:p w14:paraId="79D935FC">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远程会议系统</w:t>
            </w:r>
          </w:p>
        </w:tc>
        <w:tc>
          <w:tcPr>
            <w:tcW w:w="538" w:type="pct"/>
            <w:noWrap w:val="0"/>
            <w:vAlign w:val="center"/>
          </w:tcPr>
          <w:p w14:paraId="23DFEB04">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0D25E5F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提供参会单位100户以上，不间断会议时间4小时以上的远程会议服务功能。在符合要求的网络条件时，会议系统运行时应流畅、稳定、无卡顿。</w:t>
            </w:r>
          </w:p>
        </w:tc>
      </w:tr>
      <w:tr w14:paraId="5496B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3A71D17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1</w:t>
            </w:r>
          </w:p>
        </w:tc>
        <w:tc>
          <w:tcPr>
            <w:tcW w:w="1369" w:type="pct"/>
            <w:noWrap w:val="0"/>
            <w:vAlign w:val="center"/>
          </w:tcPr>
          <w:p w14:paraId="275BC51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学校卫生系统</w:t>
            </w:r>
          </w:p>
        </w:tc>
        <w:tc>
          <w:tcPr>
            <w:tcW w:w="538" w:type="pct"/>
            <w:noWrap w:val="0"/>
            <w:vAlign w:val="center"/>
          </w:tcPr>
          <w:p w14:paraId="67BC854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4BFA765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按照工作要求维护调整检查表内容，综合查询和统计分析功能准确无误。</w:t>
            </w:r>
          </w:p>
        </w:tc>
      </w:tr>
      <w:tr w14:paraId="5225C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4415F175">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1369" w:type="pct"/>
            <w:noWrap w:val="0"/>
            <w:vAlign w:val="center"/>
          </w:tcPr>
          <w:p w14:paraId="27A4101E">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终端设备</w:t>
            </w:r>
          </w:p>
        </w:tc>
        <w:tc>
          <w:tcPr>
            <w:tcW w:w="538" w:type="pct"/>
            <w:noWrap w:val="0"/>
            <w:vAlign w:val="center"/>
          </w:tcPr>
          <w:p w14:paraId="6C74E74F">
            <w:pPr>
              <w:spacing w:line="360" w:lineRule="auto"/>
              <w:jc w:val="center"/>
              <w:rPr>
                <w:rFonts w:hint="eastAsia" w:ascii="宋体" w:hAnsi="宋体" w:eastAsia="宋体" w:cs="宋体"/>
                <w:color w:val="auto"/>
                <w:sz w:val="21"/>
                <w:szCs w:val="21"/>
                <w:highlight w:val="none"/>
              </w:rPr>
            </w:pPr>
          </w:p>
        </w:tc>
        <w:tc>
          <w:tcPr>
            <w:tcW w:w="2642" w:type="pct"/>
            <w:noWrap w:val="0"/>
            <w:vAlign w:val="center"/>
          </w:tcPr>
          <w:p w14:paraId="27EF864F">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手持机、打印机、记录仪等手持终端设备</w:t>
            </w:r>
          </w:p>
        </w:tc>
      </w:tr>
      <w:tr w14:paraId="145EF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05206276">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1369" w:type="pct"/>
            <w:noWrap w:val="0"/>
            <w:vAlign w:val="center"/>
          </w:tcPr>
          <w:p w14:paraId="017D5CAA">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硬件设备</w:t>
            </w:r>
          </w:p>
        </w:tc>
        <w:tc>
          <w:tcPr>
            <w:tcW w:w="538" w:type="pct"/>
            <w:noWrap w:val="0"/>
            <w:vAlign w:val="center"/>
          </w:tcPr>
          <w:p w14:paraId="15F1060C">
            <w:pPr>
              <w:spacing w:line="360" w:lineRule="auto"/>
              <w:jc w:val="center"/>
              <w:rPr>
                <w:rFonts w:hint="eastAsia" w:ascii="宋体" w:hAnsi="宋体" w:eastAsia="宋体" w:cs="宋体"/>
                <w:color w:val="auto"/>
                <w:sz w:val="21"/>
                <w:szCs w:val="21"/>
                <w:highlight w:val="none"/>
              </w:rPr>
            </w:pPr>
          </w:p>
        </w:tc>
        <w:tc>
          <w:tcPr>
            <w:tcW w:w="2642" w:type="pct"/>
            <w:noWrap w:val="0"/>
            <w:vAlign w:val="center"/>
          </w:tcPr>
          <w:p w14:paraId="0F8CEF38">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硬件设备运维：包括一体机、网络设备（交换机、路由器、防火墙等）、存储设备、安全设备、机房环境（空调、UPS、监控）等的日常监控、巡检、故障排除、维修协调及备件更换。</w:t>
            </w:r>
          </w:p>
        </w:tc>
      </w:tr>
      <w:tr w14:paraId="71A36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13EFBC9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p>
        </w:tc>
        <w:tc>
          <w:tcPr>
            <w:tcW w:w="1369" w:type="pct"/>
            <w:noWrap w:val="0"/>
            <w:vAlign w:val="center"/>
          </w:tcPr>
          <w:p w14:paraId="0AC0526E">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全系统及手持机工作模块</w:t>
            </w:r>
          </w:p>
        </w:tc>
        <w:tc>
          <w:tcPr>
            <w:tcW w:w="538" w:type="pct"/>
            <w:noWrap w:val="0"/>
            <w:vAlign w:val="center"/>
          </w:tcPr>
          <w:p w14:paraId="6CE8A795">
            <w:pPr>
              <w:spacing w:line="360" w:lineRule="auto"/>
              <w:jc w:val="center"/>
              <w:rPr>
                <w:rFonts w:hint="eastAsia" w:ascii="宋体" w:hAnsi="宋体" w:eastAsia="宋体" w:cs="宋体"/>
                <w:color w:val="auto"/>
                <w:sz w:val="21"/>
                <w:szCs w:val="21"/>
                <w:highlight w:val="none"/>
              </w:rPr>
            </w:pPr>
          </w:p>
        </w:tc>
        <w:tc>
          <w:tcPr>
            <w:tcW w:w="2642" w:type="pct"/>
            <w:noWrap w:val="0"/>
            <w:vAlign w:val="center"/>
          </w:tcPr>
          <w:p w14:paraId="2EA9BCA0">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按照《全国传染病和公共卫生监督统计调查制度（202</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年）》的新增和改动内容，对系统内相关表格的指标内容进行优化对应调整。</w:t>
            </w:r>
          </w:p>
        </w:tc>
      </w:tr>
      <w:tr w14:paraId="3B6F6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209C2887">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w:t>
            </w:r>
          </w:p>
        </w:tc>
        <w:tc>
          <w:tcPr>
            <w:tcW w:w="4549" w:type="pct"/>
            <w:gridSpan w:val="3"/>
            <w:noWrap w:val="0"/>
            <w:vAlign w:val="center"/>
          </w:tcPr>
          <w:p w14:paraId="1E7A052F">
            <w:pPr>
              <w:spacing w:line="36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基础软件/支撑组件</w:t>
            </w:r>
          </w:p>
        </w:tc>
      </w:tr>
      <w:tr w14:paraId="3A9A7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3F21BDC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369" w:type="pct"/>
            <w:noWrap w:val="0"/>
            <w:vAlign w:val="center"/>
          </w:tcPr>
          <w:p w14:paraId="6878E7D3">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报表工具</w:t>
            </w:r>
          </w:p>
        </w:tc>
        <w:tc>
          <w:tcPr>
            <w:tcW w:w="538" w:type="pct"/>
            <w:noWrap w:val="0"/>
            <w:vAlign w:val="center"/>
          </w:tcPr>
          <w:p w14:paraId="3566456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17B5ADB0">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润乾报表工具</w:t>
            </w:r>
          </w:p>
        </w:tc>
      </w:tr>
      <w:tr w14:paraId="114E6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0" w:type="pct"/>
            <w:noWrap w:val="0"/>
            <w:vAlign w:val="center"/>
          </w:tcPr>
          <w:p w14:paraId="77CE760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369" w:type="pct"/>
            <w:noWrap w:val="0"/>
            <w:vAlign w:val="center"/>
          </w:tcPr>
          <w:p w14:paraId="79CD406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操作系统</w:t>
            </w:r>
          </w:p>
        </w:tc>
        <w:tc>
          <w:tcPr>
            <w:tcW w:w="538" w:type="pct"/>
            <w:noWrap w:val="0"/>
            <w:vAlign w:val="center"/>
          </w:tcPr>
          <w:p w14:paraId="097F705F">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775B051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CentOS7.0</w:t>
            </w:r>
          </w:p>
        </w:tc>
      </w:tr>
      <w:tr w14:paraId="2D28F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70DAA879">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369" w:type="pct"/>
            <w:noWrap w:val="0"/>
            <w:vAlign w:val="center"/>
          </w:tcPr>
          <w:p w14:paraId="6459D8AF">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中间件</w:t>
            </w:r>
          </w:p>
        </w:tc>
        <w:tc>
          <w:tcPr>
            <w:tcW w:w="538" w:type="pct"/>
            <w:noWrap w:val="0"/>
            <w:vAlign w:val="center"/>
          </w:tcPr>
          <w:p w14:paraId="36D735C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2套</w:t>
            </w:r>
          </w:p>
        </w:tc>
        <w:tc>
          <w:tcPr>
            <w:tcW w:w="2642" w:type="pct"/>
            <w:noWrap w:val="0"/>
            <w:vAlign w:val="center"/>
          </w:tcPr>
          <w:p w14:paraId="0C1EFBB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tomcat9.0、 nginx各一套</w:t>
            </w:r>
          </w:p>
        </w:tc>
      </w:tr>
      <w:tr w14:paraId="27E3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4E26369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369" w:type="pct"/>
            <w:noWrap w:val="0"/>
            <w:vAlign w:val="center"/>
          </w:tcPr>
          <w:p w14:paraId="4EAFB38B">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数据库软件</w:t>
            </w:r>
          </w:p>
        </w:tc>
        <w:tc>
          <w:tcPr>
            <w:tcW w:w="538" w:type="pct"/>
            <w:noWrap w:val="0"/>
            <w:vAlign w:val="center"/>
          </w:tcPr>
          <w:p w14:paraId="6811D70D">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2套</w:t>
            </w:r>
          </w:p>
        </w:tc>
        <w:tc>
          <w:tcPr>
            <w:tcW w:w="2642" w:type="pct"/>
            <w:noWrap w:val="0"/>
            <w:vAlign w:val="center"/>
          </w:tcPr>
          <w:p w14:paraId="74FFA85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Mysql、oracle各一套</w:t>
            </w:r>
          </w:p>
        </w:tc>
      </w:tr>
      <w:tr w14:paraId="6EC69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36CA58CA">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w:t>
            </w:r>
          </w:p>
        </w:tc>
        <w:tc>
          <w:tcPr>
            <w:tcW w:w="4549" w:type="pct"/>
            <w:gridSpan w:val="3"/>
            <w:noWrap w:val="0"/>
            <w:vAlign w:val="center"/>
          </w:tcPr>
          <w:p w14:paraId="53DFAB8A">
            <w:pPr>
              <w:spacing w:line="36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数据接口</w:t>
            </w:r>
          </w:p>
        </w:tc>
      </w:tr>
      <w:tr w14:paraId="55E8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70B8970E">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369" w:type="pct"/>
            <w:noWrap w:val="0"/>
            <w:vAlign w:val="center"/>
          </w:tcPr>
          <w:p w14:paraId="415BD5E9">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与国家卫生监督信息报告系统接口</w:t>
            </w:r>
          </w:p>
        </w:tc>
        <w:tc>
          <w:tcPr>
            <w:tcW w:w="538" w:type="pct"/>
            <w:noWrap w:val="0"/>
            <w:vAlign w:val="center"/>
          </w:tcPr>
          <w:p w14:paraId="3A1BCCD5">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224F743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实现从国家信息报告系统中自动获取所需工作数据，进行统计分析、综合分析、机构工作情况分析。</w:t>
            </w:r>
          </w:p>
        </w:tc>
      </w:tr>
      <w:tr w14:paraId="5BA05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6A5A34D9">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p>
        </w:tc>
        <w:tc>
          <w:tcPr>
            <w:tcW w:w="1369" w:type="pct"/>
            <w:noWrap w:val="0"/>
            <w:vAlign w:val="center"/>
          </w:tcPr>
          <w:p w14:paraId="7C1CB96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w:t>
            </w: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卫生健康委员会等政府机构系统接口</w:t>
            </w:r>
          </w:p>
        </w:tc>
        <w:tc>
          <w:tcPr>
            <w:tcW w:w="538" w:type="pct"/>
            <w:noWrap w:val="0"/>
            <w:vAlign w:val="center"/>
          </w:tcPr>
          <w:p w14:paraId="139516C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39A6197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做好</w:t>
            </w:r>
            <w:r>
              <w:rPr>
                <w:rFonts w:hint="eastAsia" w:ascii="宋体" w:hAnsi="宋体" w:eastAsia="宋体" w:cs="宋体"/>
                <w:color w:val="auto"/>
                <w:sz w:val="21"/>
                <w:szCs w:val="21"/>
                <w:highlight w:val="none"/>
                <w:lang w:val="en-US" w:eastAsia="zh-CN"/>
              </w:rPr>
              <w:t>省</w:t>
            </w:r>
            <w:r>
              <w:rPr>
                <w:rFonts w:hint="eastAsia" w:ascii="宋体" w:hAnsi="宋体" w:eastAsia="宋体" w:cs="宋体"/>
                <w:color w:val="auto"/>
                <w:sz w:val="21"/>
                <w:szCs w:val="21"/>
                <w:highlight w:val="none"/>
              </w:rPr>
              <w:t>级平台对</w:t>
            </w: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政务服务网、“</w:t>
            </w: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互联网+监管”平台的数据标准交换。</w:t>
            </w:r>
          </w:p>
        </w:tc>
      </w:tr>
      <w:tr w14:paraId="4844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0" w:type="pct"/>
            <w:noWrap w:val="0"/>
            <w:vAlign w:val="center"/>
          </w:tcPr>
          <w:p w14:paraId="3CF23032">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p>
        </w:tc>
        <w:tc>
          <w:tcPr>
            <w:tcW w:w="1369" w:type="pct"/>
            <w:noWrap w:val="0"/>
            <w:vAlign w:val="center"/>
          </w:tcPr>
          <w:p w14:paraId="44A677D6">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与其他系统数据接口</w:t>
            </w:r>
          </w:p>
        </w:tc>
        <w:tc>
          <w:tcPr>
            <w:tcW w:w="538" w:type="pct"/>
            <w:noWrap w:val="0"/>
            <w:vAlign w:val="center"/>
          </w:tcPr>
          <w:p w14:paraId="3364334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1套</w:t>
            </w:r>
          </w:p>
        </w:tc>
        <w:tc>
          <w:tcPr>
            <w:tcW w:w="2642" w:type="pct"/>
            <w:noWrap w:val="0"/>
            <w:vAlign w:val="center"/>
          </w:tcPr>
          <w:p w14:paraId="1EB84EB5">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卫生监督综合监督平台数据交换池，提供标准化前置机，为数字民生服务应用系统或第三方系统接入做准备。</w:t>
            </w:r>
          </w:p>
        </w:tc>
      </w:tr>
      <w:bookmarkEnd w:id="72"/>
      <w:bookmarkEnd w:id="73"/>
    </w:tbl>
    <w:p w14:paraId="29334BF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.1.2 巡检服务</w:t>
      </w:r>
    </w:p>
    <w:p w14:paraId="68F0DD4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期为中心端平台提供远程巡检服务：数据库专家和应用软件专家为用户提供巡查、配置资源优化和远程支持服务；定期清理冗余账号，权限遵循“最小必要原则”，密码每90天强制更换；对运行过程中出现的问题提供建议和解决方案。</w:t>
      </w:r>
    </w:p>
    <w:p w14:paraId="3E35E493">
      <w:pPr>
        <w:spacing w:line="360" w:lineRule="auto"/>
        <w:ind w:firstLine="422" w:firstLineChars="200"/>
        <w:rPr>
          <w:rFonts w:hint="eastAsia" w:ascii="宋体" w:hAnsi="宋体" w:eastAsia="宋体" w:cs="宋体"/>
          <w:b/>
          <w:bCs/>
          <w:color w:val="auto"/>
          <w:sz w:val="21"/>
          <w:szCs w:val="21"/>
          <w:highlight w:val="none"/>
          <w:lang w:val="en-US" w:eastAsia="zh-CN"/>
        </w:rPr>
      </w:pPr>
      <w:bookmarkStart w:id="97" w:name="_Toc10753"/>
      <w:bookmarkStart w:id="98" w:name="_Toc18059"/>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.1.3 技术咨询</w:t>
      </w:r>
      <w:bookmarkEnd w:id="97"/>
      <w:bookmarkEnd w:id="98"/>
      <w:r>
        <w:rPr>
          <w:rFonts w:hint="eastAsia" w:ascii="宋体" w:hAnsi="宋体" w:eastAsia="宋体" w:cs="宋体"/>
          <w:b/>
          <w:bCs/>
          <w:color w:val="auto"/>
          <w:sz w:val="21"/>
          <w:szCs w:val="21"/>
          <w:highlight w:val="none"/>
          <w:lang w:val="en-US" w:eastAsia="zh-CN"/>
        </w:rPr>
        <w:t>及培训</w:t>
      </w:r>
    </w:p>
    <w:p w14:paraId="388793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客服工程师7×24小时通过热线电话、论坛、Email接到用户咨询请求时，即时向用户提供相关技术解答，指导用户进行系统操作、维护，处理相应技术问题，为用户提供满意答复。</w:t>
      </w:r>
    </w:p>
    <w:p w14:paraId="4C49A7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成立客服小组，对省市区县各单位在使用系统中出现问题的及时处理并反馈回访。并收集问题及时更新常见问题的处理办法，定期对各单位进行系统培训，以便加强监督员对系统的操作使用。</w:t>
      </w:r>
    </w:p>
    <w:p w14:paraId="50985861">
      <w:pPr>
        <w:spacing w:line="360" w:lineRule="auto"/>
        <w:ind w:firstLine="422" w:firstLineChars="200"/>
        <w:rPr>
          <w:rFonts w:hint="eastAsia" w:ascii="宋体" w:hAnsi="宋体" w:eastAsia="宋体" w:cs="宋体"/>
          <w:b/>
          <w:bCs/>
          <w:color w:val="auto"/>
          <w:sz w:val="21"/>
          <w:szCs w:val="21"/>
          <w:highlight w:val="none"/>
          <w:lang w:eastAsia="zh-CN"/>
        </w:rPr>
      </w:pPr>
      <w:bookmarkStart w:id="99" w:name="_Toc6687"/>
      <w:bookmarkStart w:id="100" w:name="_Toc32358"/>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.1.4</w:t>
      </w:r>
      <w:bookmarkEnd w:id="99"/>
      <w:bookmarkEnd w:id="100"/>
      <w:r>
        <w:rPr>
          <w:rFonts w:hint="eastAsia" w:ascii="宋体" w:hAnsi="宋体" w:eastAsia="宋体" w:cs="宋体"/>
          <w:b/>
          <w:bCs/>
          <w:color w:val="auto"/>
          <w:sz w:val="21"/>
          <w:szCs w:val="21"/>
          <w:highlight w:val="none"/>
          <w:lang w:val="en-US" w:eastAsia="zh-CN"/>
        </w:rPr>
        <w:t>故障处理</w:t>
      </w:r>
    </w:p>
    <w:p w14:paraId="653A53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为及时发现故障和故障隐患，保障系统正常运行，进行定期系统监测。</w:t>
      </w:r>
    </w:p>
    <w:p w14:paraId="227625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通过对支撑平台、应用系统、系统软件等运行状态、系统运行日志的监测，及时发出故障报警或故障隐患报告，以便及时调度维护人员排除故障或消除故障隐患。</w:t>
      </w:r>
    </w:p>
    <w:p w14:paraId="00BDC7A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故障分级：</w:t>
      </w:r>
    </w:p>
    <w:p w14:paraId="55635A0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P1级（致命）：系统完全不可用，影响核心业务，处理优先级最高，需立即响应；</w:t>
      </w:r>
    </w:p>
    <w:p w14:paraId="216A7C2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P2级（严重）：部分功能异常，影响部分用户，2小时内响应，4小时内解决；</w:t>
      </w:r>
    </w:p>
    <w:p w14:paraId="60465B1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P3级（一般）：非核心功能故障，不影响主要业务，8小时内响应，24小时内解决。</w:t>
      </w:r>
    </w:p>
    <w:p w14:paraId="191F8C83">
      <w:pPr>
        <w:numPr>
          <w:ilvl w:val="0"/>
          <w:numId w:val="0"/>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处理流程：故障发现→上报登记→排查定位→解决方案实施→验证恢复→总结归档。</w:t>
      </w:r>
    </w:p>
    <w:p w14:paraId="1EC0BB0C">
      <w:pPr>
        <w:numPr>
          <w:ilvl w:val="0"/>
          <w:numId w:val="0"/>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每月扫描系统安全漏洞，高危漏洞修复周期≤7天，中低危漏洞≤15天</w:t>
      </w:r>
      <w:r>
        <w:rPr>
          <w:rFonts w:hint="eastAsia" w:ascii="宋体" w:hAnsi="宋体" w:eastAsia="宋体" w:cs="宋体"/>
          <w:color w:val="auto"/>
          <w:sz w:val="21"/>
          <w:szCs w:val="21"/>
          <w:highlight w:val="none"/>
          <w:lang w:eastAsia="zh-CN"/>
        </w:rPr>
        <w:t>。</w:t>
      </w:r>
    </w:p>
    <w:p w14:paraId="41882ABE">
      <w:pPr>
        <w:numPr>
          <w:ilvl w:val="0"/>
          <w:numId w:val="0"/>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留存系统操作日志、访问日志≥90天，定期审计异常操作行为。</w:t>
      </w:r>
    </w:p>
    <w:p w14:paraId="5FC7FB27">
      <w:pPr>
        <w:spacing w:line="360" w:lineRule="auto"/>
        <w:ind w:firstLine="422" w:firstLineChars="20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1.1.5 系统升级</w:t>
      </w:r>
    </w:p>
    <w:p w14:paraId="3832C976">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系统升级是</w:t>
      </w:r>
      <w:r>
        <w:rPr>
          <w:rFonts w:hint="eastAsia" w:ascii="宋体" w:hAnsi="宋体" w:eastAsia="宋体" w:cs="宋体"/>
          <w:color w:val="auto"/>
          <w:sz w:val="21"/>
          <w:szCs w:val="21"/>
          <w:highlight w:val="none"/>
        </w:rPr>
        <w:t>运维服务中一项至关重要且复杂的工作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w:t>
      </w: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卫生健康监督</w:t>
      </w:r>
      <w:r>
        <w:rPr>
          <w:rFonts w:hint="eastAsia" w:ascii="宋体" w:hAnsi="宋体" w:eastAsia="宋体" w:cs="宋体"/>
          <w:color w:val="auto"/>
          <w:sz w:val="21"/>
          <w:szCs w:val="21"/>
          <w:highlight w:val="none"/>
          <w:lang w:val="en-US" w:eastAsia="zh-CN"/>
        </w:rPr>
        <w:t>综合管理</w:t>
      </w:r>
      <w:r>
        <w:rPr>
          <w:rFonts w:hint="eastAsia" w:ascii="宋体" w:hAnsi="宋体" w:eastAsia="宋体" w:cs="宋体"/>
          <w:color w:val="auto"/>
          <w:sz w:val="21"/>
          <w:szCs w:val="21"/>
          <w:highlight w:val="none"/>
        </w:rPr>
        <w:t>平台</w:t>
      </w:r>
      <w:r>
        <w:rPr>
          <w:rFonts w:hint="eastAsia" w:ascii="宋体" w:hAnsi="宋体" w:eastAsia="宋体" w:cs="宋体"/>
          <w:color w:val="auto"/>
          <w:sz w:val="21"/>
          <w:szCs w:val="21"/>
          <w:highlight w:val="none"/>
          <w:lang w:val="en-US" w:eastAsia="zh-CN"/>
        </w:rPr>
        <w:t>进行适时系统升级，</w:t>
      </w:r>
      <w:r>
        <w:rPr>
          <w:rFonts w:hint="eastAsia" w:ascii="宋体" w:hAnsi="宋体" w:eastAsia="宋体" w:cs="宋体"/>
          <w:color w:val="auto"/>
          <w:sz w:val="21"/>
          <w:szCs w:val="21"/>
          <w:highlight w:val="none"/>
        </w:rPr>
        <w:t>在最大限度保障业务连续性的前提下，</w:t>
      </w:r>
      <w:r>
        <w:rPr>
          <w:rFonts w:hint="eastAsia" w:ascii="宋体" w:hAnsi="宋体" w:eastAsia="宋体" w:cs="宋体"/>
          <w:color w:val="auto"/>
          <w:sz w:val="21"/>
          <w:szCs w:val="21"/>
          <w:highlight w:val="none"/>
          <w:lang w:val="en-US" w:eastAsia="zh-CN"/>
        </w:rPr>
        <w:t>制定详细的升级方案，保证</w:t>
      </w:r>
      <w:r>
        <w:rPr>
          <w:rFonts w:hint="eastAsia" w:ascii="宋体" w:hAnsi="宋体" w:eastAsia="宋体" w:cs="宋体"/>
          <w:color w:val="auto"/>
          <w:sz w:val="21"/>
          <w:szCs w:val="21"/>
          <w:highlight w:val="none"/>
        </w:rPr>
        <w:t>安全、平滑、高效地完成升级任务</w:t>
      </w:r>
      <w:r>
        <w:rPr>
          <w:rFonts w:hint="eastAsia" w:ascii="宋体" w:hAnsi="宋体" w:eastAsia="宋体" w:cs="宋体"/>
          <w:color w:val="auto"/>
          <w:sz w:val="21"/>
          <w:szCs w:val="21"/>
          <w:highlight w:val="none"/>
          <w:lang w:eastAsia="zh-CN"/>
        </w:rPr>
        <w:t>。</w:t>
      </w:r>
    </w:p>
    <w:p w14:paraId="7C8CC4E1">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.2  硬件维护</w:t>
      </w:r>
    </w:p>
    <w:p w14:paraId="258FE22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系统一体机、存储硬盘、网络设备（交换机、路由器等）的状态监控与维护；执法终端设备（手持机、打印机、记录仪）的维护和问题处理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确保所有关键硬件设备稳定运行。</w:t>
      </w:r>
    </w:p>
    <w:p w14:paraId="0F7F0459">
      <w:pPr>
        <w:spacing w:line="360" w:lineRule="auto"/>
        <w:ind w:firstLine="422" w:firstLineChars="20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1.3 日常监控</w:t>
      </w:r>
    </w:p>
    <w:p w14:paraId="281599F9">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w:t>
      </w:r>
      <w:r>
        <w:rPr>
          <w:rFonts w:hint="eastAsia" w:ascii="宋体" w:hAnsi="宋体" w:eastAsia="宋体" w:cs="宋体"/>
          <w:color w:val="auto"/>
          <w:sz w:val="21"/>
          <w:szCs w:val="21"/>
          <w:highlight w:val="none"/>
        </w:rPr>
        <w:t>系统资源（CPU、内存、磁盘）、接口响应速度、业务流程可用性的实时监控</w:t>
      </w:r>
      <w:r>
        <w:rPr>
          <w:rFonts w:hint="eastAsia" w:ascii="宋体" w:hAnsi="宋体" w:eastAsia="宋体" w:cs="宋体"/>
          <w:color w:val="auto"/>
          <w:sz w:val="21"/>
          <w:szCs w:val="21"/>
          <w:highlight w:val="none"/>
          <w:lang w:eastAsia="zh-CN"/>
        </w:rPr>
        <w:t>。</w:t>
      </w:r>
    </w:p>
    <w:p w14:paraId="36191D69">
      <w:pPr>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（一）监控管理</w:t>
      </w:r>
    </w:p>
    <w:p w14:paraId="04268DD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每日9:00前完成系统全维度巡检，记录资源使用率（CPU≤80%、内存≤85%、磁盘≤90%为预警阈值）；</w:t>
      </w:r>
    </w:p>
    <w:p w14:paraId="0CA77B15">
      <w:pPr>
        <w:numPr>
          <w:ilvl w:val="0"/>
          <w:numId w:val="1"/>
        </w:numPr>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备份与恢复</w:t>
      </w:r>
    </w:p>
    <w:p w14:paraId="03A266CF">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对</w:t>
      </w:r>
      <w:r>
        <w:rPr>
          <w:rFonts w:hint="eastAsia" w:ascii="宋体" w:hAnsi="宋体" w:eastAsia="宋体" w:cs="宋体"/>
          <w:color w:val="auto"/>
          <w:sz w:val="21"/>
          <w:szCs w:val="21"/>
          <w:highlight w:val="none"/>
        </w:rPr>
        <w:t>陕西省卫生健康监督综合管理平台信息的维护、数据备份、恢复、同步及隐私安全保护</w:t>
      </w:r>
      <w:r>
        <w:rPr>
          <w:rFonts w:hint="eastAsia" w:ascii="宋体" w:hAnsi="宋体" w:eastAsia="宋体" w:cs="宋体"/>
          <w:color w:val="auto"/>
          <w:sz w:val="21"/>
          <w:szCs w:val="21"/>
          <w:highlight w:val="none"/>
          <w:lang w:eastAsia="zh-CN"/>
        </w:rPr>
        <w:t>。</w:t>
      </w:r>
    </w:p>
    <w:p w14:paraId="2A679AA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数据备份：数据库每日全量备份+增量备份，备份文件异地存储，保留周期≥30天；</w:t>
      </w:r>
    </w:p>
    <w:p w14:paraId="4C43221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恢复测试：每月开展1次备份恢复演练，记录恢复耗时（核心数据恢复≤2小时）。</w:t>
      </w:r>
    </w:p>
    <w:p w14:paraId="0D149040">
      <w:pPr>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（三）更新与变更</w:t>
      </w:r>
    </w:p>
    <w:p w14:paraId="768367C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变更流程：所有系统更新（版本升级、配置修改）需提前提交变更申请，明确测试方案与回滚计划；</w:t>
      </w:r>
    </w:p>
    <w:p w14:paraId="5F22653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实施时间：非紧急变更需在业务低峰期（如凌晨00:00-04:00）执行，全程留痕记录。</w:t>
      </w:r>
    </w:p>
    <w:p w14:paraId="41D9BB62">
      <w:pPr>
        <w:spacing w:line="360" w:lineRule="auto"/>
        <w:ind w:firstLine="422" w:firstLineChars="200"/>
        <w:rPr>
          <w:rFonts w:hint="eastAsia" w:ascii="宋体" w:hAnsi="宋体" w:eastAsia="宋体" w:cs="宋体"/>
          <w:b/>
          <w:bCs/>
          <w:color w:val="auto"/>
          <w:sz w:val="21"/>
          <w:szCs w:val="21"/>
          <w:highlight w:val="none"/>
          <w:lang w:eastAsia="zh-CN"/>
        </w:rPr>
      </w:pPr>
      <w:bookmarkStart w:id="101" w:name="_Toc21432"/>
      <w:bookmarkStart w:id="102" w:name="_Toc17463"/>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 xml:space="preserve"> </w:t>
      </w:r>
      <w:bookmarkEnd w:id="101"/>
      <w:bookmarkEnd w:id="102"/>
      <w:r>
        <w:rPr>
          <w:rFonts w:hint="eastAsia" w:ascii="宋体" w:hAnsi="宋体" w:eastAsia="宋体" w:cs="宋体"/>
          <w:b/>
          <w:bCs/>
          <w:color w:val="auto"/>
          <w:sz w:val="21"/>
          <w:szCs w:val="21"/>
          <w:highlight w:val="none"/>
          <w:lang w:val="en-US" w:eastAsia="zh-CN"/>
        </w:rPr>
        <w:t>应急响应</w:t>
      </w:r>
    </w:p>
    <w:p w14:paraId="4C4558E0">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1.成立多人应急小组，明确各成员职责，制定核心业务故障应急预案；</w:t>
      </w:r>
    </w:p>
    <w:p w14:paraId="37302E33">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2.每年开展2次应急演练，模拟常见故障（如服务器宕机、数据库崩溃），优化响应流程。</w:t>
      </w:r>
    </w:p>
    <w:p w14:paraId="4107BCA3">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1.5</w:t>
      </w:r>
      <w:r>
        <w:rPr>
          <w:rFonts w:hint="eastAsia" w:ascii="宋体" w:hAnsi="宋体" w:eastAsia="宋体" w:cs="宋体"/>
          <w:b/>
          <w:bCs/>
          <w:color w:val="auto"/>
          <w:sz w:val="21"/>
          <w:szCs w:val="21"/>
          <w:highlight w:val="none"/>
        </w:rPr>
        <w:t>文档管理</w:t>
      </w:r>
    </w:p>
    <w:p w14:paraId="04EBBFD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运维文档实时更新，</w:t>
      </w:r>
      <w:r>
        <w:rPr>
          <w:rFonts w:hint="eastAsia" w:ascii="宋体" w:hAnsi="宋体" w:eastAsia="宋体" w:cs="宋体"/>
          <w:color w:val="auto"/>
          <w:sz w:val="21"/>
          <w:szCs w:val="21"/>
          <w:highlight w:val="none"/>
          <w:lang w:val="en-US" w:eastAsia="zh-CN"/>
        </w:rPr>
        <w:t>相关的</w:t>
      </w:r>
      <w:r>
        <w:rPr>
          <w:rFonts w:hint="eastAsia" w:ascii="宋体" w:hAnsi="宋体" w:eastAsia="宋体" w:cs="宋体"/>
          <w:color w:val="auto"/>
          <w:sz w:val="21"/>
          <w:szCs w:val="21"/>
          <w:highlight w:val="none"/>
        </w:rPr>
        <w:t>系统架构图、</w:t>
      </w:r>
      <w:r>
        <w:rPr>
          <w:rFonts w:hint="eastAsia" w:ascii="宋体" w:hAnsi="宋体" w:eastAsia="宋体" w:cs="宋体"/>
          <w:color w:val="auto"/>
          <w:sz w:val="21"/>
          <w:szCs w:val="21"/>
          <w:highlight w:val="none"/>
          <w:lang w:val="en-US" w:eastAsia="zh-CN"/>
        </w:rPr>
        <w:t>操作</w:t>
      </w:r>
      <w:r>
        <w:rPr>
          <w:rFonts w:hint="eastAsia" w:ascii="宋体" w:hAnsi="宋体" w:eastAsia="宋体" w:cs="宋体"/>
          <w:color w:val="auto"/>
          <w:sz w:val="21"/>
          <w:szCs w:val="21"/>
          <w:highlight w:val="none"/>
        </w:rPr>
        <w:t>手册、故障处理</w:t>
      </w:r>
      <w:r>
        <w:rPr>
          <w:rFonts w:hint="eastAsia" w:ascii="宋体" w:hAnsi="宋体" w:eastAsia="宋体" w:cs="宋体"/>
          <w:color w:val="auto"/>
          <w:sz w:val="21"/>
          <w:szCs w:val="21"/>
          <w:highlight w:val="none"/>
          <w:lang w:val="en-US" w:eastAsia="zh-CN"/>
        </w:rPr>
        <w:t>指南</w:t>
      </w:r>
      <w:r>
        <w:rPr>
          <w:rFonts w:hint="eastAsia" w:ascii="宋体" w:hAnsi="宋体" w:eastAsia="宋体" w:cs="宋体"/>
          <w:color w:val="auto"/>
          <w:sz w:val="21"/>
          <w:szCs w:val="21"/>
          <w:highlight w:val="none"/>
        </w:rPr>
        <w:t>、业务平台和手持机系统操作手册及常见问题处理指南</w:t>
      </w:r>
      <w:r>
        <w:rPr>
          <w:rFonts w:hint="eastAsia" w:ascii="宋体" w:hAnsi="宋体" w:eastAsia="宋体" w:cs="宋体"/>
          <w:color w:val="auto"/>
          <w:sz w:val="21"/>
          <w:szCs w:val="21"/>
          <w:highlight w:val="none"/>
          <w:lang w:val="en-US" w:eastAsia="zh-CN"/>
        </w:rPr>
        <w:t>实时更新，保证内容准确。</w:t>
      </w:r>
    </w:p>
    <w:p w14:paraId="0763E46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文档统一存储、</w:t>
      </w:r>
      <w:r>
        <w:rPr>
          <w:rFonts w:hint="eastAsia" w:ascii="宋体" w:hAnsi="宋体" w:eastAsia="宋体" w:cs="宋体"/>
          <w:color w:val="auto"/>
          <w:sz w:val="21"/>
          <w:szCs w:val="21"/>
          <w:highlight w:val="none"/>
          <w:lang w:val="en-US" w:eastAsia="zh-CN"/>
        </w:rPr>
        <w:t>设置查看权限</w:t>
      </w:r>
      <w:r>
        <w:rPr>
          <w:rFonts w:hint="eastAsia" w:ascii="宋体" w:hAnsi="宋体" w:eastAsia="宋体" w:cs="宋体"/>
          <w:color w:val="auto"/>
          <w:sz w:val="21"/>
          <w:szCs w:val="21"/>
          <w:highlight w:val="none"/>
        </w:rPr>
        <w:t>，防止信息泄露</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确保运维人员可快速查阅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解决问题时能立刻用上。</w:t>
      </w:r>
    </w:p>
    <w:p w14:paraId="3FE4D2E4">
      <w:pPr>
        <w:spacing w:line="360" w:lineRule="auto"/>
        <w:ind w:firstLine="422" w:firstLineChars="200"/>
        <w:rPr>
          <w:rFonts w:hint="eastAsia" w:ascii="宋体" w:hAnsi="宋体" w:eastAsia="宋体" w:cs="宋体"/>
          <w:b/>
          <w:color w:val="auto"/>
          <w:sz w:val="21"/>
          <w:szCs w:val="21"/>
          <w:highlight w:val="none"/>
        </w:rPr>
      </w:pPr>
    </w:p>
    <w:p w14:paraId="6A453054">
      <w:pPr>
        <w:snapToGrid w:val="0"/>
        <w:spacing w:line="360" w:lineRule="auto"/>
        <w:jc w:val="left"/>
        <w:rPr>
          <w:rFonts w:hint="eastAsia" w:ascii="宋体" w:hAnsi="宋体" w:eastAsia="宋体" w:cs="宋体"/>
          <w:color w:val="auto"/>
          <w:sz w:val="21"/>
          <w:szCs w:val="21"/>
          <w:highlight w:val="none"/>
        </w:rPr>
      </w:pPr>
    </w:p>
    <w:p w14:paraId="52024D84">
      <w:pPr>
        <w:snapToGrid w:val="0"/>
        <w:spacing w:line="360" w:lineRule="auto"/>
        <w:jc w:val="left"/>
        <w:rPr>
          <w:rFonts w:hint="eastAsia" w:ascii="宋体" w:hAnsi="宋体" w:eastAsia="宋体" w:cs="宋体"/>
          <w:color w:val="auto"/>
          <w:sz w:val="21"/>
          <w:szCs w:val="21"/>
          <w:highlight w:val="none"/>
        </w:rPr>
      </w:pPr>
    </w:p>
    <w:p w14:paraId="244B7E4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ED884F3">
      <w:pPr>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附件2：</w:t>
      </w:r>
    </w:p>
    <w:p w14:paraId="07263415">
      <w:pPr>
        <w:spacing w:line="360" w:lineRule="auto"/>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保密协议书</w:t>
      </w:r>
    </w:p>
    <w:p w14:paraId="45019641">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甲方：</w:t>
      </w:r>
    </w:p>
    <w:p w14:paraId="4E30E55B">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乙方：</w:t>
      </w:r>
    </w:p>
    <w:p w14:paraId="7FD6676E">
      <w:pPr>
        <w:pStyle w:val="2"/>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鉴于乙方已经知晓甲方建设的《</w:t>
      </w:r>
      <w:r>
        <w:rPr>
          <w:rFonts w:hint="eastAsia" w:ascii="宋体" w:hAnsi="宋体" w:eastAsia="宋体" w:cs="宋体"/>
          <w:color w:val="auto"/>
          <w:sz w:val="21"/>
          <w:szCs w:val="21"/>
          <w:highlight w:val="none"/>
          <w:lang w:val="en-US" w:eastAsia="zh-CN"/>
        </w:rPr>
        <w:t>陕西省</w:t>
      </w:r>
      <w:r>
        <w:rPr>
          <w:rFonts w:hint="eastAsia" w:ascii="宋体" w:hAnsi="宋体" w:eastAsia="宋体" w:cs="宋体"/>
          <w:color w:val="auto"/>
          <w:sz w:val="21"/>
          <w:szCs w:val="21"/>
          <w:highlight w:val="none"/>
        </w:rPr>
        <w:t>卫生健康监督</w:t>
      </w:r>
      <w:r>
        <w:rPr>
          <w:rFonts w:hint="eastAsia" w:ascii="宋体" w:hAnsi="宋体" w:eastAsia="宋体" w:cs="宋体"/>
          <w:color w:val="auto"/>
          <w:sz w:val="21"/>
          <w:szCs w:val="21"/>
          <w:highlight w:val="none"/>
          <w:lang w:val="en-US" w:eastAsia="zh-CN"/>
        </w:rPr>
        <w:t>综合管理</w:t>
      </w:r>
      <w:r>
        <w:rPr>
          <w:rFonts w:hint="eastAsia" w:ascii="宋体" w:hAnsi="宋体" w:eastAsia="宋体" w:cs="宋体"/>
          <w:color w:val="auto"/>
          <w:sz w:val="21"/>
          <w:szCs w:val="21"/>
          <w:highlight w:val="none"/>
        </w:rPr>
        <w:t>平台</w:t>
      </w:r>
      <w:r>
        <w:rPr>
          <w:rFonts w:hint="eastAsia" w:ascii="宋体" w:hAnsi="宋体" w:eastAsia="宋体" w:cs="宋体"/>
          <w:color w:val="auto"/>
          <w:kern w:val="2"/>
          <w:sz w:val="21"/>
          <w:szCs w:val="21"/>
          <w:highlight w:val="none"/>
        </w:rPr>
        <w:t>》或将要知悉对方的相关保密信息。为了保护上述合作中涉及的保密信息，明确双方的权利义务，甲、乙双方在平等自愿、协商一致的基础上达成以下协议：</w:t>
      </w:r>
    </w:p>
    <w:p w14:paraId="5C8214D6">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  安全要求</w:t>
      </w:r>
    </w:p>
    <w:p w14:paraId="7BF8CD3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乙方必须遵守甲方的各项规章制定，严格按照工作规范组织进行运维工作，制定切实可行的措施保障人员安全，设备安全，工作安全。</w:t>
      </w:r>
    </w:p>
    <w:p w14:paraId="6121BE8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乙方必须制定合理的措施对运维人员进行管理和思想教育，加强保密意识，安全生产意识。</w:t>
      </w:r>
    </w:p>
    <w:p w14:paraId="096CAE97">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第二条 保密信息范围</w:t>
      </w:r>
    </w:p>
    <w:p w14:paraId="1093FED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本协议所称的“保密信息”是指，双方在合同履行过程中获得的下列信息，但不包括一方通过公众渠道可以获得的信息或经对方书面同意允许向第三方透露的信息：</w:t>
      </w:r>
    </w:p>
    <w:p w14:paraId="7A73BB8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工作秘密：一切与政府工作有关的信息资料或其他性质的资料，包括但不限于：政府业务数据、人员机构信息、财务资料等：</w:t>
      </w:r>
    </w:p>
    <w:p w14:paraId="6CF4053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技术秘密：指甲方的计算机信息系统、网络架构、信息安全体系结构、软件、数据库系统、系统数据、文档及技术指标等；</w:t>
      </w:r>
    </w:p>
    <w:p w14:paraId="2E649AD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其他保密信息：包括但不限于运维过程中获取的有关数据、流程、分析成果；甲方的内部管理资料、财务资料；甲方其他项目的信息及有关政府行政机关规划、调整等尚未公开的资料。</w:t>
      </w:r>
    </w:p>
    <w:p w14:paraId="340A25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上述保密信息的表现形式不限，无论是书面的、口头的、图形的或其它任何形式的信息。 </w:t>
      </w:r>
    </w:p>
    <w:p w14:paraId="164EE7FA">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 安全保密期限</w:t>
      </w:r>
    </w:p>
    <w:p w14:paraId="31994A4F">
      <w:pPr>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保密条款在合同有效期结束后继续生效。</w:t>
      </w:r>
    </w:p>
    <w:p w14:paraId="65CAC09C">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第四条 保密义务人</w:t>
      </w:r>
    </w:p>
    <w:p w14:paraId="5A7B4E6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本协议项下保密义务人为，双方单位及双方涉及保密信息的员工。</w:t>
      </w:r>
    </w:p>
    <w:p w14:paraId="2A7D9CC4">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第五条 保密义务</w:t>
      </w:r>
    </w:p>
    <w:p w14:paraId="7BCA5950">
      <w:pPr>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一、甲方保密义务</w:t>
      </w:r>
    </w:p>
    <w:p w14:paraId="4A86FB2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保证对所获悉的对方保密信息按照下列规定进行保密，并在缺少相关保密条款约定时，应至少采取适用于乙方的保密信息同样的保护措施和审慎程度进行保密：</w:t>
      </w:r>
    </w:p>
    <w:p w14:paraId="3CC5AFC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仅将本协议项下保密信息使用于与运维工作有关的用途。除直接参与运维工作的人员之外，不得将保密信息透露给其他无关人员或任何第三方。</w:t>
      </w:r>
    </w:p>
    <w:p w14:paraId="036CEE1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不得将对方保密信息的全部或部分进行发布、传播、复制或仿造。</w:t>
      </w:r>
    </w:p>
    <w:p w14:paraId="3BE88D9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应告知并以适当的方式要求其直接参与运维工作的人员，按照本协议规定保守保密信息。如工作人员违反本协议规定，泄露对方保密信息的，该方应承担违约责任并处由此行为造成对方经济损失双倍赔偿。</w:t>
      </w:r>
    </w:p>
    <w:p w14:paraId="2A75C2F2">
      <w:pPr>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二、乙方保密义务</w:t>
      </w:r>
    </w:p>
    <w:p w14:paraId="54CD9FC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除直接参与运维工作的人员之外，不得将保密信息透露给其他无关人员或任何第三方。未经对方书面许可并采取加密措施，不得擅自将载有保密信息的任何文档、图纸、资料、磁盘、胶片等任何介质，带离对方工作场所。</w:t>
      </w:r>
    </w:p>
    <w:p w14:paraId="10DDD33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对于用户数据和服务结果数据的保管、访问，乙方无关人员不能访问；必需访问的人员，乙方要进行严格的访问控制；管理用户数据的人员应由乙方严格筛选并经甲方认可。</w:t>
      </w:r>
    </w:p>
    <w:p w14:paraId="49F0747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对于甲方提供给乙方使用的任何资源，如网络、NOTES等，乙方都只能将其用于工作，而不能用于其他目的，特别是从事侵害甲方利益的活动。</w:t>
      </w:r>
    </w:p>
    <w:p w14:paraId="755CDE85">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第六条 保密信息的交回</w:t>
      </w:r>
    </w:p>
    <w:p w14:paraId="6B04A56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合同终止后，双方应按照对方的要求对相关保密信息做相应处理，包括返还、销毁或其他双方认可的处理方式，未及时处理的数据不得以任何形式向第三方提供或透露。</w:t>
      </w:r>
    </w:p>
    <w:p w14:paraId="1BEE5FE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当一方以书面形式要求交回保密信息时，接受通知一方应当立即交回所有的书面或其它有形的保密信息以及所有描述和概括保密信息的文件。</w:t>
      </w:r>
    </w:p>
    <w:p w14:paraId="1DB21BA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未经对方书面许可，任何一方不得擅自丢弃和自行处理保密信息。</w:t>
      </w:r>
    </w:p>
    <w:p w14:paraId="517D4A23">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第七条 违约责任</w:t>
      </w:r>
    </w:p>
    <w:p w14:paraId="1BC4106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任何一方未履行本协议项下的任一条款均视为违约，违约方应按照守约方要求采取有效的补救措施，以防止泄密范围继续扩大，同时还应向守约方支付所造成经济损失的双倍赔偿。如果情节严重涉嫌触犯国家其他法律法规，应按照相应法律法规承担相应的法律责任。</w:t>
      </w:r>
    </w:p>
    <w:p w14:paraId="681DD84D">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第八条 争议的解决</w:t>
      </w:r>
    </w:p>
    <w:p w14:paraId="7294A35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争议的解决：因履行本合同产生的一切争议，双方应首先通过协商方式解决。若协商不成，任何一方均可向甲方所在地人民法院提起诉讼。</w:t>
      </w:r>
    </w:p>
    <w:p w14:paraId="083C336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争议期间服务的连续性：如果双方间发生争议，乙方有义务继续按照服务内容条款中的要求提供服务，不得中断。</w:t>
      </w:r>
    </w:p>
    <w:p w14:paraId="76F3D8F3">
      <w:pPr>
        <w:spacing w:line="360" w:lineRule="auto"/>
        <w:ind w:firstLine="422" w:firstLineChars="200"/>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第九条 其他</w:t>
      </w:r>
    </w:p>
    <w:p w14:paraId="12AC6D4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本协议未尽事宜，甲、乙双方另行签订补充协议，补充协议与本协议具有同等法律效力。</w:t>
      </w:r>
    </w:p>
    <w:p w14:paraId="450CA1A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本协议一式四份，甲、乙双方各执两份。</w:t>
      </w:r>
    </w:p>
    <w:p w14:paraId="5824C93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本协议自甲、乙双方签字盖章之日起生效。</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9"/>
        <w:gridCol w:w="4080"/>
      </w:tblGrid>
      <w:tr w14:paraId="2E52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2605" w:type="pct"/>
            <w:noWrap w:val="0"/>
            <w:vAlign w:val="top"/>
          </w:tcPr>
          <w:p w14:paraId="21EC882B">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（盖章）</w:t>
            </w:r>
          </w:p>
        </w:tc>
        <w:tc>
          <w:tcPr>
            <w:tcW w:w="2394" w:type="pct"/>
            <w:noWrap w:val="0"/>
            <w:vAlign w:val="top"/>
          </w:tcPr>
          <w:p w14:paraId="6FFD1D8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b/>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（盖章）</w:t>
            </w:r>
          </w:p>
        </w:tc>
      </w:tr>
      <w:tr w14:paraId="04009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2605" w:type="pct"/>
            <w:noWrap w:val="0"/>
            <w:vAlign w:val="top"/>
          </w:tcPr>
          <w:p w14:paraId="4A862B37">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负责人或授权代表：     （签字）</w:t>
            </w:r>
          </w:p>
        </w:tc>
        <w:tc>
          <w:tcPr>
            <w:tcW w:w="2394" w:type="pct"/>
            <w:noWrap w:val="0"/>
            <w:vAlign w:val="top"/>
          </w:tcPr>
          <w:p w14:paraId="418ECCC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负责人或授权代表：     （签字）</w:t>
            </w:r>
          </w:p>
        </w:tc>
      </w:tr>
      <w:tr w14:paraId="1DDA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trPr>
        <w:tc>
          <w:tcPr>
            <w:tcW w:w="2605" w:type="pct"/>
            <w:noWrap w:val="0"/>
            <w:vAlign w:val="top"/>
          </w:tcPr>
          <w:p w14:paraId="0E655E8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签订时间：   年    月    日</w:t>
            </w:r>
          </w:p>
        </w:tc>
        <w:tc>
          <w:tcPr>
            <w:tcW w:w="2394" w:type="pct"/>
            <w:noWrap w:val="0"/>
            <w:vAlign w:val="top"/>
          </w:tcPr>
          <w:p w14:paraId="422DB62C">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签订时间：     年    月    日</w:t>
            </w:r>
          </w:p>
        </w:tc>
      </w:tr>
      <w:bookmarkEnd w:id="71"/>
    </w:tbl>
    <w:p w14:paraId="23C0D3CB">
      <w:bookmarkStart w:id="103" w:name="_GoBack"/>
      <w:bookmarkEnd w:id="10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5DA0E1"/>
    <w:multiLevelType w:val="singleLevel"/>
    <w:tmpl w:val="565DA0E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5097B"/>
    <w:rsid w:val="7F250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2025-12-05T03:52:00Z</dcterms:created>
  <dc:creator>樱桃小晨子 </dc:creator>
  <cp:lastModifiedBy>樱桃小晨子 </cp:lastModifiedBy>
  <dcterms:modified xsi:type="dcterms:W3CDTF">2025-12-05T03:53:04Z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38F32FFF013E48FFBE3EEBC17E471186_11</vt:lpwstr>
  </property>
  <property fmtid="{D5CDD505-2E9C-101B-9397-08002B2CF9AE}" pid="4" name="KSOTemplateDocerSaveRecord">
    <vt:lpwstr>eyJoZGlkIjoiYmVjZjg2OWE5ZTE1Njc1MjI5MzRlMzhjOTEyZTVkNDUiLCJ1c2VySWQiOiIxMjkzNTU3MjkzIn0=</vt:lpwstr>
  </property>
</Properties>
</file>