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版本号：JXRC-251112-220251208001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光薄片自动扫描系统采购项目(二次)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JXRC-251112-2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光薄片自动扫描系统采购项目(二次)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JXRC-251112-2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光薄片自动扫描系统采购项目(二次)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光薄片自动扫描系统，1套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5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8、进口授权：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开户银行：民生银行西安分行营业部（备注：转账时须附言“251112-2投标保证金”）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说明：履约保证金金额为成交金额的5%，转账金额到账后，可持银行回执到西北大学国有资产管理处换取收据。待合同执行完毕、设备验收合格后凭验收单和缴款收据，合同履约保证金予以退还。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35</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光薄片自动扫描系统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光薄片自动扫描系统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标的名称：光薄片自动扫描系统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、功能模块转盘</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位，电动切换，具有编码功能，可自动识别观察方式。</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触摸屏：真彩色</w:t>
            </w:r>
            <w:r>
              <w:rPr>
                <w:rFonts w:ascii="仿宋_GB2312" w:hAnsi="仿宋_GB2312" w:cs="仿宋_GB2312" w:eastAsia="仿宋_GB2312"/>
                <w:sz w:val="21"/>
              </w:rPr>
              <w:t>TFT</w:t>
            </w:r>
            <w:r>
              <w:rPr>
                <w:rFonts w:ascii="仿宋_GB2312" w:hAnsi="仿宋_GB2312" w:cs="仿宋_GB2312" w:eastAsia="仿宋_GB2312"/>
                <w:sz w:val="21"/>
              </w:rPr>
              <w:t>触摸屏可完成显微镜的操作，并能显示工作状态。自动控制物镜转盘转换，自动控制观察方式切换，控制自动聚焦。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聚焦方式：</w:t>
            </w:r>
            <w:r>
              <w:rPr>
                <w:rFonts w:ascii="仿宋_GB2312" w:hAnsi="仿宋_GB2312" w:cs="仿宋_GB2312" w:eastAsia="仿宋_GB2312"/>
                <w:sz w:val="21"/>
              </w:rPr>
              <w:t>Z</w:t>
            </w:r>
            <w:r>
              <w:rPr>
                <w:rFonts w:ascii="仿宋_GB2312" w:hAnsi="仿宋_GB2312" w:cs="仿宋_GB2312" w:eastAsia="仿宋_GB2312"/>
                <w:sz w:val="21"/>
              </w:rPr>
              <w:t>轴电动聚焦，由镜体内部电机驱动，通过触摸屏操作，可实现一键自动聚焦。</w:t>
            </w:r>
            <w:r>
              <w:rPr>
                <w:rFonts w:ascii="仿宋_GB2312" w:hAnsi="仿宋_GB2312" w:cs="仿宋_GB2312" w:eastAsia="仿宋_GB2312"/>
                <w:sz w:val="21"/>
              </w:rPr>
              <w:t>Z</w:t>
            </w:r>
            <w:r>
              <w:rPr>
                <w:rFonts w:ascii="仿宋_GB2312" w:hAnsi="仿宋_GB2312" w:cs="仿宋_GB2312" w:eastAsia="仿宋_GB2312"/>
                <w:sz w:val="21"/>
              </w:rPr>
              <w:t>轴焦距可自动修正，扫描过程自动适配样品表面，保证整体视场聚焦清晰。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、带反差增强的专业偏光原厂物镜，配置</w:t>
            </w:r>
            <w:r>
              <w:rPr>
                <w:rFonts w:ascii="仿宋_GB2312" w:hAnsi="仿宋_GB2312" w:cs="仿宋_GB2312" w:eastAsia="仿宋_GB2312"/>
                <w:sz w:val="21"/>
              </w:rPr>
              <w:t>2.5x</w:t>
            </w:r>
            <w:r>
              <w:rPr>
                <w:rFonts w:ascii="仿宋_GB2312" w:hAnsi="仿宋_GB2312" w:cs="仿宋_GB2312" w:eastAsia="仿宋_GB2312"/>
                <w:sz w:val="21"/>
              </w:rPr>
              <w:t>物镜数值孔径≥</w:t>
            </w:r>
            <w:r>
              <w:rPr>
                <w:rFonts w:ascii="仿宋_GB2312" w:hAnsi="仿宋_GB2312" w:cs="仿宋_GB2312" w:eastAsia="仿宋_GB2312"/>
                <w:sz w:val="21"/>
              </w:rPr>
              <w:t>0.06</w:t>
            </w:r>
            <w:r>
              <w:rPr>
                <w:rFonts w:ascii="仿宋_GB2312" w:hAnsi="仿宋_GB2312" w:cs="仿宋_GB2312" w:eastAsia="仿宋_GB2312"/>
                <w:sz w:val="21"/>
              </w:rPr>
              <w:t>，</w:t>
            </w:r>
            <w:r>
              <w:rPr>
                <w:rFonts w:ascii="仿宋_GB2312" w:hAnsi="仿宋_GB2312" w:cs="仿宋_GB2312" w:eastAsia="仿宋_GB2312"/>
                <w:sz w:val="21"/>
              </w:rPr>
              <w:t>5x</w:t>
            </w:r>
            <w:r>
              <w:rPr>
                <w:rFonts w:ascii="仿宋_GB2312" w:hAnsi="仿宋_GB2312" w:cs="仿宋_GB2312" w:eastAsia="仿宋_GB2312"/>
                <w:sz w:val="21"/>
              </w:rPr>
              <w:t>物镜数值孔径≥</w:t>
            </w:r>
            <w:r>
              <w:rPr>
                <w:rFonts w:ascii="仿宋_GB2312" w:hAnsi="仿宋_GB2312" w:cs="仿宋_GB2312" w:eastAsia="仿宋_GB2312"/>
                <w:sz w:val="21"/>
              </w:rPr>
              <w:t>0.13</w:t>
            </w:r>
            <w:r>
              <w:rPr>
                <w:rFonts w:ascii="仿宋_GB2312" w:hAnsi="仿宋_GB2312" w:cs="仿宋_GB2312" w:eastAsia="仿宋_GB2312"/>
                <w:sz w:val="21"/>
              </w:rPr>
              <w:t>，</w:t>
            </w:r>
            <w:r>
              <w:rPr>
                <w:rFonts w:ascii="仿宋_GB2312" w:hAnsi="仿宋_GB2312" w:cs="仿宋_GB2312" w:eastAsia="仿宋_GB2312"/>
                <w:sz w:val="21"/>
              </w:rPr>
              <w:t>10x</w:t>
            </w:r>
            <w:r>
              <w:rPr>
                <w:rFonts w:ascii="仿宋_GB2312" w:hAnsi="仿宋_GB2312" w:cs="仿宋_GB2312" w:eastAsia="仿宋_GB2312"/>
                <w:sz w:val="21"/>
              </w:rPr>
              <w:t>数值孔径≥</w:t>
            </w:r>
            <w:r>
              <w:rPr>
                <w:rFonts w:ascii="仿宋_GB2312" w:hAnsi="仿宋_GB2312" w:cs="仿宋_GB2312" w:eastAsia="仿宋_GB2312"/>
                <w:sz w:val="21"/>
              </w:rPr>
              <w:t>0.25</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1"/>
              </w:rPr>
              <w:t>扫描式载物台：带有线性编码，行程范围≥75x50mm，速度≥100mm/s，分辨率≤0.1 µm，重复精度≤+/- 1 µm，绝对精度≤+/- 5 µm。</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6、物镜转换器为≥7孔明暗场电动物镜转换器，带有位置编码。</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、和显微镜同品牌彩色高分辨率数码摄像头，具备制冷功能，</w:t>
            </w:r>
            <w:r>
              <w:rPr>
                <w:rFonts w:ascii="仿宋_GB2312" w:hAnsi="仿宋_GB2312" w:cs="仿宋_GB2312" w:eastAsia="仿宋_GB2312"/>
                <w:sz w:val="21"/>
              </w:rPr>
              <w:t>CMOS</w:t>
            </w:r>
            <w:r>
              <w:rPr>
                <w:rFonts w:ascii="仿宋_GB2312" w:hAnsi="仿宋_GB2312" w:cs="仿宋_GB2312" w:eastAsia="仿宋_GB2312"/>
                <w:sz w:val="21"/>
              </w:rPr>
              <w:t>尺寸≥</w:t>
            </w:r>
            <w:r>
              <w:rPr>
                <w:rFonts w:ascii="仿宋_GB2312" w:hAnsi="仿宋_GB2312" w:cs="仿宋_GB2312" w:eastAsia="仿宋_GB2312"/>
                <w:sz w:val="21"/>
              </w:rPr>
              <w:t>1.1</w:t>
            </w:r>
            <w:r>
              <w:rPr>
                <w:rFonts w:ascii="仿宋_GB2312" w:hAnsi="仿宋_GB2312" w:cs="仿宋_GB2312" w:eastAsia="仿宋_GB2312"/>
                <w:sz w:val="21"/>
              </w:rPr>
              <w:t>英寸。</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彩色高分辨率数码摄像头物理像素≥</w:t>
            </w:r>
            <w:r>
              <w:rPr>
                <w:rFonts w:ascii="仿宋_GB2312" w:hAnsi="仿宋_GB2312" w:cs="仿宋_GB2312" w:eastAsia="仿宋_GB2312"/>
                <w:sz w:val="21"/>
              </w:rPr>
              <w:t>2000</w:t>
            </w:r>
            <w:r>
              <w:rPr>
                <w:rFonts w:ascii="仿宋_GB2312" w:hAnsi="仿宋_GB2312" w:cs="仿宋_GB2312" w:eastAsia="仿宋_GB2312"/>
                <w:sz w:val="21"/>
              </w:rPr>
              <w:t>万（非插值微位移）。</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彩色高分辨率数码摄像头曝光时间范围≥</w:t>
            </w:r>
            <w:r>
              <w:rPr>
                <w:rFonts w:ascii="仿宋_GB2312" w:hAnsi="仿宋_GB2312" w:cs="仿宋_GB2312" w:eastAsia="仿宋_GB2312"/>
                <w:sz w:val="21"/>
              </w:rPr>
              <w:t>0.1ms</w:t>
            </w:r>
            <w:r>
              <w:rPr>
                <w:rFonts w:ascii="仿宋_GB2312" w:hAnsi="仿宋_GB2312" w:cs="仿宋_GB2312" w:eastAsia="仿宋_GB2312"/>
                <w:sz w:val="21"/>
              </w:rPr>
              <w:t>～6</w:t>
            </w:r>
            <w:r>
              <w:rPr>
                <w:rFonts w:ascii="仿宋_GB2312" w:hAnsi="仿宋_GB2312" w:cs="仿宋_GB2312" w:eastAsia="仿宋_GB2312"/>
                <w:sz w:val="21"/>
              </w:rPr>
              <w:t>0s</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彩色高分辨率数码摄像头，</w:t>
            </w:r>
            <w:r>
              <w:rPr>
                <w:rFonts w:ascii="仿宋_GB2312" w:hAnsi="仿宋_GB2312" w:cs="仿宋_GB2312" w:eastAsia="仿宋_GB2312"/>
                <w:sz w:val="21"/>
              </w:rPr>
              <w:t>2000</w:t>
            </w:r>
            <w:r>
              <w:rPr>
                <w:rFonts w:ascii="仿宋_GB2312" w:hAnsi="仿宋_GB2312" w:cs="仿宋_GB2312" w:eastAsia="仿宋_GB2312"/>
                <w:sz w:val="21"/>
              </w:rPr>
              <w:t>万物理像素下帧率≥</w:t>
            </w:r>
            <w:r>
              <w:rPr>
                <w:rFonts w:ascii="仿宋_GB2312" w:hAnsi="仿宋_GB2312" w:cs="仿宋_GB2312" w:eastAsia="仿宋_GB2312"/>
                <w:sz w:val="21"/>
              </w:rPr>
              <w:t>30FPS</w:t>
            </w:r>
            <w:r>
              <w:rPr>
                <w:rFonts w:ascii="仿宋_GB2312" w:hAnsi="仿宋_GB2312" w:cs="仿宋_GB2312" w:eastAsia="仿宋_GB2312"/>
                <w:sz w:val="21"/>
              </w:rPr>
              <w:t>快速实时成像，最高帧率≥</w:t>
            </w:r>
            <w:r>
              <w:rPr>
                <w:rFonts w:ascii="仿宋_GB2312" w:hAnsi="仿宋_GB2312" w:cs="仿宋_GB2312" w:eastAsia="仿宋_GB2312"/>
                <w:sz w:val="21"/>
              </w:rPr>
              <w:t>400fps</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rPr>
              <w:t>11、目镜：10x目镜2个，视场数≥23。每个目镜均可单独进行屈光度调整。</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12、控制终端：处理器≥I7，内存≥32G，存储≥500G固态+1T机械，≥27英寸4K显示屏。</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rPr>
              <w:t>13、360°可调检偏器，精度≤0.1°，以观察样品各向异性颜色的变化。</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14、透射起偏0～90°可调。</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rPr>
              <w:t>15、配件：石英试板、云母试板、目镜测微尺、测微台尺。</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1"/>
              </w:rPr>
              <w:t>16、立体显微摄像头：物理像素≥2000万，像素点大小≥2.4μm，CMOS尺寸≥1.0英寸。</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17、</w:t>
            </w:r>
            <w:r>
              <w:rPr>
                <w:rFonts w:ascii="仿宋_GB2312" w:hAnsi="仿宋_GB2312" w:cs="仿宋_GB2312" w:eastAsia="仿宋_GB2312"/>
                <w:sz w:val="21"/>
              </w:rPr>
              <w:t>软件</w:t>
            </w:r>
            <w:r>
              <w:rPr>
                <w:rFonts w:ascii="仿宋_GB2312" w:hAnsi="仿宋_GB2312" w:cs="仿宋_GB2312" w:eastAsia="仿宋_GB2312"/>
                <w:sz w:val="21"/>
              </w:rPr>
              <w:t>:</w:t>
            </w:r>
            <w:r>
              <w:rPr>
                <w:rFonts w:ascii="仿宋_GB2312" w:hAnsi="仿宋_GB2312" w:cs="仿宋_GB2312" w:eastAsia="仿宋_GB2312"/>
                <w:sz w:val="21"/>
                <w:color w:val="000000"/>
              </w:rPr>
              <w:t>原厂专业图像采集分析软件，</w:t>
            </w:r>
            <w:r>
              <w:rPr>
                <w:rFonts w:ascii="仿宋_GB2312" w:hAnsi="仿宋_GB2312" w:cs="仿宋_GB2312" w:eastAsia="仿宋_GB2312"/>
                <w:sz w:val="21"/>
                <w:color w:val="000000"/>
              </w:rPr>
              <w:t>可控制曝光、色温、对比度、增益等，可进行自动白平衡、整体阴影校正。</w:t>
            </w:r>
            <w:r>
              <w:rPr>
                <w:rFonts w:ascii="仿宋_GB2312" w:hAnsi="仿宋_GB2312" w:cs="仿宋_GB2312" w:eastAsia="仿宋_GB2312"/>
                <w:sz w:val="21"/>
                <w:color w:val="000000"/>
              </w:rPr>
              <w:t>软件可自动控制、识别物镜并自动加载对应标尺，并可实现自动景深扩展等图像拍摄功能；可对图像进行二维测量，标注、自动叠加比例尺、图像对比等功能。自动将采集的多视场图像，无缝拼成大幅图像。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自合同签订之日起120天内到货，到货后10天内安装调试并交付使用。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西北大学地质学系指定地点。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货物（进口设备国内供货）：合同生效后，待货物到达指定地点、安装调试验收合格后，一次性付清合同货款；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标准要求：（1）在保修期内，非人为因素造成的质量故障，供应商负责免费维修及更换零部件，终身维护酌情收费。供应商不定期派技术工程师巡访用户，对设备的状况进行了解，对设备的使用和维护提供建议和帮助。软件部分在使用过程中出现问题免费解决。（2）在中国设有统一的售后服务电话，对用户提出的技术及质量问题2小时内答复，如要求现场维修则48小时内到达解决。在保修期内，非人为故障免费负责修理。 （3）在国内具备易损的备件库，缩短了设备备件更换、维修的周期，更好更快的服务。 （4）设备到货后须安排专业的工程师上门安装、调试、培训直至甲方完成掌握设备的使用方法和注意事项。 2.售后服务效率要求：即时响应（包括电话响应）；电话响应无法解决时，48小时内到达现场。修复时间8小时内；如8小时内无法修复，应提供相应解决方案。 3.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4.为顺利推进政府采购电子化交易平台应用工作，供应商需要在线提交所有通过电子化交易平台实施的政府采购项目的响应文件，同时，线下递交密封完好的纸质版响应文件（一正一副），密封封套上标注项目名称和供应商名称。纸质版响应文件递交截止时间：同线上响应文件递交截止时间。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提供自2025年5月1日以来至少一个月已缴纳的社会保障资金的证明（社会保障资金缴存单据或社保机构开具的社会保险参保缴费情况证明等)；依法不需要缴纳社会保障资金的供应商应提供相关证明文件。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tc>
        <w:tc>
          <w:tcPr>
            <w:tcW w:type="dxa" w:w="1661"/>
          </w:tcPr>
          <w:p>
            <w:pPr>
              <w:pStyle w:val="null3"/>
            </w:pPr>
            <w:r>
              <w:rPr>
                <w:rFonts w:ascii="仿宋_GB2312" w:hAnsi="仿宋_GB2312" w:cs="仿宋_GB2312" w:eastAsia="仿宋_GB2312"/>
              </w:rPr>
              <w:t>供应商资格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技术响应偏离表 中小企业声明函 供应商业绩 投标保证金缴纳凭证 投标函 其他材料 残疾人福利性单位声明函 供应商基本信息 标的清单 投标文件封面 供应商企业关联关系说明书 供应商承诺书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招标文件的其他实质性要求，对于其中任意一项条款，投标人如不满足，其响应文件可以被否决</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投标保证金缴纳凭证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三、赋分依据（满分6分） ①产品性能、使用寿命及效果：每完全满足一个评审标准得1分，满分3分；未提供不得分； ②质量保证措施:每完全满足一个评审标准得1分，满分3分；未提供不得分。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27分：1.“★”号技术指标（共2项）有一项不满足即视为无效响应，必须在响应文件中提供技术支持资料（不限于产品彩页或官网截图或第三方检测报告等），并在技术响应偏离表标注对应页码及位置，未提供或所提供材料无法有效证明的将视为不满足本参数要求。2.标注 “▲”(6项，共18分)为重要技术指标，不作为废标项但需提供相关证明材料，不满足每项扣3分。备注：投标人应提供充足的佐证材料（不限于产品彩页或官网截图或第三方检测报告等）予以佐证。投标人自行承担因证明材料不全而被视为技术参数偏离的风险。3.非“▲”项（9项，共9分）技术指标，每负偏离一项扣1分，扣完为止。备注:投标人可以尽可能多的提供佐证材料(不限于产品彩页或官网截图或第三方检测报告等)予以佐证。 加分项12分：在基本分的基础上，响应产品主要技术指标、参数经评标委员会认定优于招标文件规定的相应技术指标、参数，并且有实质性能提升的（提供证明材料），根据响应程度进行相应加分，“★”号技术指标每正偏离一项加3分，最多加6分，“▲”项技术指标每正偏离一项加1分，最多加6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投标人针对本项目提供完整的项目实施方案。内容包含：①供货组织安排、实施计划及进度计划和拟投入本项目的人员信息及分工方案②安装调试验收方案、物力调配及保障措施。 二、评审标准 1、完整性：方案须全面，对评审内容中的各项要求有详细描述； 2、可实施性：切合本项目实际情况，实施步骤清晰、合理； 3、针对性：方案能够紧扣项目实际情况，内容科学合理。 三、赋分依据（满分6分） ①供货组织安排、实施计划及进度计划和拟投入本项目的人员信息及分工方案：每完全满足一个评审标准得1分，满分3分；未提供不得分； ②安装调试验收方案、物力调配及保障措施：每完全满足一个评审标准得1分，满分3分；未提供不得分。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提供投标人2022年11月1日至今同类项目合同，每提供1个计1分，最高得5分。（以合同签订日期为准） 备注：投标文件中提供完整的合同复印件。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根据项目实际需求提供售后服务方案。内容包含：①服务范围及保障措施②应急处理方案及快速响应的服务能力。 二、评审标准 1.完整性：方案须全面，对评审内容中的各项要求有详细描述； 2.可实施性：切合本项目实际情况，提出步骤清晰、合理的方案； 3.针对性：方案能够紧扣项目实际情况，内容科学合理。 三、赋分依据（满分3分） ①服务范围及保障措施：每完全满足一个评审标准得0.5分，满分1.5分；未提供不得分； ②应急处理方案及快速响应的服务能力：每完全满足一个评审标准得0.5分，满分1.5分；未提供不得分。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质保期延长</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根据投标人提供的培训方案和培训计划进行综合评审。 二、评审标准 1、完整性：方案须全面，对评审内容中的各项要求有详细描述； 2、可实施性：切合本项目实际情况，实施步骤清晰、合理； 3、针对性：方案能够紧扣项目实际情况，内容科学合理。 三、赋分依据（满分3分） 培训方案和培训计划：每完全满足一个评审标准得1分，满分3分；未提供不得分。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投标人提供的产品属于《节能产品政府采购品目清单》内产品的，提供有效期内的节能产品证书，每提供1项得1分。（备注：以《中国政府采购网》颁布品目清单为准。）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 且投标价格最低的投标报价为评标基准价，其价格分为满分。其他投标人的价格分统一按照下列公式计算：投标报价得分=(评标基准价／投标报价)×35计算分数时四舍五入取小数点后两位。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详见附件：投标保证金缴纳凭证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