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版本号：LZBA2025-214820251209001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2026年财政大数据技术支撑服务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LZBA2025-2148</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2026年财政大数据技术支撑服务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LZBA2025-2148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2026年财政大数据技术支撑服务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2026年财政大数据技术支撑服务，具体详见磋商文件采购需求。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 财务状况报告：财务状况报告：供应商2024年经审计的财务报告（事业法人可提供部门决算报告）或基本开户银行出具的资信证明或专业担保机构出具的投标担保函，供应商需在项目电子化交易系统中按要求上传相应证明文件</w:t>
      </w:r>
    </w:p>
    <w:p>
      <w:pPr>
        <w:pStyle w:val="null3"/>
      </w:pPr>
      <w:r>
        <w:rPr>
          <w:rFonts w:ascii="仿宋_GB2312" w:hAnsi="仿宋_GB2312" w:cs="仿宋_GB2312" w:eastAsia="仿宋_GB2312"/>
        </w:rPr>
        <w:t>3、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4、具有履行合同所必需的设备和专业技术能力的承诺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 财务状况报告：财务状况报告：供应商2024年经审计的财务报告（事业法人可提供部门决算报告）或基本开户银行出具的资信证明或专业担保机构出具的投标担保函，供应商需在项目电子化交易系统中按要求上传相应证明文件</w:t>
      </w:r>
    </w:p>
    <w:p>
      <w:pPr>
        <w:pStyle w:val="null3"/>
      </w:pPr>
      <w:r>
        <w:rPr>
          <w:rFonts w:ascii="仿宋_GB2312" w:hAnsi="仿宋_GB2312" w:cs="仿宋_GB2312" w:eastAsia="仿宋_GB2312"/>
        </w:rPr>
        <w:t>3、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4、具有履行合同所必需的设备和专业技术能力的承诺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郭老师、申老师、韩老师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029-68936493、029-68936472、029-68936493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王翠翠、刘婧、张波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代理服务费收费标准：1、成交单位在领取成交通知书前，须向采购代理机构支付采购代理服务费。 2、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 3、采购代理服务费以转账或现金形式交纳，服务费缴纳账号如下： 收款单位：龙寰项目管理咨询有限公司 开户行：平安银行西安高新路支行 账号：30201278017920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严格按照《陕西省财政厅网络安全和信息化项目验收管理暂行办法》规定执行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严格按照《陕西省财政厅网络安全和信息化项目验收管理暂行办法》规定执行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联系人：王翠翠、刘婧、张波</w:t>
      </w:r>
    </w:p>
    <w:p>
      <w:pPr>
        <w:pStyle w:val="null3"/>
      </w:pPr>
      <w:r>
        <w:rPr>
          <w:rFonts w:ascii="仿宋_GB2312" w:hAnsi="仿宋_GB2312" w:cs="仿宋_GB2312" w:eastAsia="仿宋_GB2312"/>
        </w:rPr>
        <w:t>联系电话：029-88228899-616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2026年财政大数据技术支撑服务项目，具体详见磋商文件采购需求。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2026年财政大数据技术支撑服务（一）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2026年财政大数据技术支撑服务（二）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标的名称：2026年财政大数据技术支撑服务（一）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shd w:fill="FFFFFF" w:val="clear"/>
              </w:rPr>
              <w:t>2026</w:t>
            </w:r>
            <w:r>
              <w:rPr>
                <w:rFonts w:ascii="仿宋_GB2312" w:hAnsi="仿宋_GB2312" w:cs="仿宋_GB2312" w:eastAsia="仿宋_GB2312"/>
                <w:sz w:val="21"/>
                <w:color w:val="000000"/>
                <w:shd w:fill="FFFFFF" w:val="clear"/>
              </w:rPr>
              <w:t>年财政大数据技术支撑服务</w:t>
            </w:r>
            <w:r>
              <w:rPr>
                <w:rFonts w:ascii="仿宋_GB2312" w:hAnsi="仿宋_GB2312" w:cs="仿宋_GB2312" w:eastAsia="仿宋_GB2312"/>
                <w:sz w:val="21"/>
                <w:color w:val="000000"/>
                <w:shd w:fill="FFFFFF" w:val="clear"/>
              </w:rPr>
              <w:t>（一）</w:t>
            </w:r>
            <w:r>
              <w:rPr>
                <w:rFonts w:ascii="仿宋_GB2312" w:hAnsi="仿宋_GB2312" w:cs="仿宋_GB2312" w:eastAsia="仿宋_GB2312"/>
                <w:sz w:val="20"/>
                <w:b/>
                <w:color w:val="000000"/>
              </w:rPr>
              <w:t>采购需求</w:t>
            </w:r>
          </w:p>
          <w:p>
            <w:pPr>
              <w:pStyle w:val="null3"/>
              <w:ind w:firstLine="400"/>
            </w:pPr>
            <w:r>
              <w:rPr>
                <w:rFonts w:ascii="仿宋_GB2312" w:hAnsi="仿宋_GB2312" w:cs="仿宋_GB2312" w:eastAsia="仿宋_GB2312"/>
                <w:sz w:val="20"/>
                <w:color w:val="000000"/>
              </w:rPr>
              <w:t>一、项目概述</w:t>
            </w:r>
          </w:p>
          <w:p>
            <w:pPr>
              <w:pStyle w:val="null3"/>
              <w:ind w:firstLine="400"/>
            </w:pPr>
            <w:r>
              <w:rPr>
                <w:rFonts w:ascii="仿宋_GB2312" w:hAnsi="仿宋_GB2312" w:cs="仿宋_GB2312" w:eastAsia="仿宋_GB2312"/>
                <w:sz w:val="20"/>
                <w:color w:val="000000"/>
              </w:rPr>
              <w:t>（一）服务依据</w:t>
            </w:r>
          </w:p>
          <w:p>
            <w:pPr>
              <w:pStyle w:val="null3"/>
              <w:ind w:firstLine="402"/>
            </w:pPr>
            <w:r>
              <w:rPr>
                <w:rFonts w:ascii="仿宋_GB2312" w:hAnsi="仿宋_GB2312" w:cs="仿宋_GB2312" w:eastAsia="仿宋_GB2312"/>
                <w:sz w:val="20"/>
                <w:b/>
                <w:color w:val="000000"/>
              </w:rPr>
              <w:t>1.党中央、国务院的相关文件：</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1）《促进大数据发展行动纲要》(国发〔2015〕50号)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2）《国务院办公厅关于运用大数据加强对市场主体服务和监管的若干意见》(国办发〔2015〕51号)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3）《国务院关于加快推进“互联网＋政务服务”工作的指导意见》(国发〔2016〕55号)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4）《国务院办公厅关于印发国家政务信息化项目建设管理办法的通知》(国办发〔2019〕57号)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5）《“十四五”推进国家政务信息化规划》（发改高技〔2021〕1898号）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6）《国务院关于加强数字政府建设的指导意见》（国发〔2022〕14号）</w:t>
            </w:r>
          </w:p>
          <w:p>
            <w:pPr>
              <w:pStyle w:val="null3"/>
              <w:ind w:firstLine="402"/>
            </w:pPr>
            <w:r>
              <w:rPr>
                <w:rFonts w:ascii="仿宋_GB2312" w:hAnsi="仿宋_GB2312" w:cs="仿宋_GB2312" w:eastAsia="仿宋_GB2312"/>
                <w:sz w:val="20"/>
                <w:b/>
                <w:color w:val="000000"/>
              </w:rPr>
              <w:t>2.省委、省政府、国家部委的相关文件：</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1）《陕西省国民经济和社会发展第十四个五年规划和二〇三五年远景目标纲要》（陕政发〔2021〕3号）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2）《陕西省数字政府建设“十四五”规划》（陕政办发〔2021〕27号）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3）《陕西省“十四五”数字经济发展规划》（陕政办发〔2022〕12号）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4）《关于推进财政大数据应用的实施意见》（财办〔2019]31号）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5）《财政信息化三年重点工作规划》（财办〔2019〕34号）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6）《关于加强数据资产管理的指导意见》（财资〔2023〕141号）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7）《财政部关于深入推进地方预算管理一体化建设的通知》财办〔2024〕28号</w:t>
            </w:r>
          </w:p>
          <w:p>
            <w:pPr>
              <w:pStyle w:val="null3"/>
              <w:ind w:firstLine="402"/>
            </w:pPr>
            <w:r>
              <w:rPr>
                <w:rFonts w:ascii="仿宋_GB2312" w:hAnsi="仿宋_GB2312" w:cs="仿宋_GB2312" w:eastAsia="仿宋_GB2312"/>
                <w:sz w:val="20"/>
                <w:b/>
                <w:color w:val="000000"/>
              </w:rPr>
              <w:t>3.本部门、本行业的相关文件：</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1）《财政业务专网网络安全接入规范》（财信办［2015］2号）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2）《财政网络安全总体工作方案》（财信办［2016］12号）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3）《统一纵向层级间交换实施方案》（财信办［2016］13号）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4）《统一基础数据规范实施方案》（财信办［2016］14号）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5）《财政网络安全总体工作方案》（财信办［2016］12号）</w:t>
            </w:r>
          </w:p>
          <w:p>
            <w:pPr>
              <w:pStyle w:val="null3"/>
              <w:ind w:firstLine="400"/>
            </w:pPr>
            <w:r>
              <w:rPr>
                <w:rFonts w:ascii="仿宋_GB2312" w:hAnsi="仿宋_GB2312" w:cs="仿宋_GB2312" w:eastAsia="仿宋_GB2312"/>
                <w:sz w:val="20"/>
                <w:color w:val="000000"/>
              </w:rPr>
              <w:t>（</w:t>
            </w:r>
            <w:r>
              <w:rPr>
                <w:rFonts w:ascii="仿宋_GB2312" w:hAnsi="仿宋_GB2312" w:cs="仿宋_GB2312" w:eastAsia="仿宋_GB2312"/>
                <w:sz w:val="20"/>
                <w:color w:val="000000"/>
              </w:rPr>
              <w:t>6）《财政信息化标准规范体系》（财信办［2016］21号）</w:t>
            </w:r>
          </w:p>
          <w:p>
            <w:pPr>
              <w:pStyle w:val="null3"/>
              <w:ind w:firstLine="400"/>
            </w:pPr>
            <w:r>
              <w:rPr>
                <w:rFonts w:ascii="仿宋_GB2312" w:hAnsi="仿宋_GB2312" w:cs="仿宋_GB2312" w:eastAsia="仿宋_GB2312"/>
                <w:sz w:val="20"/>
                <w:color w:val="000000"/>
              </w:rPr>
              <w:t>（二）建设必要性</w:t>
            </w:r>
          </w:p>
          <w:p>
            <w:pPr>
              <w:pStyle w:val="null3"/>
              <w:ind w:firstLine="402"/>
            </w:pPr>
            <w:r>
              <w:rPr>
                <w:rFonts w:ascii="仿宋_GB2312" w:hAnsi="仿宋_GB2312" w:cs="仿宋_GB2312" w:eastAsia="仿宋_GB2312"/>
                <w:sz w:val="20"/>
                <w:b/>
                <w:color w:val="000000"/>
              </w:rPr>
              <w:t>1.陕西省数字政府建设对本项目实施的要求</w:t>
            </w:r>
          </w:p>
          <w:p>
            <w:pPr>
              <w:pStyle w:val="null3"/>
              <w:ind w:firstLine="400"/>
            </w:pPr>
            <w:r>
              <w:rPr>
                <w:rFonts w:ascii="仿宋_GB2312" w:hAnsi="仿宋_GB2312" w:cs="仿宋_GB2312" w:eastAsia="仿宋_GB2312"/>
                <w:sz w:val="20"/>
                <w:color w:val="000000"/>
              </w:rPr>
              <w:t>陕西省积极响应国家数字政府建设的号召，致力于打造一个高效、便捷、智慧的政务服务环境。在陕西省的数字政府建设中，财政大数据技术的支撑作用至关重要。本项目通过购买服务，将进一步完善陕西省财政信息化体系，推动财政数据的共享、交换和应用，提高财政管理的科学化、精细化水平，为数字政府建设提供有力的技术支撑。这与《陕西省数字政府建设</w:t>
            </w:r>
            <w:r>
              <w:rPr>
                <w:rFonts w:ascii="仿宋_GB2312" w:hAnsi="仿宋_GB2312" w:cs="仿宋_GB2312" w:eastAsia="仿宋_GB2312"/>
                <w:sz w:val="20"/>
                <w:color w:val="000000"/>
              </w:rPr>
              <w:t>“十四五”规划》（陕政办发〔2021〕27号）等文件的精神和要求高度契合。</w:t>
            </w:r>
          </w:p>
          <w:p>
            <w:pPr>
              <w:pStyle w:val="null3"/>
              <w:ind w:firstLine="402"/>
            </w:pPr>
            <w:r>
              <w:rPr>
                <w:rFonts w:ascii="仿宋_GB2312" w:hAnsi="仿宋_GB2312" w:cs="仿宋_GB2312" w:eastAsia="仿宋_GB2312"/>
                <w:sz w:val="20"/>
                <w:b/>
                <w:color w:val="000000"/>
              </w:rPr>
              <w:t>2.依法履职对本项目实施的需要</w:t>
            </w:r>
          </w:p>
          <w:p>
            <w:pPr>
              <w:pStyle w:val="null3"/>
              <w:ind w:firstLine="400"/>
            </w:pPr>
            <w:r>
              <w:rPr>
                <w:rFonts w:ascii="仿宋_GB2312" w:hAnsi="仿宋_GB2312" w:cs="仿宋_GB2312" w:eastAsia="仿宋_GB2312"/>
                <w:sz w:val="20"/>
                <w:color w:val="000000"/>
              </w:rPr>
              <w:t>在财政管理工作中，确保各项财政政策的精准落地和财政资金的安全有效使用，是依法履职的重要内容。然而，传统的财政管理方式已经难以满足当前复杂多变的财政工作需要。因此，实施本项目，利用大数据技术对财政数据进行采集，将为政府部门提供更加全面、准确、及时的财政信息，减少人工干预和错误率，提高财政工作的效率和准确性，有助于政府部门更好地依法履职，提高财政管理的透明度和公信力。</w:t>
            </w:r>
          </w:p>
          <w:p>
            <w:pPr>
              <w:pStyle w:val="null3"/>
              <w:ind w:firstLine="402"/>
            </w:pPr>
            <w:r>
              <w:rPr>
                <w:rFonts w:ascii="仿宋_GB2312" w:hAnsi="仿宋_GB2312" w:cs="仿宋_GB2312" w:eastAsia="仿宋_GB2312"/>
                <w:sz w:val="20"/>
                <w:b/>
                <w:color w:val="000000"/>
              </w:rPr>
              <w:t>3.技术发展对本项目实施的要求</w:t>
            </w:r>
          </w:p>
          <w:p>
            <w:pPr>
              <w:pStyle w:val="null3"/>
              <w:ind w:firstLine="400"/>
            </w:pPr>
            <w:r>
              <w:rPr>
                <w:rFonts w:ascii="仿宋_GB2312" w:hAnsi="仿宋_GB2312" w:cs="仿宋_GB2312" w:eastAsia="仿宋_GB2312"/>
                <w:sz w:val="20"/>
                <w:color w:val="000000"/>
              </w:rPr>
              <w:t>随着信息技术的飞速发展，大数据技术已经成为推动各行各业转型升级的重要力量。在财政领域，大数据技术的应用将极大提升财政数据的管理和应用水平。本项目通过购买服务，引入先进的大数据技术和工具，对财政数据进行全面梳理和整合，将有助于实现财政数据的共享和交换，提高数据的利用价值和安全性。同时，本项目还将推动财政信息技术的不断创新和发展，为未来的财政工作提供更加坚实的技术支撑。</w:t>
            </w:r>
          </w:p>
          <w:p>
            <w:pPr>
              <w:pStyle w:val="null3"/>
              <w:ind w:firstLine="402"/>
            </w:pPr>
            <w:r>
              <w:rPr>
                <w:rFonts w:ascii="仿宋_GB2312" w:hAnsi="仿宋_GB2312" w:cs="仿宋_GB2312" w:eastAsia="仿宋_GB2312"/>
                <w:sz w:val="20"/>
                <w:b/>
                <w:color w:val="000000"/>
              </w:rPr>
              <w:t>4.若不实施本项目所带来的负面效应</w:t>
            </w:r>
          </w:p>
          <w:p>
            <w:pPr>
              <w:pStyle w:val="null3"/>
              <w:ind w:firstLine="400"/>
            </w:pPr>
            <w:r>
              <w:rPr>
                <w:rFonts w:ascii="仿宋_GB2312" w:hAnsi="仿宋_GB2312" w:cs="仿宋_GB2312" w:eastAsia="仿宋_GB2312"/>
                <w:sz w:val="20"/>
                <w:color w:val="000000"/>
              </w:rPr>
              <w:t>若本项目不实施，将带来一系列负面效应。首先，可能导致导出、回流财政数据的准确性、完整性和时效性受到严重影响。其次，影响财政数据工作的效率，政府部门依法履职的能力将受到制约。因此，实施本项目是必要且紧迫的。</w:t>
            </w:r>
          </w:p>
          <w:p>
            <w:pPr>
              <w:pStyle w:val="null3"/>
              <w:ind w:firstLine="402"/>
            </w:pPr>
            <w:r>
              <w:rPr>
                <w:rFonts w:ascii="仿宋_GB2312" w:hAnsi="仿宋_GB2312" w:cs="仿宋_GB2312" w:eastAsia="仿宋_GB2312"/>
                <w:sz w:val="20"/>
                <w:b/>
                <w:color w:val="000000"/>
              </w:rPr>
              <w:t>（三）建设目标</w:t>
            </w:r>
          </w:p>
          <w:p>
            <w:pPr>
              <w:pStyle w:val="null3"/>
              <w:ind w:firstLine="400"/>
            </w:pPr>
            <w:r>
              <w:rPr>
                <w:rFonts w:ascii="仿宋_GB2312" w:hAnsi="仿宋_GB2312" w:cs="仿宋_GB2312" w:eastAsia="仿宋_GB2312"/>
                <w:sz w:val="20"/>
                <w:color w:val="000000"/>
              </w:rPr>
              <w:t>目前我省财政云预算管理一体化系统业务繁杂，涵盖预算编制、执行监控、财务核算、绩效评估等多个关键业务环节，业务数据量庞大且数据存储较为分散。通过本项目协助大数据处进行数据采集与管理工作，可以实现以下目标：对外提供财政数据服务；接收并处理财政部下发的数据、附件及进行日常维护；对数据库进行日常维护及备份管理；提供数据加工处理服务以及业务培训服务。通过本项目，将保障大数据处日常工作的顺畅运行，提升财政数据采集架构的处理效率，缩短数据更新周期，降低人工操作成本，并有效提升跨部门数据共享的工作效率，为财政部门及相关单位提供更加高效、便捷的业务支持。</w:t>
            </w:r>
          </w:p>
          <w:p>
            <w:pPr>
              <w:pStyle w:val="null3"/>
              <w:ind w:firstLine="402"/>
            </w:pPr>
            <w:r>
              <w:rPr>
                <w:rFonts w:ascii="仿宋_GB2312" w:hAnsi="仿宋_GB2312" w:cs="仿宋_GB2312" w:eastAsia="仿宋_GB2312"/>
                <w:sz w:val="20"/>
                <w:b/>
                <w:color w:val="000000"/>
              </w:rPr>
              <w:t>二、服务需求</w:t>
            </w:r>
          </w:p>
          <w:p>
            <w:pPr>
              <w:pStyle w:val="null3"/>
              <w:ind w:firstLine="402"/>
            </w:pPr>
            <w:r>
              <w:rPr>
                <w:rFonts w:ascii="仿宋_GB2312" w:hAnsi="仿宋_GB2312" w:cs="仿宋_GB2312" w:eastAsia="仿宋_GB2312"/>
                <w:sz w:val="20"/>
                <w:b/>
                <w:color w:val="000000"/>
              </w:rPr>
              <w:t>（一）财政部下发数据接收与日常维护服务</w:t>
            </w:r>
          </w:p>
          <w:p>
            <w:pPr>
              <w:pStyle w:val="null3"/>
              <w:ind w:firstLine="400"/>
            </w:pPr>
            <w:r>
              <w:rPr>
                <w:rFonts w:ascii="仿宋_GB2312" w:hAnsi="仿宋_GB2312" w:cs="仿宋_GB2312" w:eastAsia="仿宋_GB2312"/>
                <w:sz w:val="20"/>
                <w:color w:val="000000"/>
              </w:rPr>
              <w:t>接收财政部下发的各类财政数据及其附件，并进行日常维护管理。通过</w:t>
            </w:r>
            <w:r>
              <w:rPr>
                <w:rFonts w:ascii="仿宋_GB2312" w:hAnsi="仿宋_GB2312" w:cs="仿宋_GB2312" w:eastAsia="仿宋_GB2312"/>
                <w:sz w:val="20"/>
                <w:color w:val="000000"/>
              </w:rPr>
              <w:t>ETL工具等工具，将中央转移支付数据从陕西财政地方前置库导入汇总库，接收的数据内容涵盖预算管理一体化系统的业务数据、数据表、数据附件等关键信息。</w:t>
            </w:r>
          </w:p>
          <w:p>
            <w:pPr>
              <w:pStyle w:val="null3"/>
              <w:ind w:firstLine="402"/>
            </w:pPr>
            <w:r>
              <w:rPr>
                <w:rFonts w:ascii="仿宋_GB2312" w:hAnsi="仿宋_GB2312" w:cs="仿宋_GB2312" w:eastAsia="仿宋_GB2312"/>
                <w:sz w:val="20"/>
                <w:b/>
                <w:color w:val="000000"/>
              </w:rPr>
              <w:t>（二）财政数据提取及提供服务</w:t>
            </w:r>
          </w:p>
          <w:p>
            <w:pPr>
              <w:pStyle w:val="null3"/>
              <w:spacing w:before="60" w:after="60"/>
              <w:ind w:firstLine="400"/>
            </w:pPr>
            <w:r>
              <w:rPr>
                <w:rFonts w:ascii="仿宋_GB2312" w:hAnsi="仿宋_GB2312" w:cs="仿宋_GB2312" w:eastAsia="仿宋_GB2312"/>
                <w:sz w:val="20"/>
                <w:color w:val="000000"/>
              </w:rPr>
              <w:t>根据业务需求，向外部单位及地市区县财政部门提供预算管理一体化系统数据，以满足各部门对财政数据的使用需求。根据地市区县财政部门的数据需求，处理数据备份、回流等相关问题。根据处室具体需求，提供预算管理一体化系统的数据提取与统计工作。具体工作包括：一是将下级财政区划库的预算管理一体化系统业务表回流，并对回流后的数据库进行管理和维护；二是向省人大、省审计厅、审计署西安特派办等部门提供所需数据；三是采集数据库原始表文件，并将其加工转换为标准表文件等；四是开展财政数据治理，为财政数据应用打好基础。</w:t>
            </w:r>
          </w:p>
          <w:p>
            <w:pPr>
              <w:pStyle w:val="null3"/>
              <w:spacing w:before="60" w:after="60"/>
              <w:ind w:firstLine="402"/>
            </w:pPr>
            <w:r>
              <w:rPr>
                <w:rFonts w:ascii="仿宋_GB2312" w:hAnsi="仿宋_GB2312" w:cs="仿宋_GB2312" w:eastAsia="仿宋_GB2312"/>
                <w:sz w:val="20"/>
                <w:b/>
                <w:color w:val="000000"/>
              </w:rPr>
              <w:t>（三）数据库日常维护及备份管理</w:t>
            </w:r>
          </w:p>
          <w:p>
            <w:pPr>
              <w:pStyle w:val="null3"/>
              <w:spacing w:before="60" w:after="60"/>
              <w:ind w:firstLine="400"/>
            </w:pPr>
            <w:r>
              <w:rPr>
                <w:rFonts w:ascii="仿宋_GB2312" w:hAnsi="仿宋_GB2312" w:cs="仿宋_GB2312" w:eastAsia="仿宋_GB2312"/>
                <w:sz w:val="20"/>
                <w:color w:val="000000"/>
              </w:rPr>
              <w:t>协助安装和部署</w:t>
            </w:r>
            <w:r>
              <w:rPr>
                <w:rFonts w:ascii="仿宋_GB2312" w:hAnsi="仿宋_GB2312" w:cs="仿宋_GB2312" w:eastAsia="仿宋_GB2312"/>
                <w:sz w:val="20"/>
                <w:color w:val="000000"/>
              </w:rPr>
              <w:t>postgres数据库；例行巡检数据库及备份运行情况；协助及时定位并处理数据库故障；协助升级postgres数据库；协助优化数据库性能；postgres数据库技术支撑；确保数据安全与稳定。</w:t>
            </w:r>
          </w:p>
          <w:p>
            <w:pPr>
              <w:pStyle w:val="null3"/>
              <w:spacing w:before="15" w:after="15"/>
              <w:ind w:firstLine="402"/>
              <w:jc w:val="both"/>
            </w:pPr>
            <w:r>
              <w:rPr>
                <w:rFonts w:ascii="仿宋_GB2312" w:hAnsi="仿宋_GB2312" w:cs="仿宋_GB2312" w:eastAsia="仿宋_GB2312"/>
                <w:sz w:val="20"/>
                <w:b/>
                <w:color w:val="000000"/>
              </w:rPr>
              <w:t>（四）数据质量上报服务</w:t>
            </w:r>
          </w:p>
          <w:p>
            <w:pPr>
              <w:pStyle w:val="null3"/>
              <w:spacing w:before="60" w:after="60"/>
              <w:ind w:firstLine="400"/>
            </w:pPr>
            <w:r>
              <w:rPr>
                <w:rFonts w:ascii="仿宋_GB2312" w:hAnsi="仿宋_GB2312" w:cs="仿宋_GB2312" w:eastAsia="仿宋_GB2312"/>
                <w:sz w:val="20"/>
                <w:color w:val="000000"/>
              </w:rPr>
              <w:t>实现数据的定时抽取与标准比对，完善数据同步管理流程，保障数据数据上报自动化、规范化；建立不同格式数据库之间相互转化的能力，统一数据资源池格式。</w:t>
            </w:r>
          </w:p>
          <w:p>
            <w:pPr>
              <w:pStyle w:val="null3"/>
              <w:spacing w:before="60" w:after="60"/>
              <w:ind w:firstLine="402"/>
            </w:pPr>
            <w:r>
              <w:rPr>
                <w:rFonts w:ascii="仿宋_GB2312" w:hAnsi="仿宋_GB2312" w:cs="仿宋_GB2312" w:eastAsia="仿宋_GB2312"/>
                <w:sz w:val="20"/>
                <w:b/>
                <w:color w:val="000000"/>
              </w:rPr>
              <w:t>（五）业务培训服务</w:t>
            </w:r>
          </w:p>
          <w:p>
            <w:pPr>
              <w:pStyle w:val="null3"/>
              <w:spacing w:before="60" w:after="60"/>
              <w:ind w:firstLine="400"/>
            </w:pPr>
            <w:r>
              <w:rPr>
                <w:rFonts w:ascii="仿宋_GB2312" w:hAnsi="仿宋_GB2312" w:cs="仿宋_GB2312" w:eastAsia="仿宋_GB2312"/>
                <w:sz w:val="20"/>
                <w:color w:val="000000"/>
              </w:rPr>
              <w:t>对大数据业务人员进行预算管理一体化系统业务流程和业务系统操作培训。</w:t>
            </w:r>
          </w:p>
          <w:p>
            <w:pPr>
              <w:pStyle w:val="null3"/>
              <w:spacing w:before="60" w:after="60"/>
              <w:ind w:firstLine="400"/>
            </w:pPr>
            <w:r>
              <w:rPr>
                <w:rFonts w:ascii="仿宋_GB2312" w:hAnsi="仿宋_GB2312" w:cs="仿宋_GB2312" w:eastAsia="仿宋_GB2312"/>
                <w:sz w:val="20"/>
                <w:color w:val="000000"/>
              </w:rPr>
              <w:t>2026年财政大数据技术支撑服务（一）项目，除需完成上述需求外，还需完成因业务变化和需要产生的其他需求。</w:t>
            </w:r>
          </w:p>
          <w:p>
            <w:pPr>
              <w:pStyle w:val="null3"/>
              <w:spacing w:before="60" w:after="60"/>
              <w:ind w:firstLine="400"/>
            </w:pPr>
            <w:r>
              <w:rPr>
                <w:rFonts w:ascii="仿宋_GB2312" w:hAnsi="仿宋_GB2312" w:cs="仿宋_GB2312" w:eastAsia="仿宋_GB2312"/>
                <w:sz w:val="20"/>
                <w:b/>
                <w:color w:val="000000"/>
              </w:rPr>
              <w:t>三、项目绩效</w:t>
            </w:r>
          </w:p>
          <w:p>
            <w:pPr>
              <w:pStyle w:val="null3"/>
              <w:jc w:val="center"/>
            </w:pPr>
            <w:r>
              <w:rPr>
                <w:rFonts w:ascii="仿宋_GB2312" w:hAnsi="仿宋_GB2312" w:cs="仿宋_GB2312" w:eastAsia="仿宋_GB2312"/>
                <w:sz w:val="20"/>
                <w:color w:val="000000"/>
              </w:rPr>
              <w:t>总体</w:t>
            </w:r>
            <w:r>
              <w:rPr>
                <w:rFonts w:ascii="仿宋_GB2312" w:hAnsi="仿宋_GB2312" w:cs="仿宋_GB2312" w:eastAsia="仿宋_GB2312"/>
                <w:sz w:val="20"/>
                <w:color w:val="000000"/>
              </w:rPr>
              <w:t>/分年度绩效目标表</w:t>
            </w:r>
          </w:p>
          <w:tbl>
            <w:tblPr>
              <w:tblInd w:type="dxa" w:w="210"/>
              <w:tblBorders>
                <w:top w:val="none" w:color="000000" w:sz="4"/>
                <w:left w:val="none" w:color="000000" w:sz="4"/>
                <w:bottom w:val="none" w:color="000000" w:sz="4"/>
                <w:right w:val="none" w:color="000000" w:sz="4"/>
                <w:insideH w:val="none"/>
                <w:insideV w:val="none"/>
              </w:tblBorders>
            </w:tblPr>
            <w:tblGrid>
              <w:gridCol w:w="343"/>
              <w:gridCol w:w="317"/>
              <w:gridCol w:w="291"/>
              <w:gridCol w:w="951"/>
              <w:gridCol w:w="322"/>
              <w:gridCol w:w="317"/>
            </w:tblGrid>
            <w:tr>
              <w:tc>
                <w:tcPr>
                  <w:tcW w:type="dxa" w:w="66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1881"/>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2026年财政大数据技术支撑服务（一）</w:t>
                  </w:r>
                </w:p>
              </w:tc>
            </w:tr>
            <w:tr>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主管部门</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陕西省财政厅</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实施期限</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一年</w:t>
                  </w:r>
                </w:p>
              </w:tc>
              <w:tc>
                <w:tcPr>
                  <w:tcW w:type="dxa" w:w="31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执行率分值</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10分）</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资金</w:t>
                  </w:r>
                </w:p>
                <w:p>
                  <w:pPr>
                    <w:pStyle w:val="null3"/>
                    <w:jc w:val="center"/>
                  </w:pPr>
                  <w:r>
                    <w:rPr>
                      <w:rFonts w:ascii="仿宋_GB2312" w:hAnsi="仿宋_GB2312" w:cs="仿宋_GB2312" w:eastAsia="仿宋_GB2312"/>
                      <w:sz w:val="20"/>
                      <w:color w:val="000000"/>
                    </w:rPr>
                    <w:t>金额</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实施期资金总额：</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年度资金总额：</w:t>
                  </w:r>
                </w:p>
              </w:tc>
              <w:tc>
                <w:tcPr>
                  <w:tcW w:type="dxa" w:w="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7"/>
                  <w:vMerge/>
                  <w:tcBorders>
                    <w:top w:val="single" w:color="000000" w:sz="4"/>
                    <w:left w:val="none" w:color="000000" w:sz="4"/>
                    <w:bottom w:val="single" w:color="000000" w:sz="4"/>
                    <w:right w:val="single" w:color="000000" w:sz="4"/>
                  </w:tcBorders>
                </w:tcPr>
                <w:p/>
              </w:tc>
            </w:tr>
            <w:tr>
              <w:tc>
                <w:tcPr>
                  <w:tcW w:type="dxa" w:w="34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（万元）</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其中：财政拨款</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其中：财政拨款</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7"/>
                  <w:vMerge/>
                  <w:tcBorders>
                    <w:top w:val="single" w:color="000000" w:sz="4"/>
                    <w:left w:val="none" w:color="000000" w:sz="4"/>
                    <w:bottom w:val="single" w:color="000000" w:sz="4"/>
                    <w:right w:val="single" w:color="000000" w:sz="4"/>
                  </w:tcBorders>
                </w:tc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p>
                  <w:pPr>
                    <w:pStyle w:val="null3"/>
                    <w:jc w:val="center"/>
                  </w:pPr>
                  <w:r>
                    <w:rPr>
                      <w:rFonts w:ascii="仿宋_GB2312" w:hAnsi="仿宋_GB2312" w:cs="仿宋_GB2312" w:eastAsia="仿宋_GB2312"/>
                      <w:sz w:val="20"/>
                      <w:color w:val="000000"/>
                    </w:rPr>
                    <w:t>资金</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其他资金</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7"/>
                  <w:vMerge/>
                  <w:tcBorders>
                    <w:top w:val="single" w:color="000000" w:sz="4"/>
                    <w:left w:val="none" w:color="000000" w:sz="4"/>
                    <w:bottom w:val="single" w:color="000000" w:sz="4"/>
                    <w:right w:val="single" w:color="000000" w:sz="4"/>
                  </w:tcBorders>
                </w:tcPr>
                <w:p/>
              </w:tc>
            </w:tr>
            <w:tr>
              <w:tc>
                <w:tcPr>
                  <w:tcW w:type="dxa" w:w="34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w:t>
                  </w:r>
                </w:p>
                <w:p>
                  <w:pPr>
                    <w:pStyle w:val="null3"/>
                    <w:jc w:val="center"/>
                  </w:pPr>
                  <w:r>
                    <w:rPr>
                      <w:rFonts w:ascii="仿宋_GB2312" w:hAnsi="仿宋_GB2312" w:cs="仿宋_GB2312" w:eastAsia="仿宋_GB2312"/>
                      <w:sz w:val="20"/>
                      <w:color w:val="000000"/>
                    </w:rPr>
                    <w:t>体</w:t>
                  </w:r>
                </w:p>
                <w:p>
                  <w:pPr>
                    <w:pStyle w:val="null3"/>
                    <w:jc w:val="center"/>
                  </w:pPr>
                  <w:r>
                    <w:rPr>
                      <w:rFonts w:ascii="仿宋_GB2312" w:hAnsi="仿宋_GB2312" w:cs="仿宋_GB2312" w:eastAsia="仿宋_GB2312"/>
                      <w:sz w:val="20"/>
                      <w:color w:val="000000"/>
                    </w:rPr>
                    <w:t>目</w:t>
                  </w:r>
                </w:p>
                <w:p>
                  <w:pPr>
                    <w:pStyle w:val="null3"/>
                    <w:jc w:val="center"/>
                  </w:pPr>
                  <w:r>
                    <w:rPr>
                      <w:rFonts w:ascii="仿宋_GB2312" w:hAnsi="仿宋_GB2312" w:cs="仿宋_GB2312" w:eastAsia="仿宋_GB2312"/>
                      <w:sz w:val="20"/>
                      <w:color w:val="000000"/>
                    </w:rPr>
                    <w:t>标</w:t>
                  </w:r>
                </w:p>
              </w:tc>
              <w:tc>
                <w:tcPr>
                  <w:tcW w:type="dxa" w:w="155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实施期总目标</w:t>
                  </w:r>
                </w:p>
              </w:tc>
              <w:tc>
                <w:tcPr>
                  <w:tcW w:type="dxa" w:w="6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年度总目标</w:t>
                  </w:r>
                </w:p>
              </w:tc>
            </w:tr>
            <w:tr>
              <w:tc>
                <w:tcPr>
                  <w:tcW w:type="dxa" w:w="343"/>
                  <w:vMerge/>
                  <w:tcBorders>
                    <w:top w:val="none" w:color="000000" w:sz="4"/>
                    <w:left w:val="single" w:color="000000" w:sz="4"/>
                    <w:bottom w:val="none" w:color="000000" w:sz="4"/>
                    <w:right w:val="single" w:color="000000" w:sz="4"/>
                  </w:tcBorders>
                </w:tcPr>
                <w:p/>
              </w:tc>
              <w:tc>
                <w:tcPr>
                  <w:tcW w:type="dxa" w:w="1559"/>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color w:val="000000"/>
                    </w:rPr>
                    <w:t>通过提供大数据技术支撑，配合业务需求完成数据库维护、数据处理、数据提供、技术支持等工作，保证大数据处日常工作顺利运转，进一步提升财政管理的精细化、智能化水平。</w:t>
                  </w:r>
                </w:p>
              </w:tc>
              <w:tc>
                <w:tcPr>
                  <w:tcW w:type="dxa" w:w="63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通过提供大数据技术支撑，配合业务需求完成数据库维护、数据处理、数据提供等工作，保证项目年度内大数据处日常工作顺利运转，进一步提升财政管理的精细化、智能化水平。</w:t>
                  </w:r>
                </w:p>
              </w:tc>
            </w:tr>
            <w:tr>
              <w:tc>
                <w:tcPr>
                  <w:tcW w:type="dxa" w:w="34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年度绩效目标</w:t>
                  </w:r>
                </w:p>
              </w:tc>
              <w:tc>
                <w:tcPr>
                  <w:tcW w:type="dxa" w:w="3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一级</w:t>
                  </w:r>
                </w:p>
                <w:p>
                  <w:pPr>
                    <w:pStyle w:val="null3"/>
                    <w:jc w:val="center"/>
                  </w:pPr>
                  <w:r>
                    <w:rPr>
                      <w:rFonts w:ascii="仿宋_GB2312" w:hAnsi="仿宋_GB2312" w:cs="仿宋_GB2312" w:eastAsia="仿宋_GB2312"/>
                      <w:sz w:val="20"/>
                      <w:color w:val="000000"/>
                    </w:rPr>
                    <w:t>目标</w:t>
                  </w:r>
                </w:p>
              </w:tc>
              <w:tc>
                <w:tcPr>
                  <w:tcW w:type="dxa" w:w="2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w:t>
                  </w:r>
                </w:p>
                <w:p>
                  <w:pPr>
                    <w:pStyle w:val="null3"/>
                    <w:jc w:val="center"/>
                  </w:pPr>
                  <w:r>
                    <w:rPr>
                      <w:rFonts w:ascii="仿宋_GB2312" w:hAnsi="仿宋_GB2312" w:cs="仿宋_GB2312" w:eastAsia="仿宋_GB2312"/>
                      <w:sz w:val="20"/>
                      <w:color w:val="000000"/>
                    </w:rPr>
                    <w:t>目标</w:t>
                  </w:r>
                </w:p>
              </w:tc>
              <w:tc>
                <w:tcPr>
                  <w:tcW w:type="dxa" w:w="95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三级指标</w:t>
                  </w:r>
                </w:p>
              </w:tc>
              <w:tc>
                <w:tcPr>
                  <w:tcW w:type="dxa" w:w="3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指标值</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分值</w:t>
                  </w:r>
                </w:p>
                <w:p>
                  <w:pPr>
                    <w:pStyle w:val="null3"/>
                    <w:jc w:val="center"/>
                  </w:pPr>
                  <w:r>
                    <w:rPr>
                      <w:rFonts w:ascii="仿宋_GB2312" w:hAnsi="仿宋_GB2312" w:cs="仿宋_GB2312" w:eastAsia="仿宋_GB2312"/>
                      <w:sz w:val="20"/>
                      <w:color w:val="000000"/>
                    </w:rPr>
                    <w:t>权重</w:t>
                  </w:r>
                </w:p>
              </w:tc>
            </w:tr>
            <w:tr>
              <w:tc>
                <w:tcPr>
                  <w:tcW w:type="dxa" w:w="343"/>
                  <w:vMerge/>
                  <w:tcBorders>
                    <w:top w:val="none" w:color="000000" w:sz="4"/>
                    <w:left w:val="single" w:color="000000" w:sz="4"/>
                    <w:bottom w:val="non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vMerge/>
                  <w:tcBorders>
                    <w:top w:val="none" w:color="000000" w:sz="4"/>
                    <w:left w:val="none" w:color="000000" w:sz="4"/>
                    <w:bottom w:val="single" w:color="000000" w:sz="4"/>
                    <w:right w:val="single" w:color="000000" w:sz="4"/>
                  </w:tcBorders>
                </w:tcPr>
                <w:p/>
              </w:tc>
              <w:tc>
                <w:tcPr>
                  <w:tcW w:type="dxa" w:w="951"/>
                  <w:vMerge/>
                  <w:tcBorders>
                    <w:top w:val="single" w:color="000000" w:sz="4"/>
                    <w:left w:val="none" w:color="000000" w:sz="4"/>
                    <w:bottom w:val="single" w:color="000000" w:sz="4"/>
                    <w:right w:val="single" w:color="000000" w:sz="4"/>
                  </w:tcBorders>
                </w:tcPr>
                <w:p/>
              </w:tc>
              <w:tc>
                <w:tcPr>
                  <w:tcW w:type="dxa" w:w="322"/>
                  <w:vMerge/>
                  <w:tcBorders>
                    <w:top w:val="single" w:color="000000" w:sz="4"/>
                    <w:left w:val="none" w:color="000000" w:sz="4"/>
                    <w:bottom w:val="single" w:color="000000" w:sz="4"/>
                    <w:right w:val="single" w:color="000000" w:sz="4"/>
                  </w:tcBorders>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90分）</w:t>
                  </w:r>
                </w:p>
              </w:tc>
            </w:tr>
            <w:tr>
              <w:tc>
                <w:tcPr>
                  <w:tcW w:type="dxa" w:w="3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年度绩效目标</w:t>
                  </w:r>
                </w:p>
              </w:tc>
              <w:tc>
                <w:tcPr>
                  <w:tcW w:type="dxa" w:w="3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产出</w:t>
                  </w:r>
                </w:p>
                <w:p>
                  <w:pPr>
                    <w:pStyle w:val="null3"/>
                    <w:jc w:val="center"/>
                  </w:pPr>
                  <w:r>
                    <w:rPr>
                      <w:rFonts w:ascii="仿宋_GB2312" w:hAnsi="仿宋_GB2312" w:cs="仿宋_GB2312" w:eastAsia="仿宋_GB2312"/>
                      <w:sz w:val="20"/>
                      <w:color w:val="000000"/>
                    </w:rPr>
                    <w:t>指标</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p>
                  <w:pPr>
                    <w:pStyle w:val="null3"/>
                    <w:jc w:val="center"/>
                  </w:pPr>
                  <w:r>
                    <w:rPr>
                      <w:rFonts w:ascii="仿宋_GB2312" w:hAnsi="仿宋_GB2312" w:cs="仿宋_GB2312" w:eastAsia="仿宋_GB2312"/>
                      <w:sz w:val="20"/>
                      <w:color w:val="000000"/>
                    </w:rPr>
                    <w:t>指标</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数据回流财政区划范围（个）</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数据质量管理工具（个）</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质量</w:t>
                  </w:r>
                </w:p>
                <w:p>
                  <w:pPr>
                    <w:pStyle w:val="null3"/>
                    <w:jc w:val="center"/>
                  </w:pPr>
                  <w:r>
                    <w:rPr>
                      <w:rFonts w:ascii="仿宋_GB2312" w:hAnsi="仿宋_GB2312" w:cs="仿宋_GB2312" w:eastAsia="仿宋_GB2312"/>
                      <w:sz w:val="20"/>
                      <w:color w:val="000000"/>
                    </w:rPr>
                    <w:t>指标</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系统验收合格率（</w:t>
                  </w:r>
                  <w:r>
                    <w:rPr>
                      <w:rFonts w:ascii="仿宋_GB2312" w:hAnsi="仿宋_GB2312" w:cs="仿宋_GB2312" w:eastAsia="仿宋_GB2312"/>
                      <w:sz w:val="20"/>
                      <w:color w:val="000000"/>
                    </w:rPr>
                    <w:t>%）</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时效</w:t>
                  </w:r>
                </w:p>
                <w:p>
                  <w:pPr>
                    <w:pStyle w:val="null3"/>
                    <w:jc w:val="center"/>
                  </w:pPr>
                  <w:r>
                    <w:rPr>
                      <w:rFonts w:ascii="仿宋_GB2312" w:hAnsi="仿宋_GB2312" w:cs="仿宋_GB2312" w:eastAsia="仿宋_GB2312"/>
                      <w:sz w:val="20"/>
                      <w:color w:val="000000"/>
                    </w:rPr>
                    <w:t>指标</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系统故障率（</w:t>
                  </w:r>
                  <w:r>
                    <w:rPr>
                      <w:rFonts w:ascii="仿宋_GB2312" w:hAnsi="仿宋_GB2312" w:cs="仿宋_GB2312" w:eastAsia="仿宋_GB2312"/>
                      <w:sz w:val="20"/>
                      <w:color w:val="000000"/>
                    </w:rPr>
                    <w:t>%）</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≤0.01%</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标准日常运维服务（小时）</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重点响应服务（小时）</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7×24</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到达现场时间（小时）</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服务响应评估时间（小时）</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17"/>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成本</w:t>
                  </w:r>
                </w:p>
                <w:p>
                  <w:pPr>
                    <w:pStyle w:val="null3"/>
                    <w:jc w:val="center"/>
                  </w:pPr>
                  <w:r>
                    <w:rPr>
                      <w:rFonts w:ascii="仿宋_GB2312" w:hAnsi="仿宋_GB2312" w:cs="仿宋_GB2312" w:eastAsia="仿宋_GB2312"/>
                      <w:sz w:val="20"/>
                      <w:color w:val="000000"/>
                    </w:rPr>
                    <w:t>指标</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服务采购成本（万元）</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50</w:t>
                  </w:r>
                </w:p>
              </w:tc>
              <w:tc>
                <w:tcPr>
                  <w:tcW w:type="dxa" w:w="3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vMerge/>
                  <w:tcBorders>
                    <w:top w:val="none" w:color="000000" w:sz="4"/>
                    <w:left w:val="none" w:color="000000" w:sz="4"/>
                    <w:bottom w:val="single" w:color="000000" w:sz="4"/>
                    <w:right w:val="single" w:color="000000" w:sz="4"/>
                  </w:tcBorders>
                </w:tcP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年度维护成本增长率（</w:t>
                  </w:r>
                  <w:r>
                    <w:rPr>
                      <w:rFonts w:ascii="仿宋_GB2312" w:hAnsi="仿宋_GB2312" w:cs="仿宋_GB2312" w:eastAsia="仿宋_GB2312"/>
                      <w:sz w:val="20"/>
                      <w:color w:val="000000"/>
                    </w:rPr>
                    <w:t>%）</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17"/>
                  <w:vMerge/>
                  <w:tcBorders>
                    <w:top w:val="none" w:color="000000" w:sz="4"/>
                    <w:left w:val="none" w:color="000000" w:sz="4"/>
                    <w:bottom w:val="single" w:color="000000" w:sz="4"/>
                    <w:right w:val="single" w:color="000000" w:sz="4"/>
                  </w:tcBorders>
                </w:tcPr>
                <w:p/>
              </w:tc>
            </w:tr>
            <w:tr>
              <w:tc>
                <w:tcPr>
                  <w:tcW w:type="dxa" w:w="343"/>
                  <w:vMerge/>
                  <w:tcBorders>
                    <w:top w:val="none" w:color="000000" w:sz="4"/>
                    <w:left w:val="single" w:color="000000" w:sz="4"/>
                    <w:bottom w:val="single" w:color="000000" w:sz="4"/>
                    <w:right w:val="single" w:color="000000" w:sz="4"/>
                  </w:tcBorders>
                </w:tcPr>
                <w:p/>
              </w:tc>
              <w:tc>
                <w:tcPr>
                  <w:tcW w:type="dxa" w:w="31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效益</w:t>
                  </w:r>
                </w:p>
                <w:p>
                  <w:pPr>
                    <w:pStyle w:val="null3"/>
                    <w:jc w:val="center"/>
                  </w:pPr>
                  <w:r>
                    <w:rPr>
                      <w:rFonts w:ascii="仿宋_GB2312" w:hAnsi="仿宋_GB2312" w:cs="仿宋_GB2312" w:eastAsia="仿宋_GB2312"/>
                      <w:sz w:val="20"/>
                      <w:color w:val="000000"/>
                    </w:rPr>
                    <w:t>指标</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经济效益指标</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数据处理效率提升（</w:t>
                  </w:r>
                  <w:r>
                    <w:rPr>
                      <w:rFonts w:ascii="仿宋_GB2312" w:hAnsi="仿宋_GB2312" w:cs="仿宋_GB2312" w:eastAsia="仿宋_GB2312"/>
                      <w:sz w:val="20"/>
                      <w:color w:val="000000"/>
                    </w:rPr>
                    <w:t>%）</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vMerge/>
                  <w:tcBorders>
                    <w:top w:val="none" w:color="000000" w:sz="4"/>
                    <w:left w:val="single" w:color="000000" w:sz="4"/>
                    <w:bottom w:val="single" w:color="000000" w:sz="4"/>
                    <w:right w:val="single" w:color="000000" w:sz="4"/>
                  </w:tcBorders>
                </w:tcPr>
                <w:p/>
              </w:tc>
              <w:tc>
                <w:tcPr>
                  <w:tcW w:type="dxa" w:w="317"/>
                  <w:vMerge/>
                  <w:tcBorders>
                    <w:top w:val="none" w:color="000000" w:sz="4"/>
                    <w:left w:val="none" w:color="000000" w:sz="4"/>
                    <w:bottom w:val="single" w:color="000000" w:sz="4"/>
                    <w:right w:val="single" w:color="000000" w:sz="4"/>
                  </w:tcBorders>
                </w:tcP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工期</w:t>
                  </w:r>
                </w:p>
                <w:p>
                  <w:pPr>
                    <w:pStyle w:val="null3"/>
                    <w:jc w:val="center"/>
                  </w:pPr>
                  <w:r>
                    <w:rPr>
                      <w:rFonts w:ascii="仿宋_GB2312" w:hAnsi="仿宋_GB2312" w:cs="仿宋_GB2312" w:eastAsia="仿宋_GB2312"/>
                      <w:sz w:val="20"/>
                      <w:color w:val="000000"/>
                    </w:rPr>
                    <w:t>指标</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超期（年）</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≤1月</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满意度</w:t>
                  </w:r>
                </w:p>
                <w:p>
                  <w:pPr>
                    <w:pStyle w:val="null3"/>
                    <w:jc w:val="center"/>
                  </w:pPr>
                  <w:r>
                    <w:rPr>
                      <w:rFonts w:ascii="仿宋_GB2312" w:hAnsi="仿宋_GB2312" w:cs="仿宋_GB2312" w:eastAsia="仿宋_GB2312"/>
                      <w:sz w:val="20"/>
                      <w:color w:val="000000"/>
                    </w:rPr>
                    <w:t>指标</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服务对象满意度指标</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使用人员满意度（</w:t>
                  </w:r>
                  <w:r>
                    <w:rPr>
                      <w:rFonts w:ascii="仿宋_GB2312" w:hAnsi="仿宋_GB2312" w:cs="仿宋_GB2312" w:eastAsia="仿宋_GB2312"/>
                      <w:sz w:val="20"/>
                      <w:color w:val="000000"/>
                    </w:rPr>
                    <w:t>%）</w:t>
                  </w:r>
                </w:p>
              </w:tc>
              <w:tc>
                <w:tcPr>
                  <w:tcW w:type="dxa" w:w="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标的名称：2026年财政大数据技术支撑服务（二）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pPr>
            <w:r>
              <w:rPr>
                <w:rFonts w:ascii="仿宋_GB2312" w:hAnsi="仿宋_GB2312" w:cs="仿宋_GB2312" w:eastAsia="仿宋_GB2312"/>
                <w:sz w:val="20"/>
                <w:b/>
                <w:color w:val="000000"/>
              </w:rPr>
              <w:t>2026年财政大数据技术支撑服务</w:t>
            </w:r>
            <w:r>
              <w:rPr>
                <w:rFonts w:ascii="仿宋_GB2312" w:hAnsi="仿宋_GB2312" w:cs="仿宋_GB2312" w:eastAsia="仿宋_GB2312"/>
                <w:sz w:val="21"/>
                <w:color w:val="000000"/>
              </w:rPr>
              <w:t>（二）</w:t>
            </w:r>
          </w:p>
          <w:p>
            <w:pPr>
              <w:pStyle w:val="null3"/>
              <w:spacing w:before="60" w:after="60"/>
              <w:ind w:firstLine="402"/>
            </w:pPr>
            <w:r>
              <w:rPr>
                <w:rFonts w:ascii="仿宋_GB2312" w:hAnsi="仿宋_GB2312" w:cs="仿宋_GB2312" w:eastAsia="仿宋_GB2312"/>
                <w:sz w:val="20"/>
                <w:b/>
                <w:color w:val="000000"/>
              </w:rPr>
              <w:t>一、项目概况</w:t>
            </w:r>
          </w:p>
          <w:p>
            <w:pPr>
              <w:pStyle w:val="null3"/>
              <w:spacing w:before="60" w:after="60"/>
              <w:ind w:firstLine="402"/>
            </w:pPr>
            <w:r>
              <w:rPr>
                <w:rFonts w:ascii="仿宋_GB2312" w:hAnsi="仿宋_GB2312" w:cs="仿宋_GB2312" w:eastAsia="仿宋_GB2312"/>
                <w:sz w:val="20"/>
                <w:b/>
                <w:color w:val="000000"/>
              </w:rPr>
              <w:t>（一）服务背景</w:t>
            </w:r>
          </w:p>
          <w:p>
            <w:pPr>
              <w:pStyle w:val="null3"/>
              <w:ind w:firstLine="400"/>
            </w:pPr>
            <w:r>
              <w:rPr>
                <w:rFonts w:ascii="仿宋_GB2312" w:hAnsi="仿宋_GB2312" w:cs="仿宋_GB2312" w:eastAsia="仿宋_GB2312"/>
                <w:sz w:val="20"/>
                <w:color w:val="000000"/>
              </w:rPr>
              <w:t>数字经济推动数字化转型，数据要素成为核心生产要素，财政数据作为其中重要构成，在国家治理、财政数字化转型和高质量发展中肩负重任。预算管理一体化改革深入推进，统筹管理和应用财政数据、释放数据价值、支撑科学决策，成为财政信息化发展的必然要求。</w:t>
            </w:r>
          </w:p>
          <w:p>
            <w:pPr>
              <w:pStyle w:val="null3"/>
              <w:ind w:firstLine="400"/>
            </w:pPr>
            <w:r>
              <w:rPr>
                <w:rFonts w:ascii="仿宋_GB2312" w:hAnsi="仿宋_GB2312" w:cs="仿宋_GB2312" w:eastAsia="仿宋_GB2312"/>
                <w:sz w:val="20"/>
                <w:color w:val="000000"/>
              </w:rPr>
              <w:t>陕西省财政厅数据治理服务可解决财政数据分散、标准不统一、跨年度查询难度大、利用率低等问题，通过汇聚治理共享与分析利用，打造财政辅助决策体系，实现财政资金精准投入。这契合数据要素时代趋势和财政高质量发展要求，通过专业数据治理服务，将推动财政管理向精准主动服务转变，释放财政数据要素价值，支撑财政决策科学化、管理精细化。</w:t>
            </w:r>
          </w:p>
          <w:p>
            <w:pPr>
              <w:pStyle w:val="null3"/>
              <w:spacing w:before="60" w:after="60"/>
              <w:ind w:firstLine="402"/>
            </w:pPr>
            <w:r>
              <w:rPr>
                <w:rFonts w:ascii="仿宋_GB2312" w:hAnsi="仿宋_GB2312" w:cs="仿宋_GB2312" w:eastAsia="仿宋_GB2312"/>
                <w:sz w:val="20"/>
                <w:b/>
                <w:color w:val="000000"/>
              </w:rPr>
              <w:t>（二）服务必要性</w:t>
            </w:r>
          </w:p>
          <w:p>
            <w:pPr>
              <w:pStyle w:val="null3"/>
              <w:ind w:firstLine="400"/>
            </w:pPr>
            <w:r>
              <w:rPr>
                <w:rFonts w:ascii="仿宋_GB2312" w:hAnsi="仿宋_GB2312" w:cs="仿宋_GB2312" w:eastAsia="仿宋_GB2312"/>
                <w:sz w:val="20"/>
                <w:color w:val="000000"/>
              </w:rPr>
              <w:t>一是夯实财政工作根基，保障数据质量合规。财政数据覆盖预算编制、资金拨付、收支管理等全流程，治理可解决数据重复采集、口径不一、错误遗漏等问题，减轻生产系统运行压力，确保数据真实、准确、完整、一致，为统一管理、快速查询、分析、预警等提供可靠数据支撑。</w:t>
            </w:r>
          </w:p>
          <w:p>
            <w:pPr>
              <w:pStyle w:val="null3"/>
              <w:ind w:firstLine="400"/>
            </w:pPr>
            <w:r>
              <w:rPr>
                <w:rFonts w:ascii="仿宋_GB2312" w:hAnsi="仿宋_GB2312" w:cs="仿宋_GB2312" w:eastAsia="仿宋_GB2312"/>
                <w:sz w:val="20"/>
                <w:color w:val="000000"/>
              </w:rPr>
              <w:t>二是提升财政治理效能，赋能科学决策。通过数据标准化、整合共享，实现数据高效流转和复用。挖掘数据背后的特点收支规律、风险隐患、政策效应等信息，为预算优化、资金统筹、政策调整提供数据驱动的决策依据，推动财政治理从经验判断向精准施策转变。</w:t>
            </w:r>
          </w:p>
          <w:p>
            <w:pPr>
              <w:pStyle w:val="null3"/>
              <w:ind w:firstLine="400"/>
            </w:pPr>
            <w:r>
              <w:rPr>
                <w:rFonts w:ascii="仿宋_GB2312" w:hAnsi="仿宋_GB2312" w:cs="仿宋_GB2312" w:eastAsia="仿宋_GB2312"/>
                <w:sz w:val="20"/>
                <w:color w:val="000000"/>
              </w:rPr>
              <w:t>三是防范财政运行风险，筑牢安全防线。聚焦关键领域，通过数据治理建立风险预警机制。及时识别风险点，提前采取防控措施，保障财政运行安全稳定。优化政务服务体验，推动协同共治。规范财政数据对外共享标准，支撑与税务、发改、人社等部门的数据互通，提升财政服务便捷度，同时为跨部门协同监管提供数据保障。</w:t>
            </w:r>
          </w:p>
          <w:p>
            <w:pPr>
              <w:pStyle w:val="null3"/>
              <w:ind w:firstLine="400"/>
            </w:pPr>
            <w:r>
              <w:rPr>
                <w:rFonts w:ascii="仿宋_GB2312" w:hAnsi="仿宋_GB2312" w:cs="仿宋_GB2312" w:eastAsia="仿宋_GB2312"/>
                <w:sz w:val="20"/>
                <w:color w:val="000000"/>
              </w:rPr>
              <w:t>四是顺应数字化转型趋势，强化财政履职能力。数字化转型背景下，数据已成为财政工作的核心生产要素，治理是激活数据价值的关键环节、是数智化的基础所在。通过构建规范、高效、安全的数据治理体系，推动财政工作从传统模式向数字化、数智化转型，提升财政部门履职能力和公共服务水平，更好服务经济社会高质量发展。</w:t>
            </w:r>
          </w:p>
          <w:p>
            <w:pPr>
              <w:pStyle w:val="null3"/>
              <w:spacing w:before="60" w:after="60"/>
              <w:ind w:firstLine="402"/>
            </w:pPr>
            <w:r>
              <w:rPr>
                <w:rFonts w:ascii="仿宋_GB2312" w:hAnsi="仿宋_GB2312" w:cs="仿宋_GB2312" w:eastAsia="仿宋_GB2312"/>
                <w:sz w:val="20"/>
                <w:b/>
                <w:color w:val="000000"/>
              </w:rPr>
              <w:t>（三）服务目标</w:t>
            </w:r>
          </w:p>
          <w:p>
            <w:pPr>
              <w:pStyle w:val="null3"/>
              <w:ind w:firstLine="400"/>
            </w:pPr>
            <w:r>
              <w:rPr>
                <w:rFonts w:ascii="仿宋_GB2312" w:hAnsi="仿宋_GB2312" w:cs="仿宋_GB2312" w:eastAsia="仿宋_GB2312"/>
                <w:sz w:val="20"/>
                <w:color w:val="000000"/>
              </w:rPr>
              <w:t>为深度挖掘财政数据价值，实现财政数据统一集中管理、常态化治理和多种业务场景应用，形成数据汇集、存储、治理、分析的全面能力，本次服务的目标是为陕西省财政厅构建数据治理体系，形成陕西财政数据标准体系，整合数据资源并进行数据治理。完成近</w:t>
            </w:r>
            <w:r>
              <w:rPr>
                <w:rFonts w:ascii="仿宋_GB2312" w:hAnsi="仿宋_GB2312" w:cs="仿宋_GB2312" w:eastAsia="仿宋_GB2312"/>
                <w:sz w:val="20"/>
                <w:color w:val="000000"/>
              </w:rPr>
              <w:t>5年预算管理一体化、非税、惠民“一卡通”、采购等系统数据和增量数据的系统梳理、数据采集、清洗转换、加工治理等，治理完成后，治理好的数据可快速方便查询，并进行可视化展示。</w:t>
            </w:r>
          </w:p>
          <w:p>
            <w:pPr>
              <w:pStyle w:val="null3"/>
              <w:spacing w:before="60" w:after="60"/>
              <w:ind w:firstLine="402"/>
            </w:pPr>
            <w:r>
              <w:rPr>
                <w:rFonts w:ascii="仿宋_GB2312" w:hAnsi="仿宋_GB2312" w:cs="仿宋_GB2312" w:eastAsia="仿宋_GB2312"/>
                <w:sz w:val="20"/>
                <w:b/>
                <w:color w:val="000000"/>
              </w:rPr>
              <w:t>二、服务需求</w:t>
            </w:r>
          </w:p>
          <w:p>
            <w:pPr>
              <w:pStyle w:val="null3"/>
              <w:spacing w:before="60" w:after="60"/>
              <w:ind w:firstLine="402"/>
            </w:pPr>
            <w:r>
              <w:rPr>
                <w:rFonts w:ascii="仿宋_GB2312" w:hAnsi="仿宋_GB2312" w:cs="仿宋_GB2312" w:eastAsia="仿宋_GB2312"/>
                <w:sz w:val="20"/>
                <w:b/>
                <w:color w:val="000000"/>
              </w:rPr>
              <w:t>（一）数据治理规划咨询服务</w:t>
            </w:r>
          </w:p>
          <w:p>
            <w:pPr>
              <w:pStyle w:val="null3"/>
              <w:ind w:firstLine="400"/>
            </w:pPr>
            <w:r>
              <w:rPr>
                <w:rFonts w:ascii="仿宋_GB2312" w:hAnsi="仿宋_GB2312" w:cs="仿宋_GB2312" w:eastAsia="仿宋_GB2312"/>
                <w:sz w:val="20"/>
                <w:color w:val="000000"/>
              </w:rPr>
              <w:t>结合财政部预算管理一体化技术标准，设计财政数据全流程治理方案，明确各阶段服务内容、责任分工、时间节点。方案需包含数据架构规划、技术路线选择等内容，制定《陕西省预算管理一体化数据治理实施方案》。</w:t>
            </w:r>
          </w:p>
          <w:p>
            <w:pPr>
              <w:pStyle w:val="null3"/>
              <w:spacing w:before="60" w:after="60"/>
              <w:ind w:firstLine="402"/>
            </w:pPr>
            <w:r>
              <w:rPr>
                <w:rFonts w:ascii="仿宋_GB2312" w:hAnsi="仿宋_GB2312" w:cs="仿宋_GB2312" w:eastAsia="仿宋_GB2312"/>
                <w:sz w:val="20"/>
                <w:b/>
                <w:color w:val="000000"/>
              </w:rPr>
              <w:t>（二）数据架构规划服务</w:t>
            </w:r>
          </w:p>
          <w:p>
            <w:pPr>
              <w:pStyle w:val="null3"/>
              <w:ind w:firstLine="400"/>
            </w:pPr>
            <w:r>
              <w:rPr>
                <w:rFonts w:ascii="仿宋_GB2312" w:hAnsi="仿宋_GB2312" w:cs="仿宋_GB2312" w:eastAsia="仿宋_GB2312"/>
                <w:sz w:val="20"/>
                <w:color w:val="000000"/>
              </w:rPr>
              <w:t>按照陕西省财政数据分类分级标准和《财政数据资源目录》，结合陕西财政已有的其它数据管理平台和工具，对财政数据进行架构设计。按照优先级建议，规划数据治理范围，对近</w:t>
            </w:r>
            <w:r>
              <w:rPr>
                <w:rFonts w:ascii="仿宋_GB2312" w:hAnsi="仿宋_GB2312" w:cs="仿宋_GB2312" w:eastAsia="仿宋_GB2312"/>
                <w:sz w:val="20"/>
                <w:color w:val="000000"/>
              </w:rPr>
              <w:t>5年的预算管理一体化、非税、惠民“一卡通”、采购等系统数据进行统一的盘点、梳理、迁移、验证和管理，同时对未来持续产生的增量数据建立常态化治理机制，确保数据完整性、可用性，支持后续业务应用。数据业务梳理及架构规划：盘点数据系统的基本信息、数据量、数据库表信息、数据字典、主键、索引、字段、码表等。</w:t>
            </w:r>
          </w:p>
          <w:p>
            <w:pPr>
              <w:pStyle w:val="null3"/>
              <w:spacing w:before="60" w:after="60"/>
              <w:ind w:firstLine="402"/>
            </w:pPr>
            <w:r>
              <w:rPr>
                <w:rFonts w:ascii="仿宋_GB2312" w:hAnsi="仿宋_GB2312" w:cs="仿宋_GB2312" w:eastAsia="仿宋_GB2312"/>
                <w:sz w:val="20"/>
                <w:b/>
                <w:color w:val="000000"/>
              </w:rPr>
              <w:t>（三）数据标准服务</w:t>
            </w:r>
          </w:p>
          <w:p>
            <w:pPr>
              <w:pStyle w:val="null3"/>
              <w:ind w:firstLine="400"/>
            </w:pPr>
            <w:r>
              <w:rPr>
                <w:rFonts w:ascii="仿宋_GB2312" w:hAnsi="仿宋_GB2312" w:cs="仿宋_GB2312" w:eastAsia="仿宋_GB2312"/>
                <w:sz w:val="20"/>
                <w:color w:val="000000"/>
              </w:rPr>
              <w:t>梳理陕西财政相关数据规范性文件清单，作为财政数据治理的依据和规范。结合财政部标准和陕西财政实际情况，建立陕西财政数据标准，服务期间如遇到财政部数据标准变化等情况，进行动态调整。提供数据标准服务过程中，结合已有的陕西省财政厅数据标准平台，对治理过程中的数据进行核查比对工作，做好数据标准管理。提供数据质量服务，参考陕西省数据标准，对各类数据质量问题进行检查、监控、报告、问题反馈和处理等工作，定期进行数据质量检查，保障数据质量。设计数据质量稽核规则，构建财政数据质检模型。及时检测、发现、解决数据问题，自动生成财政数据质量检核报告，保障数据质量稳定可靠。</w:t>
            </w:r>
          </w:p>
          <w:p>
            <w:pPr>
              <w:pStyle w:val="null3"/>
              <w:spacing w:before="60" w:after="60"/>
              <w:ind w:firstLine="402"/>
            </w:pPr>
            <w:r>
              <w:rPr>
                <w:rFonts w:ascii="仿宋_GB2312" w:hAnsi="仿宋_GB2312" w:cs="仿宋_GB2312" w:eastAsia="仿宋_GB2312"/>
                <w:sz w:val="20"/>
                <w:b/>
                <w:color w:val="000000"/>
              </w:rPr>
              <w:t>（四）数据安全服务</w:t>
            </w:r>
          </w:p>
          <w:p>
            <w:pPr>
              <w:pStyle w:val="null3"/>
              <w:ind w:firstLine="400"/>
            </w:pPr>
            <w:r>
              <w:rPr>
                <w:rFonts w:ascii="仿宋_GB2312" w:hAnsi="仿宋_GB2312" w:cs="仿宋_GB2312" w:eastAsia="仿宋_GB2312"/>
                <w:sz w:val="20"/>
                <w:color w:val="000000"/>
              </w:rPr>
              <w:t>严格遵循各项数据安全要求，在服务过程中，保障数据存储、传输、管理、使用安全。提供数据安全服务过程中，结合陕西省财政数据分类分级工作和已有的陕西省财政厅数据分类分级管理系统，做好数据安全管理。提供财政数据脱敏服务。设置敏感数据识别规则、脱敏策略，支持可视化配置敏感数据扫描任务。在数据共享交换的场景，达到数据脱敏的效果，保证财政数据安全共享。</w:t>
            </w:r>
          </w:p>
          <w:p>
            <w:pPr>
              <w:pStyle w:val="null3"/>
              <w:spacing w:before="60" w:after="60"/>
              <w:ind w:firstLine="402"/>
            </w:pPr>
            <w:r>
              <w:rPr>
                <w:rFonts w:ascii="仿宋_GB2312" w:hAnsi="仿宋_GB2312" w:cs="仿宋_GB2312" w:eastAsia="仿宋_GB2312"/>
                <w:sz w:val="20"/>
                <w:b/>
                <w:color w:val="000000"/>
              </w:rPr>
              <w:t>（五）数据梳理与归集服务</w:t>
            </w:r>
          </w:p>
          <w:p>
            <w:pPr>
              <w:pStyle w:val="null3"/>
              <w:ind w:firstLine="400"/>
            </w:pPr>
            <w:r>
              <w:rPr>
                <w:rFonts w:ascii="仿宋_GB2312" w:hAnsi="仿宋_GB2312" w:cs="仿宋_GB2312" w:eastAsia="仿宋_GB2312"/>
                <w:sz w:val="20"/>
                <w:color w:val="000000"/>
              </w:rPr>
              <w:t>对近</w:t>
            </w:r>
            <w:r>
              <w:rPr>
                <w:rFonts w:ascii="仿宋_GB2312" w:hAnsi="仿宋_GB2312" w:cs="仿宋_GB2312" w:eastAsia="仿宋_GB2312"/>
                <w:sz w:val="20"/>
                <w:color w:val="000000"/>
              </w:rPr>
              <w:t>5年预算管理一体化、非税、惠民“一卡通”、采购等系统数据源进行全量排查，识别无效数据、重复数据等冗余信息，对数据进行归集，提出数据治理优先级建议。提供多方式数据归集服务，需满足常用的国产、非国产数据库、数据源接入，支持Excel和非结构化等数据源接入，支持可视化配置查看数据源连接信息。依据财政部对预算管理一体化系统及其它系统技术标准的最新要求和陕西标准，搭建数据治理框架，对归集的数据进行治理。提供元数据采集服务，支持可视化配置采集任务、范围等内容，通过元数据管理实现对数据对象的管理。通过可视化工具对数据进行清洗转换，以解决数据中的拼写错误、缺失值、格式不一致等问题。满足不同系统之间数据共享的需要，采用申请和审核的方式，通过数据资源接口提供数据交换服务。提供数据地图服务，基于底层数据之间的关联关系和血缘关系，绘制数据之间的脉络关系图，支持从系统，数据库，表间关系和字段级关系的数据的下钻，关联和详细信息的展示。数据治理全程可视化，便于数据溯源。</w:t>
            </w:r>
          </w:p>
          <w:p>
            <w:pPr>
              <w:pStyle w:val="null3"/>
              <w:spacing w:before="60" w:after="60"/>
              <w:ind w:firstLine="402"/>
            </w:pPr>
            <w:r>
              <w:rPr>
                <w:rFonts w:ascii="仿宋_GB2312" w:hAnsi="仿宋_GB2312" w:cs="仿宋_GB2312" w:eastAsia="仿宋_GB2312"/>
                <w:sz w:val="20"/>
                <w:b/>
                <w:color w:val="000000"/>
              </w:rPr>
              <w:t>（六）数据应用服务</w:t>
            </w:r>
          </w:p>
          <w:p>
            <w:pPr>
              <w:pStyle w:val="null3"/>
              <w:ind w:firstLine="400"/>
            </w:pPr>
            <w:r>
              <w:rPr>
                <w:rFonts w:ascii="仿宋_GB2312" w:hAnsi="仿宋_GB2312" w:cs="仿宋_GB2312" w:eastAsia="仿宋_GB2312"/>
                <w:sz w:val="20"/>
                <w:color w:val="000000"/>
              </w:rPr>
              <w:t>提供业务报表查询服务，对于治理的财政数据形成多维度查询服务。查询服务界面按照时间点和业务类型划分，不同时间点下面参照财政部预算管理一体化标准划分不同功能模块，如基础信息、项目库、预算执行等。不同模块下提供对应的历史数据报表查询服务，支持数据的穿透式查询。</w:t>
            </w:r>
          </w:p>
          <w:p>
            <w:pPr>
              <w:pStyle w:val="null3"/>
              <w:ind w:firstLine="400"/>
            </w:pPr>
            <w:r>
              <w:rPr>
                <w:rFonts w:ascii="仿宋_GB2312" w:hAnsi="仿宋_GB2312" w:cs="仿宋_GB2312" w:eastAsia="仿宋_GB2312"/>
                <w:sz w:val="20"/>
                <w:color w:val="000000"/>
              </w:rPr>
              <w:t>提供财政数据快速检索服务，提供财政数据检索入口，支持对数据报表、电子凭证、政策文件、经济指标、发文等检索服务，快速检索到对应的业务数据。</w:t>
            </w:r>
          </w:p>
          <w:p>
            <w:pPr>
              <w:pStyle w:val="null3"/>
              <w:ind w:firstLine="400"/>
            </w:pPr>
            <w:r>
              <w:rPr>
                <w:rFonts w:ascii="仿宋_GB2312" w:hAnsi="仿宋_GB2312" w:cs="仿宋_GB2312" w:eastAsia="仿宋_GB2312"/>
                <w:sz w:val="20"/>
                <w:color w:val="000000"/>
              </w:rPr>
              <w:t>提供数据自定义查询服务，基于数据源或者数据模型，通过拖拽完成属性列、数值列和表头分层的设置。支持数据与可视化组件的组合设计，支持在线预览。支持浏览器中通过简单拖拽指标维度等操作就能进行各种报表的制作。</w:t>
            </w:r>
          </w:p>
          <w:p>
            <w:pPr>
              <w:pStyle w:val="null3"/>
              <w:ind w:firstLine="400"/>
            </w:pPr>
            <w:r>
              <w:rPr>
                <w:rFonts w:ascii="仿宋_GB2312" w:hAnsi="仿宋_GB2312" w:cs="仿宋_GB2312" w:eastAsia="仿宋_GB2312"/>
                <w:sz w:val="20"/>
                <w:color w:val="000000"/>
              </w:rPr>
              <w:t>数据查询提供用户授权管理服务。采用统一身份认证方式，权限的管理应该包括数据权限和操作权限等，根据业务功能需求提供灵活的授权机制，实现人员管理、认证管理、授权管理、审计管理以及门户展现。</w:t>
            </w:r>
          </w:p>
          <w:p>
            <w:pPr>
              <w:pStyle w:val="null3"/>
              <w:ind w:firstLine="400"/>
            </w:pPr>
            <w:r>
              <w:rPr>
                <w:rFonts w:ascii="仿宋_GB2312" w:hAnsi="仿宋_GB2312" w:cs="仿宋_GB2312" w:eastAsia="仿宋_GB2312"/>
                <w:sz w:val="20"/>
                <w:color w:val="000000"/>
              </w:rPr>
              <w:t>2026年财政大数据技术支撑服务（二）项目，除需完成上述需求外，还需完成因业务变化和需要产生的其他需求。</w:t>
            </w:r>
          </w:p>
          <w:p>
            <w:pPr>
              <w:pStyle w:val="null3"/>
              <w:spacing w:before="60" w:after="60"/>
              <w:ind w:firstLine="402"/>
            </w:pPr>
            <w:r>
              <w:rPr>
                <w:rFonts w:ascii="仿宋_GB2312" w:hAnsi="仿宋_GB2312" w:cs="仿宋_GB2312" w:eastAsia="仿宋_GB2312"/>
                <w:sz w:val="20"/>
                <w:b/>
                <w:color w:val="000000"/>
              </w:rPr>
              <w:t>三、服务方式及相关要求</w:t>
            </w:r>
          </w:p>
          <w:p>
            <w:pPr>
              <w:pStyle w:val="null3"/>
              <w:ind w:firstLine="400"/>
            </w:pPr>
            <w:r>
              <w:rPr>
                <w:rFonts w:ascii="仿宋_GB2312" w:hAnsi="仿宋_GB2312" w:cs="仿宋_GB2312" w:eastAsia="仿宋_GB2312"/>
                <w:sz w:val="20"/>
                <w:color w:val="000000"/>
              </w:rPr>
              <w:t>数据治理要严格遵循《网络安全法》《数据安全法》《财政网络安全总体策略》等法律法规，使用和提供的工具基于国产运行环境开发，适配国内主流的国产、非国产服务器、数据库、中间件、操作系统、桌面系统以及其他软硬件设备，满足国家信创管理需求。</w:t>
            </w:r>
          </w:p>
          <w:p>
            <w:pPr>
              <w:pStyle w:val="null3"/>
              <w:ind w:firstLine="400"/>
            </w:pPr>
            <w:r>
              <w:rPr>
                <w:rFonts w:ascii="仿宋_GB2312" w:hAnsi="仿宋_GB2312" w:cs="仿宋_GB2312" w:eastAsia="仿宋_GB2312"/>
                <w:sz w:val="20"/>
                <w:color w:val="000000"/>
              </w:rPr>
              <w:t>在陕西省财政厅指定的地点安排常驻人员，采取现场服务的方式，开展陕西省财政厅数据治理工作。服务供应商须成立专门的项目团队，配备项目经理，负责本项目的整体管理，协调调配各种资源，对项目团队的技术、人力、成果等总体把控，保障咨询服务各项工作的顺利开展；主要人员需要具备专业的数据治理、展示等方面的能力。</w:t>
            </w:r>
          </w:p>
          <w:p>
            <w:pPr>
              <w:pStyle w:val="null3"/>
              <w:ind w:firstLine="400"/>
            </w:pPr>
            <w:r>
              <w:rPr>
                <w:rFonts w:ascii="仿宋_GB2312" w:hAnsi="仿宋_GB2312" w:cs="仿宋_GB2312" w:eastAsia="仿宋_GB2312"/>
                <w:sz w:val="20"/>
                <w:color w:val="000000"/>
              </w:rPr>
              <w:t>服务供应商在服务过程中使用或提供的工具、平台，需保障存算分离、运行稳定，与陕西财政现有的平台工具能互联互通，且不得以任何理由停用。</w:t>
            </w:r>
          </w:p>
          <w:p>
            <w:pPr>
              <w:pStyle w:val="null3"/>
              <w:ind w:firstLine="400"/>
            </w:pPr>
            <w:r>
              <w:rPr>
                <w:rFonts w:ascii="仿宋_GB2312" w:hAnsi="仿宋_GB2312" w:cs="仿宋_GB2312" w:eastAsia="仿宋_GB2312"/>
                <w:sz w:val="20"/>
                <w:color w:val="000000"/>
              </w:rPr>
              <w:t>服务供应商须保持项目团队人员稳定，不得随意更换。如确需更换，必须征得陕西省财政厅同意。如果陕西省财政厅对项目团队人员的知识能力、技术及服务水平不满意，服务供应商须根据要求及时更换项目团队相关人员，确保项目高质高效有序开展。</w:t>
            </w:r>
          </w:p>
          <w:p>
            <w:pPr>
              <w:pStyle w:val="null3"/>
              <w:ind w:firstLine="400"/>
            </w:pPr>
            <w:r>
              <w:rPr>
                <w:rFonts w:ascii="仿宋_GB2312" w:hAnsi="仿宋_GB2312" w:cs="仿宋_GB2312" w:eastAsia="仿宋_GB2312"/>
                <w:sz w:val="20"/>
                <w:color w:val="000000"/>
              </w:rPr>
              <w:t>服务供应商须加强对参与本项目人员的保密教育工作，严格遵守有关保密的法律法规，不得将与本项目有关的资料信息泄露或提供给第三方。</w:t>
            </w:r>
          </w:p>
          <w:p>
            <w:pPr>
              <w:pStyle w:val="null3"/>
              <w:ind w:firstLine="400"/>
            </w:pPr>
            <w:r>
              <w:rPr>
                <w:rFonts w:ascii="仿宋_GB2312" w:hAnsi="仿宋_GB2312" w:cs="仿宋_GB2312" w:eastAsia="仿宋_GB2312"/>
                <w:sz w:val="20"/>
                <w:color w:val="000000"/>
              </w:rPr>
              <w:t>本项目成果全部归属陕西省财政厅，包括服务过程中的所有文档，服务供应商未经授权不得对外提供或使用。服务供应商应保证陕西省财政厅在服务过程中免受第三方在知识产权方面的起诉。</w:t>
            </w:r>
          </w:p>
          <w:p>
            <w:pPr>
              <w:pStyle w:val="null3"/>
              <w:spacing w:before="60" w:after="60"/>
            </w:pPr>
            <w:r>
              <w:rPr>
                <w:rFonts w:ascii="仿宋_GB2312" w:hAnsi="仿宋_GB2312" w:cs="仿宋_GB2312" w:eastAsia="仿宋_GB2312"/>
                <w:sz w:val="20"/>
                <w:b/>
                <w:color w:val="000000"/>
              </w:rPr>
              <w:t>四、绩效目标</w:t>
            </w:r>
          </w:p>
          <w:p>
            <w:pPr>
              <w:pStyle w:val="null3"/>
              <w:jc w:val="center"/>
            </w:pPr>
            <w:r>
              <w:rPr>
                <w:rFonts w:ascii="仿宋_GB2312" w:hAnsi="仿宋_GB2312" w:cs="仿宋_GB2312" w:eastAsia="仿宋_GB2312"/>
                <w:sz w:val="20"/>
                <w:color w:val="000000"/>
              </w:rPr>
              <w:t>绩效目标表</w:t>
            </w:r>
          </w:p>
          <w:tbl>
            <w:tblPr>
              <w:tblInd w:type="dxa" w:w="210"/>
              <w:tblBorders>
                <w:top w:val="none" w:color="000000" w:sz="4"/>
                <w:left w:val="none" w:color="000000" w:sz="4"/>
                <w:bottom w:val="none" w:color="000000" w:sz="4"/>
                <w:right w:val="none" w:color="000000" w:sz="4"/>
                <w:insideH w:val="none"/>
                <w:insideV w:val="none"/>
              </w:tblBorders>
            </w:tblPr>
            <w:tblGrid>
              <w:gridCol w:w="317"/>
              <w:gridCol w:w="343"/>
              <w:gridCol w:w="493"/>
              <w:gridCol w:w="629"/>
              <w:gridCol w:w="384"/>
              <w:gridCol w:w="369"/>
            </w:tblGrid>
            <w:tr>
              <w:tc>
                <w:tcPr>
                  <w:tcW w:type="dxa" w:w="66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1875"/>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2026年财政大数据技术支撑服务（二）</w:t>
                  </w:r>
                </w:p>
              </w:tc>
            </w:tr>
            <w:tr>
              <w:tc>
                <w:tcPr>
                  <w:tcW w:type="dxa" w:w="6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主管部门</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陕西省财政厅</w:t>
                  </w:r>
                </w:p>
              </w:tc>
              <w:tc>
                <w:tcPr>
                  <w:tcW w:type="dxa" w:w="6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实施期限</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一年</w:t>
                  </w:r>
                </w:p>
              </w:tc>
              <w:tc>
                <w:tcPr>
                  <w:tcW w:type="dxa" w:w="36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执行率</w:t>
                  </w:r>
                </w:p>
                <w:p>
                  <w:pPr>
                    <w:pStyle w:val="null3"/>
                    <w:jc w:val="center"/>
                  </w:pPr>
                  <w:r>
                    <w:rPr>
                      <w:rFonts w:ascii="仿宋_GB2312" w:hAnsi="仿宋_GB2312" w:cs="仿宋_GB2312" w:eastAsia="仿宋_GB2312"/>
                      <w:sz w:val="20"/>
                      <w:color w:val="000000"/>
                    </w:rPr>
                    <w:t>分值</w:t>
                  </w:r>
                </w:p>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10分）</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资金金额</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实施期资金</w:t>
                  </w:r>
                </w:p>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总额：</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年度资金总额：</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vMerge/>
                  <w:tcBorders>
                    <w:top w:val="single" w:color="000000" w:sz="4"/>
                    <w:left w:val="none" w:color="000000" w:sz="4"/>
                    <w:bottom w:val="single" w:color="000000" w:sz="4"/>
                    <w:right w:val="single" w:color="000000" w:sz="4"/>
                  </w:tcBorders>
                </w:tcPr>
                <w:p/>
              </w:tc>
            </w:tr>
            <w:tr>
              <w:tc>
                <w:tcPr>
                  <w:tcW w:type="dxa" w:w="31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（万元）</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其中：财政拨款</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其中：财政拨款</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vMerge/>
                  <w:tcBorders>
                    <w:top w:val="single" w:color="000000" w:sz="4"/>
                    <w:left w:val="none" w:color="000000" w:sz="4"/>
                    <w:bottom w:val="single" w:color="000000" w:sz="4"/>
                    <w:right w:val="single" w:color="000000" w:sz="4"/>
                  </w:tcBorders>
                </w:tc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w:t>
                  </w:r>
                </w:p>
                <w:p>
                  <w:pPr>
                    <w:pStyle w:val="null3"/>
                    <w:jc w:val="center"/>
                  </w:pPr>
                  <w:r>
                    <w:rPr>
                      <w:rFonts w:ascii="仿宋_GB2312" w:hAnsi="仿宋_GB2312" w:cs="仿宋_GB2312" w:eastAsia="仿宋_GB2312"/>
                      <w:sz w:val="20"/>
                      <w:color w:val="000000"/>
                    </w:rPr>
                    <w:t>资金</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其他资金</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9"/>
                  <w:vMerge/>
                  <w:tcBorders>
                    <w:top w:val="single" w:color="000000" w:sz="4"/>
                    <w:left w:val="none" w:color="000000" w:sz="4"/>
                    <w:bottom w:val="single" w:color="000000" w:sz="4"/>
                    <w:right w:val="single" w:color="000000" w:sz="4"/>
                  </w:tcBorders>
                </w:tcPr>
                <w:p/>
              </w:tc>
            </w:tr>
            <w:tr>
              <w:tc>
                <w:tcPr>
                  <w:tcW w:type="dxa" w:w="31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w:t>
                  </w:r>
                </w:p>
                <w:p>
                  <w:pPr>
                    <w:pStyle w:val="null3"/>
                    <w:jc w:val="center"/>
                  </w:pPr>
                  <w:r>
                    <w:rPr>
                      <w:rFonts w:ascii="仿宋_GB2312" w:hAnsi="仿宋_GB2312" w:cs="仿宋_GB2312" w:eastAsia="仿宋_GB2312"/>
                      <w:sz w:val="20"/>
                      <w:color w:val="000000"/>
                    </w:rPr>
                    <w:t>体</w:t>
                  </w:r>
                </w:p>
                <w:p>
                  <w:pPr>
                    <w:pStyle w:val="null3"/>
                    <w:jc w:val="center"/>
                  </w:pPr>
                  <w:r>
                    <w:rPr>
                      <w:rFonts w:ascii="仿宋_GB2312" w:hAnsi="仿宋_GB2312" w:cs="仿宋_GB2312" w:eastAsia="仿宋_GB2312"/>
                      <w:sz w:val="20"/>
                      <w:color w:val="000000"/>
                    </w:rPr>
                    <w:t>目</w:t>
                  </w:r>
                </w:p>
                <w:p>
                  <w:pPr>
                    <w:pStyle w:val="null3"/>
                    <w:jc w:val="center"/>
                  </w:pPr>
                  <w:r>
                    <w:rPr>
                      <w:rFonts w:ascii="仿宋_GB2312" w:hAnsi="仿宋_GB2312" w:cs="仿宋_GB2312" w:eastAsia="仿宋_GB2312"/>
                      <w:sz w:val="20"/>
                      <w:color w:val="000000"/>
                    </w:rPr>
                    <w:t>标</w:t>
                  </w:r>
                </w:p>
              </w:tc>
              <w:tc>
                <w:tcPr>
                  <w:tcW w:type="dxa" w:w="221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实施期总目标</w:t>
                  </w:r>
                </w:p>
              </w:tc>
            </w:tr>
            <w:tr>
              <w:tc>
                <w:tcPr>
                  <w:tcW w:type="dxa" w:w="317"/>
                  <w:vMerge/>
                  <w:tcBorders>
                    <w:top w:val="none" w:color="000000" w:sz="4"/>
                    <w:left w:val="single" w:color="000000" w:sz="4"/>
                    <w:bottom w:val="none" w:color="000000" w:sz="4"/>
                    <w:right w:val="single" w:color="000000" w:sz="4"/>
                  </w:tcBorders>
                </w:tcPr>
                <w:p/>
              </w:tc>
              <w:tc>
                <w:tcPr>
                  <w:tcW w:type="dxa" w:w="2218"/>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为陕西省财政厅构建数据治理体系，形成陕西财政数据标准体系，整合数据资源并进行数据治理。完成近</w:t>
                  </w:r>
                  <w:r>
                    <w:rPr>
                      <w:rFonts w:ascii="仿宋_GB2312" w:hAnsi="仿宋_GB2312" w:cs="仿宋_GB2312" w:eastAsia="仿宋_GB2312"/>
                      <w:sz w:val="20"/>
                      <w:color w:val="000000"/>
                    </w:rPr>
                    <w:t>5年预算管理一体化、非税、惠民“一卡通”、采购等系统数据和增量数据的系统梳理、数据采集、清洗转换、加工治理等，治理完成后，治理好的数据可快速方便查询，并进行可视化展示。</w:t>
                  </w:r>
                </w:p>
              </w:tc>
            </w:tr>
            <w:tr>
              <w:tc>
                <w:tcPr>
                  <w:tcW w:type="dxa" w:w="31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年度绩效目标</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一级</w:t>
                  </w:r>
                </w:p>
                <w:p>
                  <w:pPr>
                    <w:pStyle w:val="null3"/>
                    <w:jc w:val="center"/>
                  </w:pPr>
                  <w:r>
                    <w:rPr>
                      <w:rFonts w:ascii="仿宋_GB2312" w:hAnsi="仿宋_GB2312" w:cs="仿宋_GB2312" w:eastAsia="仿宋_GB2312"/>
                      <w:sz w:val="20"/>
                      <w:color w:val="000000"/>
                    </w:rPr>
                    <w:t>目标</w:t>
                  </w: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二级目标</w:t>
                  </w:r>
                </w:p>
              </w:tc>
              <w:tc>
                <w:tcPr>
                  <w:tcW w:type="dxa" w:w="6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三级指标</w:t>
                  </w:r>
                </w:p>
              </w:tc>
              <w:tc>
                <w:tcPr>
                  <w:tcW w:type="dxa" w:w="38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指标值</w:t>
                  </w:r>
                </w:p>
              </w:tc>
              <w:tc>
                <w:tcPr>
                  <w:tcW w:type="dxa" w:w="3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分值权重</w:t>
                  </w:r>
                </w:p>
              </w:tc>
            </w:tr>
            <w:tr>
              <w:tc>
                <w:tcPr>
                  <w:tcW w:type="dxa" w:w="317"/>
                  <w:vMerge/>
                  <w:tcBorders>
                    <w:top w:val="none" w:color="000000" w:sz="4"/>
                    <w:left w:val="single" w:color="000000" w:sz="4"/>
                    <w:bottom w:val="non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629"/>
                  <w:vMerge/>
                  <w:tcBorders>
                    <w:top w:val="single" w:color="000000" w:sz="4"/>
                    <w:left w:val="none" w:color="000000" w:sz="4"/>
                    <w:bottom w:val="single" w:color="000000" w:sz="4"/>
                    <w:right w:val="single" w:color="000000" w:sz="4"/>
                  </w:tcBorders>
                </w:tcPr>
                <w:p/>
              </w:tc>
              <w:tc>
                <w:tcPr>
                  <w:tcW w:type="dxa" w:w="384"/>
                  <w:vMerge/>
                  <w:tcBorders>
                    <w:top w:val="single" w:color="000000" w:sz="4"/>
                    <w:left w:val="none" w:color="000000" w:sz="4"/>
                    <w:bottom w:val="single" w:color="000000" w:sz="4"/>
                    <w:right w:val="single" w:color="000000" w:sz="4"/>
                  </w:tcBorders>
                </w:tcP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90分）</w:t>
                  </w:r>
                </w:p>
              </w:tc>
            </w:tr>
            <w:tr>
              <w:tc>
                <w:tcPr>
                  <w:tcW w:type="dxa" w:w="3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年度绩效目标</w:t>
                  </w: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产出</w:t>
                  </w:r>
                </w:p>
                <w:p>
                  <w:pPr>
                    <w:pStyle w:val="null3"/>
                    <w:jc w:val="center"/>
                  </w:pPr>
                  <w:r>
                    <w:rPr>
                      <w:rFonts w:ascii="仿宋_GB2312" w:hAnsi="仿宋_GB2312" w:cs="仿宋_GB2312" w:eastAsia="仿宋_GB2312"/>
                      <w:sz w:val="20"/>
                      <w:color w:val="000000"/>
                    </w:rPr>
                    <w:t>指标</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数量指标</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数据治理年度</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5年</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质量指标</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数据治理</w:t>
                  </w:r>
                </w:p>
                <w:p>
                  <w:pPr>
                    <w:pStyle w:val="null3"/>
                    <w:jc w:val="center"/>
                  </w:pPr>
                  <w:r>
                    <w:rPr>
                      <w:rFonts w:ascii="仿宋_GB2312" w:hAnsi="仿宋_GB2312" w:cs="仿宋_GB2312" w:eastAsia="仿宋_GB2312"/>
                      <w:sz w:val="20"/>
                      <w:color w:val="000000"/>
                    </w:rPr>
                    <w:t>准确度</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95</w:t>
                  </w:r>
                  <w:r>
                    <w:rPr>
                      <w:rFonts w:ascii="仿宋_GB2312" w:hAnsi="仿宋_GB2312" w:cs="仿宋_GB2312" w:eastAsia="仿宋_GB2312"/>
                      <w:sz w:val="20"/>
                      <w:color w:val="000000"/>
                    </w:rPr>
                    <w:t>%</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4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时效指标</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重点响应服务</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7×24小时</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到达现场时间</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≤1小时</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493"/>
                  <w:vMerge/>
                  <w:tcBorders>
                    <w:top w:val="none" w:color="000000" w:sz="4"/>
                    <w:left w:val="none" w:color="000000" w:sz="4"/>
                    <w:bottom w:val="single" w:color="000000" w:sz="4"/>
                    <w:right w:val="single" w:color="000000" w:sz="4"/>
                  </w:tcBorders>
                </w:tcP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服务响应评估时间</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≤2小时</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成本指标</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服务采购成本</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70</w:t>
                  </w:r>
                  <w:r>
                    <w:rPr>
                      <w:rFonts w:ascii="仿宋_GB2312" w:hAnsi="仿宋_GB2312" w:cs="仿宋_GB2312" w:eastAsia="仿宋_GB2312"/>
                      <w:sz w:val="20"/>
                      <w:color w:val="000000"/>
                    </w:rPr>
                    <w:t>万元</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
                  <w:vMerge/>
                  <w:tcBorders>
                    <w:top w:val="none" w:color="000000" w:sz="4"/>
                    <w:left w:val="single" w:color="000000" w:sz="4"/>
                    <w:bottom w:val="single" w:color="000000" w:sz="4"/>
                    <w:right w:val="single" w:color="000000" w:sz="4"/>
                  </w:tcBorders>
                </w:tcPr>
                <w:p/>
              </w:tc>
              <w:tc>
                <w:tcPr>
                  <w:tcW w:type="dxa" w:w="3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效益</w:t>
                  </w:r>
                </w:p>
                <w:p>
                  <w:pPr>
                    <w:pStyle w:val="null3"/>
                    <w:jc w:val="center"/>
                  </w:pPr>
                  <w:r>
                    <w:rPr>
                      <w:rFonts w:ascii="仿宋_GB2312" w:hAnsi="仿宋_GB2312" w:cs="仿宋_GB2312" w:eastAsia="仿宋_GB2312"/>
                      <w:sz w:val="20"/>
                      <w:color w:val="000000"/>
                    </w:rPr>
                    <w:t>指标</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经济效益指标</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w:t>
                  </w:r>
                  <w:r>
                    <w:rPr>
                      <w:rFonts w:ascii="仿宋_GB2312" w:hAnsi="仿宋_GB2312" w:cs="仿宋_GB2312" w:eastAsia="仿宋_GB2312"/>
                      <w:sz w:val="20"/>
                      <w:color w:val="000000"/>
                    </w:rPr>
                    <w:t>质量</w:t>
                  </w:r>
                  <w:r>
                    <w:rPr>
                      <w:rFonts w:ascii="仿宋_GB2312" w:hAnsi="仿宋_GB2312" w:cs="仿宋_GB2312" w:eastAsia="仿宋_GB2312"/>
                      <w:sz w:val="20"/>
                      <w:color w:val="000000"/>
                    </w:rPr>
                    <w:t>提升</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7"/>
                  <w:vMerge/>
                  <w:tcBorders>
                    <w:top w:val="none" w:color="000000" w:sz="4"/>
                    <w:left w:val="single" w:color="000000" w:sz="4"/>
                    <w:bottom w:val="single" w:color="000000" w:sz="4"/>
                    <w:right w:val="single" w:color="000000" w:sz="4"/>
                  </w:tcBorders>
                </w:tcPr>
                <w:p/>
              </w:tc>
              <w:tc>
                <w:tcPr>
                  <w:tcW w:type="dxa" w:w="343"/>
                  <w:vMerge/>
                  <w:tcBorders>
                    <w:top w:val="none" w:color="000000" w:sz="4"/>
                    <w:left w:val="none" w:color="000000" w:sz="4"/>
                    <w:bottom w:val="single" w:color="000000" w:sz="4"/>
                    <w:right w:val="single" w:color="000000" w:sz="4"/>
                  </w:tcBorders>
                </w:tcP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工期指标</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超期</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月</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满意度指标</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服务对象</w:t>
                  </w:r>
                </w:p>
                <w:p>
                  <w:pPr>
                    <w:pStyle w:val="null3"/>
                    <w:jc w:val="center"/>
                  </w:pPr>
                  <w:r>
                    <w:rPr>
                      <w:rFonts w:ascii="仿宋_GB2312" w:hAnsi="仿宋_GB2312" w:cs="仿宋_GB2312" w:eastAsia="仿宋_GB2312"/>
                      <w:sz w:val="20"/>
                      <w:color w:val="000000"/>
                    </w:rPr>
                    <w:t>满意度指标</w:t>
                  </w:r>
                </w:p>
              </w:tc>
              <w:tc>
                <w:tcPr>
                  <w:tcW w:type="dxa" w:w="6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使用人员</w:t>
                  </w:r>
                </w:p>
                <w:p>
                  <w:pPr>
                    <w:pStyle w:val="null3"/>
                    <w:jc w:val="center"/>
                  </w:pPr>
                  <w:r>
                    <w:rPr>
                      <w:rFonts w:ascii="仿宋_GB2312" w:hAnsi="仿宋_GB2312" w:cs="仿宋_GB2312" w:eastAsia="仿宋_GB2312"/>
                      <w:sz w:val="20"/>
                      <w:color w:val="000000"/>
                    </w:rPr>
                    <w:t>满意度</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严格按照《陕西省财政厅网络安全和信息化项目验收管理暂行办法》规定执行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严格按照《陕西省财政厅网络安全和信息化项目验收管理暂行办法》规定执行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本项目服务期满，且经甲方评价后30个工作日内，依据甲方服务评价结果或结算审计结果（如有）确认的金额，乙方书面提出支付申请函及与拟支付金额等额的符合甲方财务管理要求的相应发票，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3.4.2本项目非专门面向中小企业采购。 3.4.3需要落实的政府采购政策：（1）《国务院办公厅关于建立政府强制采购节能产品制度的通知》（国办发〔2007〕51号）；（2）《财政部司法部关于政府采购支持监狱企业发展有关问题的通知》（财库〔2014〕68号）；（3）《财政部、民政部、中国残疾人联合会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财务状况报告</w:t>
            </w:r>
          </w:p>
        </w:tc>
        <w:tc>
          <w:tcPr>
            <w:tcW w:type="dxa" w:w="3322"/>
          </w:tcPr>
          <w:p>
            <w:pPr>
              <w:pStyle w:val="null3"/>
            </w:pPr>
            <w:r>
              <w:rPr>
                <w:rFonts w:ascii="仿宋_GB2312" w:hAnsi="仿宋_GB2312" w:cs="仿宋_GB2312" w:eastAsia="仿宋_GB2312"/>
              </w:rPr>
              <w:t>财务状况报告：供应商2024年经审计的财务报告（事业法人可提供部门决算报告）或基本开户银行出具的资信证明或专业担保机构出具的投标担保函，供应商需在项目电子化交易系统中按要求上传相应证明文件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tc>
        <w:tc>
          <w:tcPr>
            <w:tcW w:type="dxa" w:w="1661"/>
          </w:tcPr>
          <w:p>
            <w:pPr>
              <w:pStyle w:val="null3"/>
            </w:pPr>
            <w:r>
              <w:rPr>
                <w:rFonts w:ascii="仿宋_GB2312" w:hAnsi="仿宋_GB2312" w:cs="仿宋_GB2312" w:eastAsia="仿宋_GB2312"/>
              </w:rPr>
              <w:t>1.供应商应提交的相关资格证明材料.docx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财务状况报告</w:t>
            </w:r>
          </w:p>
        </w:tc>
        <w:tc>
          <w:tcPr>
            <w:tcW w:type="dxa" w:w="3322"/>
          </w:tcPr>
          <w:p>
            <w:pPr>
              <w:pStyle w:val="null3"/>
            </w:pPr>
            <w:r>
              <w:rPr>
                <w:rFonts w:ascii="仿宋_GB2312" w:hAnsi="仿宋_GB2312" w:cs="仿宋_GB2312" w:eastAsia="仿宋_GB2312"/>
              </w:rPr>
              <w:t>财务状况报告：供应商2024年经审计的财务报告（事业法人可提供部门决算报告）或基本开户银行出具的资信证明或专业担保机构出具的投标担保函，供应商需在项目电子化交易系统中按要求上传相应证明文件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tc>
        <w:tc>
          <w:tcPr>
            <w:tcW w:type="dxa" w:w="1661"/>
          </w:tcPr>
          <w:p>
            <w:pPr>
              <w:pStyle w:val="null3"/>
            </w:pPr>
            <w:r>
              <w:rPr>
                <w:rFonts w:ascii="仿宋_GB2312" w:hAnsi="仿宋_GB2312" w:cs="仿宋_GB2312" w:eastAsia="仿宋_GB2312"/>
              </w:rPr>
              <w:t>1.供应商应提交的相关资格证明材料.docx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 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响应文件封面 4.法定代表人身份证明书及法定代表人授权书.docx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4.法定代表人身份证明书及法定代表人授权书.docx 中小企业声明函 2.磋商一览表.docx 报价表 响应文件封面 6.其他资料.docx 7.中小企业声明函(服务).docx 3.商务条款偏离表.docx 残疾人福利性单位声明函 标的清单 响应函 1.供应商应提交的相关资格证明材料.docx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2.磋商一览表.docx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2.磋商一览表.docx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2.磋商一览表.docx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 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响应文件封面 4.法定代表人身份证明书及法定代表人授权书.docx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4.法定代表人身份证明书及法定代表人授权书.docx 中小企业声明函 2.磋商一览表.docx 报价表 响应文件封面 6.其他资料.docx 7.中小企业声明函(服务).docx 3.商务条款偏离表.docx 残疾人福利性单位声明函 标的清单 响应函 1.供应商应提交的相关资格证明材料.docx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2.磋商一览表.docx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2.磋商一览表.docx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2.磋商一览表.docx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供应商针对大数据技术支撑服务提供完整、具体可行的工作流程； 评审标准： 1.能够按照工作内容全面梳理工作流程，流程清晰、方法得当，可行性强，完全满足采购人的要求，计8分； 2.能够按照工作内容比较全面梳理工作流程，流程较清晰、方法较得当，可行性较强，满足采购人的要求，计6分； 3.能够按照工作内容梳理工作流程，流程较清晰、方法较得当，可行性一般，满足采购人的要求，计4分； 4.基本能够按照工作内容梳理工作流程，流程清晰度、可行性一般，基本满足采购人的要求，计2分；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①供应商针对大数据技术支撑提供财政部下发数据接收与日常维护服务方案； ②供应商针对大数据技术 支撑提供财政数据提取 服务方案； ③供应商针对大数据技术支撑提供数据库日常维护 及备份管理服务方案； 评审标准： 1.方案细致完善、合理性强、完全符合项目需求，针对性、可操作性强，得21分； 2.方案较为细致完善、较有合理性、符合项目需求，针对性、可操作性较强，得18分； 3.方案较完善，提供内容合理，基本符合项目需求，针对性、可操作性一般，得15分； 4.方案较完善，提供内容基本合理，基本贴近项目需求，针对性、可操作性一般，得12分； 5.方案基本完善，提供内容基本合理，基本贴近项目需求，针对性、可操作性一般，得9分； 6.方案简单，提供内容简单，部分贴近项目需求，得6分； 7.方案简单，提供内容简单，不太贴近项目需求，得3分； 8.未提供不得分。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故障处理方案</w:t>
            </w:r>
          </w:p>
        </w:tc>
        <w:tc>
          <w:tcPr>
            <w:tcW w:type="dxa" w:w="2492"/>
          </w:tcPr>
          <w:p>
            <w:pPr>
              <w:pStyle w:val="null3"/>
            </w:pPr>
            <w:r>
              <w:rPr>
                <w:rFonts w:ascii="仿宋_GB2312" w:hAnsi="仿宋_GB2312" w:cs="仿宋_GB2312" w:eastAsia="仿宋_GB2312"/>
              </w:rPr>
              <w:t>供应商提供合理的数据库故障处理方案； 评审标准： 1.方案逻辑层次清晰、针对性强、与采购内容吻合度高，实施性强、完全满足采购需求，得8分； 2.方案逻辑层次较清晰、针对性较强、与采购内容的吻合程度较高，实施性较强，满足采购需求，得6分； 3.方案逻辑层次基本清晰、针对性一般、与采购内容的吻合程度一般，实施性一般，基本满足采购需求，得4分； 4.方案逻辑层次不太清晰、不太全面，影响到项目实施的，得2分；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业务培训 服务方案</w:t>
            </w:r>
          </w:p>
        </w:tc>
        <w:tc>
          <w:tcPr>
            <w:tcW w:type="dxa" w:w="2492"/>
          </w:tcPr>
          <w:p>
            <w:pPr>
              <w:pStyle w:val="null3"/>
            </w:pPr>
            <w:r>
              <w:rPr>
                <w:rFonts w:ascii="仿宋_GB2312" w:hAnsi="仿宋_GB2312" w:cs="仿宋_GB2312" w:eastAsia="仿宋_GB2312"/>
              </w:rPr>
              <w:t>供应商针对大数据技术支撑服务提供详细的业务培训方案； 评审标准： 1.培训方案完整详细、描述清晰、内容科学合理、可实施性强的，得7分。 2.培训方案较完整详细、描述较清晰、内容较科学合理、可实施性较强的，得5分。 3.培训方案基本完整详细、描述基本清晰、内容基本合理、具有可实施性，得3分。 4.培训方案不太完整、简单、内容合理性及可实施性一般的，得1分。 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供应商针对大数据技术支撑服务提供人员配备； 评审标准： 1.人员配备齐全，行业经验丰富，技术团队专业，人员结构配置合理、职责任务明确、分工合理，得8分； 2.人员配备较齐全，行业经验较丰富，技术团队专业性较强，人员结构配置较合理、职责任务较明确、分工较合理，得6分； 3.人员配备基本齐全，行业经验一般，技术团队有一定专业性，人员结构配置基本合理、职责任务较明确、分工基本合理，得4分； 4.人员配备基本齐全，行业经验缺乏，技术团队专业性一般，人员结构配置合理性一般、职责任务明确性、分工合理性一般，得2分；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供应商针对大数据技术支撑服务提供进度计划及保证措施； 评审标准： 1.措施细致详细、合理性强、完全符合项目情况，针对性强得，7分； 2.措施较为细致详细、较有合理性、针对性强，得5分； 3.措施一般、合理性一般、针对性一般，得3分； 4.措施不完善，内容简单有欠缺，未贴合实际，得1分；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供应商针对大数据技术支撑服务提供明确、具体、可行的服务质量保障措施； 评审标准： 1.措施细致详细、合理性强、完全符合项目情况针对性强，得7分； 2.措施较为细致详细、较有合理性、针对性较强，得5分； 3.措施一般、合理性一般、针对性一般，得3分； 4.措施不完善，提供内容简单有欠缺，未贴合实际，得1分；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时效承诺</w:t>
            </w:r>
          </w:p>
        </w:tc>
        <w:tc>
          <w:tcPr>
            <w:tcW w:type="dxa" w:w="2492"/>
          </w:tcPr>
          <w:p>
            <w:pPr>
              <w:pStyle w:val="null3"/>
            </w:pPr>
            <w:r>
              <w:rPr>
                <w:rFonts w:ascii="仿宋_GB2312" w:hAnsi="仿宋_GB2312" w:cs="仿宋_GB2312" w:eastAsia="仿宋_GB2312"/>
              </w:rPr>
              <w:t>针对本项目的标准日常运维服务时间、重点响应时限、到达现场时间、服务响应评估时间在满足磋商文件的要求时得2分， 时间响应少于采购需求时间的得4分。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5.技术方案包1.docx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供应商近三年（2022年1月1日至今）承接过类似项目业绩：每提供一个业绩合同或中标/成交通知书得2分，满分10分。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5.技术方案包1.docx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价格分统一采用低价优先法计算，即满足竞争性磋商文件要求且最终报价最低的为评标基准价，其价格分为满分。其他供应商的价格分统一按照下列公式计算： 报价得分=（磋商基准价/最后磋商报价）×20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供应商针对数据治理服务提供完整、具体可行的工作流程； 评审标准： 1.能够按照工作内容全面梳理工作流程，流程清晰、方法得当，可行性强，完全满足采购人的要求，计8分； 2.能够按照工作内容比较全面梳理工作流程，流程较清晰、方法较得当，可行性较强，满足采购人的要求，计6分； 3.能够按照工作内容梳理工作流程，流程较清晰、方法较得当，可行性一般，满足采购人的要求，计4分； 4.基本能够按照工作内容梳理工作流程，流程清晰度、可行性一般，基本满足采购人的要求，计2分；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①供应商针对数据治理服务的财政数据全流程治理及数据应用服务方案； ②供应商针对数据治理服务的财政数据架构规划服务方案； ③供应商针对数据治理服务的数据标准管理服务方案； ④供应商针对数据治理服务的数据梳理与归集服务方案； 评审标准： 1.方案细致完善、合理性强、完全符合项目需求，针对性、可操作性强，得15分； 2.方案较为细致完善、较有合理性、符合项目需求，针对性、可操作性较强，得13分； 3.方案较完善，提供内容合理，基本符合项目需求，针对性、可操作性一般，得11分； 4.方案较完善，提供内容基本合理，基本贴近项目需求，针对性、可操作性一般，得9分； 5.方案基本完善，提供内容基本合理，基本贴近项目需求，针对性、可操作性一般，得7分； 6.方案简单，提供内容简单，部分贴近项目需求，得5分； 7.方案简单，提供内容简单，不太贴近项目需求，得3分； 8.未提供不得分。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安全服务保障 方案</w:t>
            </w:r>
          </w:p>
        </w:tc>
        <w:tc>
          <w:tcPr>
            <w:tcW w:type="dxa" w:w="2492"/>
          </w:tcPr>
          <w:p>
            <w:pPr>
              <w:pStyle w:val="null3"/>
            </w:pPr>
            <w:r>
              <w:rPr>
                <w:rFonts w:ascii="仿宋_GB2312" w:hAnsi="仿宋_GB2312" w:cs="仿宋_GB2312" w:eastAsia="仿宋_GB2312"/>
              </w:rPr>
              <w:t>供应商针对数据治理服务数据安全服务保障方案； 1.方案逻辑层次清晰、针对性强、与采购内容吻合度高，实施性强、完全满足采购需求，得8分； 2.方案逻辑层次较清晰、针对性较强、与采购内容的吻合程度较高，实施性较强，满足采购需求，得6分； 3.方案逻辑层次基本清晰、针对性一般、与采购内容的吻合程度一般，实施性一般，基本满足采购需求，得4分； 4.方案逻辑层次不太清晰、不太全面，影响到项目实施的，得2分；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供应商针对数据治理服务过程中涉及重要或敏感数据的安全保密管理方案； 评审标准： 1.供应商具有很强的项目保密管理制度与安全保密管理能力，采取的安全管理措施得当，能够很好保障本项目的数据安全，得7分； 2.供应商具有较强的项目保密管理制度与安全保密管理能力，采取的安全管理措施较为得当，能够保障本项目的数据安全，得5分； 3.供应商具有一般的项目保密管理制度与安全保密管理能力，采取的安全管理措施较为一般，基本保障本项目的数据安全，得3分； 4.供应商的项目保密管理制度与安全保密管理能力较弱，采取的安全管理措施较弱，基本保障本项目的数据安全，得1分；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业务培训 服务方案</w:t>
            </w:r>
          </w:p>
        </w:tc>
        <w:tc>
          <w:tcPr>
            <w:tcW w:type="dxa" w:w="2492"/>
          </w:tcPr>
          <w:p>
            <w:pPr>
              <w:pStyle w:val="null3"/>
            </w:pPr>
            <w:r>
              <w:rPr>
                <w:rFonts w:ascii="仿宋_GB2312" w:hAnsi="仿宋_GB2312" w:cs="仿宋_GB2312" w:eastAsia="仿宋_GB2312"/>
              </w:rPr>
              <w:t>供应商针对数据治理服务提供详细的业务培训方案； 评审标准： 1.培训方案完整详细、描述清晰、内容科学合理、可实施性强的，得6分。 2.培训方案较完整详细、描述较清晰、内容较科学合理、可实施性较强的，得4分。 3.培训方案基本完整详细、描述基本清晰、内容基本合理、具有可实施性，得2分。 4.培训方案不太完整、简单、内容合理性及可实施性一般的，得1分。 5.未提供的不得分。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供应商针对数据治理服务提供人员配备； 评审标准： 1.人员配备齐全，行业经验丰富，技术团队专业，人员结构配置合理、职责任务明确、分工合理，得8分； 2.人员配备较齐全，行业经验较丰富，技术团队专业性较强，人员结构配置较合理、职责任务较明确、分工较合理，得6分； 3.人员配备基本齐全，行业经验一般，技术团队有一定专业性，人员结构配置基本合理、职责任务较明确、分工基本合理，得4分； 4.人员配备基本齐全，行业经验缺乏，技术团队专业性一般，人员结构配置合理性一般、职责任务明确性、分工合理性一般，得2分；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供应商针对数据治理服务提供进度计划及保证措施； 评审标准： 1.措施细致详细、合理性强、完全符合项目情况，针对性强得，7分； 2.措施较为细致详细、较有合理性、针对性强，得5分； 3.措施一般、合理性一般、针对性一般，得3分； 4.措施不完善，内容简单有欠缺，未贴合实际，得1分；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供应商针对数据治理服务提供明确、具体、可行的服务质量保障措施； 评审标准： 1.措施细致详细、合理性强、完全符合项目情况针对性强，得7分； 2.措施较为细致详细、较有合理性、针对性较强，得5分； 3.措施一般、合理性一般、针对性一般，得3分； 4.措施不完善，提供内容简单有欠缺，未贴合实际，得1分；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时效承诺</w:t>
            </w:r>
          </w:p>
        </w:tc>
        <w:tc>
          <w:tcPr>
            <w:tcW w:type="dxa" w:w="2492"/>
          </w:tcPr>
          <w:p>
            <w:pPr>
              <w:pStyle w:val="null3"/>
            </w:pPr>
            <w:r>
              <w:rPr>
                <w:rFonts w:ascii="仿宋_GB2312" w:hAnsi="仿宋_GB2312" w:cs="仿宋_GB2312" w:eastAsia="仿宋_GB2312"/>
              </w:rPr>
              <w:t>针对本项目的重点响应服务时限、到达现场时间、服务响应评估时间在满足磋商文件的要求时得2分， 时间响应少于采购需求要求的得4分。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5.技术方案包2.docx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供应商近三年（2022年1月1日至今）承接过类似项目业绩：每提供一个业绩合同或中标/成交通知书得2分，满分10分。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5.技术方案包2.docx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价格分统一采用低价优先法计算，即满足竞争性磋商文件要求且最终报价最低的为评标基准价，其价格分为满分。其他供应商的价格分统一按照下列公式计算： 报价得分=（磋商基准价/最后磋商报价）×20 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详见附件：1.供应商应提交的相关资格证明材料.docx</w:t>
      </w:r>
    </w:p>
    <w:p>
      <w:pPr>
        <w:pStyle w:val="null3"/>
        <w:ind w:firstLine="960"/>
      </w:pPr>
      <w:r>
        <w:rPr>
          <w:rFonts w:ascii="仿宋_GB2312" w:hAnsi="仿宋_GB2312" w:cs="仿宋_GB2312" w:eastAsia="仿宋_GB2312"/>
        </w:rPr>
        <w:t>详见附件：2.磋商一览表.docx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详见附件：4.法定代表人身份证明书及法定代表人授权书.docx</w:t>
      </w:r>
    </w:p>
    <w:p>
      <w:pPr>
        <w:pStyle w:val="null3"/>
        <w:ind w:firstLine="960"/>
      </w:pPr>
      <w:r>
        <w:rPr>
          <w:rFonts w:ascii="仿宋_GB2312" w:hAnsi="仿宋_GB2312" w:cs="仿宋_GB2312" w:eastAsia="仿宋_GB2312"/>
        </w:rPr>
        <w:t>详见附件：5.技术方案包1.docx</w:t>
      </w:r>
    </w:p>
    <w:p>
      <w:pPr>
        <w:pStyle w:val="null3"/>
        <w:ind w:firstLine="960"/>
      </w:pPr>
      <w:r>
        <w:rPr>
          <w:rFonts w:ascii="仿宋_GB2312" w:hAnsi="仿宋_GB2312" w:cs="仿宋_GB2312" w:eastAsia="仿宋_GB2312"/>
        </w:rPr>
        <w:t>详见附件：6.其他资料.docx</w:t>
      </w:r>
    </w:p>
    <w:p>
      <w:pPr>
        <w:pStyle w:val="null3"/>
        <w:ind w:firstLine="960"/>
      </w:pPr>
      <w:r>
        <w:rPr>
          <w:rFonts w:ascii="仿宋_GB2312" w:hAnsi="仿宋_GB2312" w:cs="仿宋_GB2312" w:eastAsia="仿宋_GB2312"/>
        </w:rPr>
        <w:t>详见附件：7.中小企业声明函(服务).docx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详见附件：1.供应商应提交的相关资格证明材料.docx</w:t>
      </w:r>
    </w:p>
    <w:p>
      <w:pPr>
        <w:pStyle w:val="null3"/>
        <w:ind w:firstLine="960"/>
      </w:pPr>
      <w:r>
        <w:rPr>
          <w:rFonts w:ascii="仿宋_GB2312" w:hAnsi="仿宋_GB2312" w:cs="仿宋_GB2312" w:eastAsia="仿宋_GB2312"/>
        </w:rPr>
        <w:t>详见附件：2.磋商一览表.docx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详见附件：4.法定代表人身份证明书及法定代表人授权书.docx</w:t>
      </w:r>
    </w:p>
    <w:p>
      <w:pPr>
        <w:pStyle w:val="null3"/>
        <w:ind w:firstLine="960"/>
      </w:pPr>
      <w:r>
        <w:rPr>
          <w:rFonts w:ascii="仿宋_GB2312" w:hAnsi="仿宋_GB2312" w:cs="仿宋_GB2312" w:eastAsia="仿宋_GB2312"/>
        </w:rPr>
        <w:t>详见附件：5.技术方案包2.docx</w:t>
      </w:r>
    </w:p>
    <w:p>
      <w:pPr>
        <w:pStyle w:val="null3"/>
        <w:ind w:firstLine="960"/>
      </w:pPr>
      <w:r>
        <w:rPr>
          <w:rFonts w:ascii="仿宋_GB2312" w:hAnsi="仿宋_GB2312" w:cs="仿宋_GB2312" w:eastAsia="仿宋_GB2312"/>
        </w:rPr>
        <w:t>详见附件：6.其他资料.docx</w:t>
      </w:r>
    </w:p>
    <w:p>
      <w:pPr>
        <w:pStyle w:val="null3"/>
        <w:ind w:firstLine="960"/>
      </w:pPr>
      <w:r>
        <w:rPr>
          <w:rFonts w:ascii="仿宋_GB2312" w:hAnsi="仿宋_GB2312" w:cs="仿宋_GB2312" w:eastAsia="仿宋_GB2312"/>
        </w:rPr>
        <w:t>详见附件：7.中小企业声明函(服务).docx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详见附件：4.〔采购文件-合同初稿〕2026年财政大数据技术支撑服务合同.docx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