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2C22E">
      <w:pPr>
        <w:pStyle w:val="4"/>
        <w:spacing w:before="312" w:beforeLines="100" w:after="312" w:afterLines="100" w:line="360" w:lineRule="auto"/>
        <w:jc w:val="both"/>
        <w:outlineLvl w:val="2"/>
      </w:pPr>
      <w:r>
        <w:rPr>
          <w:rFonts w:hint="eastAsia"/>
        </w:rPr>
        <w:t>附件3：中小企业声明函</w:t>
      </w:r>
    </w:p>
    <w:p w14:paraId="6B5B0B14">
      <w:pPr>
        <w:pStyle w:val="4"/>
        <w:spacing w:before="312" w:beforeLines="100" w:after="312" w:afterLines="100" w:line="360" w:lineRule="auto"/>
        <w:jc w:val="center"/>
        <w:rPr>
          <w:rFonts w:hAnsi="Times New Roman" w:cs="Times New Roman"/>
          <w:b/>
          <w:sz w:val="32"/>
        </w:rPr>
      </w:pPr>
      <w:r>
        <w:rPr>
          <w:rFonts w:hint="eastAsia" w:hAnsi="Times New Roman" w:cs="Times New Roman"/>
          <w:b/>
          <w:sz w:val="32"/>
        </w:rPr>
        <w:t>中小企业声明函(服务)</w:t>
      </w:r>
    </w:p>
    <w:p w14:paraId="212D2CC3">
      <w:pPr>
        <w:pStyle w:val="4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60" w:firstLineChars="200"/>
        <w:jc w:val="both"/>
        <w:textAlignment w:val="auto"/>
        <w:rPr>
          <w:spacing w:val="8"/>
          <w:sz w:val="20"/>
          <w:szCs w:val="20"/>
          <w:highlight w:val="none"/>
        </w:rPr>
      </w:pP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本公司(联合体)郑重声明，根据《政府采购促进中小企业发展管理办法》(财库〔2020〕46号)的规定，本公司参加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</w:rPr>
        <w:t>陕西省财政厅机关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的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eastAsia="zh-CN"/>
        </w:rPr>
        <w:t>2026年财政大数据技术支撑服务（采购包1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>/采购包2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eastAsia="zh-CN"/>
        </w:rPr>
        <w:t>）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采购活动，</w:t>
      </w:r>
      <w:r>
        <w:rPr>
          <w:rFonts w:hint="eastAsia"/>
          <w:spacing w:val="15"/>
          <w:sz w:val="20"/>
          <w:szCs w:val="20"/>
          <w:highlight w:val="none"/>
        </w:rPr>
        <w:t>服务全部由符合政策要求的中小企业承接。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相关企业(含联合体中的中小企业、签订分包意向协议的中小企业)的具体情况如下:</w:t>
      </w:r>
    </w:p>
    <w:p w14:paraId="180CD902">
      <w:pPr>
        <w:pStyle w:val="4"/>
        <w:spacing w:beforeAutospacing="0" w:afterAutospacing="0" w:line="360" w:lineRule="auto"/>
        <w:ind w:firstLine="462" w:firstLineChars="200"/>
        <w:jc w:val="both"/>
        <w:rPr>
          <w:spacing w:val="8"/>
          <w:sz w:val="20"/>
          <w:szCs w:val="20"/>
        </w:rPr>
      </w:pP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eastAsia="zh-CN"/>
        </w:rPr>
        <w:t>2026年财政大数据技术支撑服务（采购包1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val="en-US" w:eastAsia="zh-CN"/>
        </w:rPr>
        <w:t>/采购包2</w:t>
      </w:r>
      <w:r>
        <w:rPr>
          <w:rFonts w:hint="eastAsia"/>
          <w:b/>
          <w:bCs/>
          <w:spacing w:val="15"/>
          <w:sz w:val="20"/>
          <w:szCs w:val="20"/>
          <w:highlight w:val="none"/>
          <w:u w:val="single"/>
          <w:shd w:val="clear" w:color="auto" w:fill="FFFFFF"/>
          <w:lang w:eastAsia="zh-CN"/>
        </w:rPr>
        <w:t>）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，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属于</w:t>
      </w:r>
      <w:r>
        <w:rPr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 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软件和信息技术服务业 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；承接企业为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  (企业名称)  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，从业人员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      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人，营业收入为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   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万元，资产总额为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>       </w:t>
      </w:r>
      <w:r>
        <w:rPr>
          <w:rFonts w:hint="eastAsia"/>
          <w:spacing w:val="15"/>
          <w:sz w:val="20"/>
          <w:szCs w:val="20"/>
          <w:highlight w:val="none"/>
          <w:shd w:val="clear" w:color="auto" w:fill="FFFFFF"/>
        </w:rPr>
        <w:t>万元，属于</w:t>
      </w:r>
      <w:r>
        <w:rPr>
          <w:rFonts w:hint="eastAsia"/>
          <w:spacing w:val="15"/>
          <w:sz w:val="20"/>
          <w:szCs w:val="20"/>
          <w:highlight w:val="none"/>
          <w:u w:val="single"/>
          <w:shd w:val="clear" w:color="auto" w:fill="FFFFFF"/>
        </w:rPr>
        <w:t xml:space="preserve">     (中型企</w:t>
      </w:r>
      <w:r>
        <w:rPr>
          <w:rFonts w:hint="eastAsia"/>
          <w:spacing w:val="15"/>
          <w:sz w:val="20"/>
          <w:szCs w:val="20"/>
          <w:u w:val="single"/>
          <w:shd w:val="clear" w:color="auto" w:fill="FFFFFF"/>
        </w:rPr>
        <w:t>业、小型企业、微型企业)    。</w:t>
      </w:r>
      <w:bookmarkStart w:id="1" w:name="_GoBack"/>
      <w:bookmarkEnd w:id="1"/>
    </w:p>
    <w:p w14:paraId="6446C2E1">
      <w:pPr>
        <w:pStyle w:val="4"/>
        <w:spacing w:line="360" w:lineRule="auto"/>
        <w:ind w:firstLine="400" w:firstLineChars="200"/>
        <w:jc w:val="both"/>
        <w:rPr>
          <w:sz w:val="20"/>
          <w:szCs w:val="20"/>
        </w:rPr>
      </w:pPr>
      <w:bookmarkStart w:id="0" w:name="_Hlk74735468"/>
      <w:r>
        <w:rPr>
          <w:rFonts w:hint="eastAsia"/>
          <w:sz w:val="20"/>
          <w:szCs w:val="20"/>
        </w:rPr>
        <w:t>以上企业，不属于大企业的分支机构，不存在控股股东为大企业的情形，也不存在与大企业的负责人为同一人的情形。</w:t>
      </w:r>
    </w:p>
    <w:p w14:paraId="218FAA36">
      <w:pPr>
        <w:pStyle w:val="4"/>
        <w:spacing w:line="360" w:lineRule="auto"/>
        <w:ind w:firstLine="400" w:firstLineChars="200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本企业对上述声明内容的真实性负责。如有虚假，将依法承担相应责任。</w:t>
      </w:r>
    </w:p>
    <w:p w14:paraId="70B65AC7">
      <w:pPr>
        <w:pStyle w:val="4"/>
        <w:spacing w:line="360" w:lineRule="auto"/>
        <w:ind w:firstLine="400" w:firstLineChars="200"/>
        <w:jc w:val="both"/>
        <w:rPr>
          <w:sz w:val="20"/>
          <w:szCs w:val="20"/>
        </w:rPr>
      </w:pPr>
      <w:r>
        <w:rPr>
          <w:rFonts w:hint="eastAsia"/>
          <w:sz w:val="20"/>
          <w:szCs w:val="20"/>
        </w:rPr>
        <w:t>从业人员、营业收入、资产总额填报上一年度数据，无上一年度数据的新成立企业可不填报。</w:t>
      </w:r>
    </w:p>
    <w:bookmarkEnd w:id="0"/>
    <w:p w14:paraId="47E0049D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spacing w:val="6"/>
          <w:sz w:val="20"/>
          <w:szCs w:val="20"/>
        </w:rPr>
      </w:pPr>
    </w:p>
    <w:p w14:paraId="17E100B3">
      <w:pPr>
        <w:numPr>
          <w:ilvl w:val="0"/>
          <w:numId w:val="1"/>
        </w:numPr>
        <w:suppressAutoHyphens/>
        <w:spacing w:line="360" w:lineRule="auto"/>
        <w:jc w:val="center"/>
        <w:rPr>
          <w:rFonts w:ascii="宋体" w:hAnsi="宋体" w:cs="宋体"/>
          <w:spacing w:val="6"/>
          <w:sz w:val="20"/>
          <w:szCs w:val="20"/>
        </w:rPr>
      </w:pPr>
      <w:r>
        <w:rPr>
          <w:rFonts w:hint="eastAsia" w:ascii="宋体" w:hAnsi="宋体" w:cs="宋体"/>
          <w:spacing w:val="6"/>
          <w:sz w:val="20"/>
          <w:szCs w:val="20"/>
        </w:rPr>
        <w:t xml:space="preserve">                          </w:t>
      </w:r>
      <w:r>
        <w:rPr>
          <w:rFonts w:hint="eastAsia" w:ascii="宋体" w:hAnsi="宋体" w:eastAsia="宋体" w:cs="宋体"/>
          <w:spacing w:val="6"/>
          <w:sz w:val="20"/>
          <w:szCs w:val="20"/>
        </w:rPr>
        <w:t>企业名称（盖章）：</w:t>
      </w:r>
      <w:r>
        <w:rPr>
          <w:rFonts w:hint="eastAsia" w:ascii="宋体" w:hAnsi="宋体" w:eastAsia="宋体" w:cs="宋体"/>
          <w:spacing w:val="6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cs="宋体"/>
          <w:spacing w:val="6"/>
          <w:sz w:val="20"/>
          <w:szCs w:val="20"/>
          <w:u w:val="single"/>
        </w:rPr>
        <w:t xml:space="preserve"> </w:t>
      </w:r>
    </w:p>
    <w:p w14:paraId="32F324A1">
      <w:pPr>
        <w:tabs>
          <w:tab w:val="left" w:pos="720"/>
          <w:tab w:val="left" w:pos="900"/>
        </w:tabs>
        <w:snapToGrid w:val="0"/>
        <w:spacing w:line="360" w:lineRule="auto"/>
        <w:jc w:val="right"/>
        <w:rPr>
          <w:rFonts w:ascii="宋体"/>
          <w:sz w:val="20"/>
          <w:szCs w:val="20"/>
        </w:rPr>
      </w:pPr>
      <w:r>
        <w:rPr>
          <w:rFonts w:hint="eastAsia" w:ascii="宋体"/>
          <w:sz w:val="20"/>
          <w:szCs w:val="20"/>
        </w:rPr>
        <w:t>日</w:t>
      </w:r>
      <w:r>
        <w:rPr>
          <w:rFonts w:ascii="宋体"/>
          <w:sz w:val="20"/>
          <w:szCs w:val="20"/>
        </w:rPr>
        <w:t xml:space="preserve">  期：</w:t>
      </w:r>
      <w:r>
        <w:rPr>
          <w:rFonts w:hint="eastAsia" w:ascii="宋体"/>
          <w:sz w:val="20"/>
          <w:szCs w:val="20"/>
        </w:rPr>
        <w:t xml:space="preserve"> </w:t>
      </w:r>
      <w:r>
        <w:rPr>
          <w:rFonts w:hint="eastAsia" w:ascii="宋体"/>
          <w:sz w:val="20"/>
          <w:szCs w:val="20"/>
          <w:u w:val="single"/>
        </w:rPr>
        <w:t xml:space="preserve">     </w:t>
      </w:r>
      <w:r>
        <w:rPr>
          <w:rFonts w:hint="eastAsia" w:ascii="宋体"/>
          <w:sz w:val="20"/>
          <w:szCs w:val="20"/>
        </w:rPr>
        <w:t>年</w:t>
      </w:r>
      <w:r>
        <w:rPr>
          <w:rFonts w:hint="eastAsia" w:ascii="宋体"/>
          <w:sz w:val="20"/>
          <w:szCs w:val="20"/>
          <w:u w:val="single"/>
        </w:rPr>
        <w:t xml:space="preserve">     </w:t>
      </w:r>
      <w:r>
        <w:rPr>
          <w:rFonts w:hint="eastAsia" w:ascii="宋体"/>
          <w:sz w:val="20"/>
          <w:szCs w:val="20"/>
        </w:rPr>
        <w:t>月</w:t>
      </w:r>
      <w:r>
        <w:rPr>
          <w:rFonts w:hint="eastAsia" w:ascii="宋体"/>
          <w:sz w:val="20"/>
          <w:szCs w:val="20"/>
          <w:u w:val="single"/>
        </w:rPr>
        <w:t xml:space="preserve">     </w:t>
      </w:r>
      <w:r>
        <w:rPr>
          <w:rFonts w:hint="eastAsia" w:ascii="宋体"/>
          <w:sz w:val="20"/>
          <w:szCs w:val="20"/>
        </w:rPr>
        <w:t>日</w:t>
      </w:r>
    </w:p>
    <w:p w14:paraId="2AB6F3BF">
      <w:pPr>
        <w:numPr>
          <w:ilvl w:val="0"/>
          <w:numId w:val="1"/>
        </w:numPr>
        <w:suppressAutoHyphens/>
        <w:spacing w:line="360" w:lineRule="auto"/>
        <w:jc w:val="right"/>
        <w:rPr>
          <w:rFonts w:ascii="宋体" w:hAnsi="宋体"/>
          <w:b/>
          <w:sz w:val="24"/>
          <w:szCs w:val="24"/>
        </w:rPr>
      </w:pPr>
    </w:p>
    <w:p w14:paraId="3DB313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5B6226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374B41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2F885108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B4C44A1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next w:val="3"/>
    <w:qFormat/>
    <w:uiPriority w:val="0"/>
    <w:pPr>
      <w:widowControl w:val="0"/>
      <w:autoSpaceDE/>
      <w:autoSpaceDN/>
      <w:spacing w:before="0" w:after="0" w:line="240" w:lineRule="auto"/>
      <w:ind w:left="100" w:hanging="200"/>
      <w:jc w:val="both"/>
    </w:pPr>
    <w:rPr>
      <w:rFonts w:ascii="Times New Roman" w:eastAsia="宋体"/>
      <w:sz w:val="21"/>
    </w:rPr>
  </w:style>
  <w:style w:type="paragraph" w:styleId="3">
    <w:name w:val="HTML Preformatted"/>
    <w:basedOn w:val="1"/>
    <w:next w:val="1"/>
    <w:qFormat/>
    <w:uiPriority w:val="99"/>
    <w:pPr>
      <w:widowControl w:val="0"/>
      <w:autoSpaceDE/>
      <w:autoSpaceDN/>
      <w:spacing w:before="0" w:after="0" w:line="240" w:lineRule="auto"/>
      <w:ind w:left="0" w:firstLine="0"/>
      <w:jc w:val="both"/>
    </w:pPr>
    <w:rPr>
      <w:rFonts w:ascii="Courier New" w:eastAsia="宋体"/>
      <w:sz w:val="20"/>
    </w:rPr>
  </w:style>
  <w:style w:type="paragraph" w:styleId="4">
    <w:name w:val="Normal (Web)"/>
    <w:basedOn w:val="1"/>
    <w:next w:val="2"/>
    <w:qFormat/>
    <w:uiPriority w:val="0"/>
    <w:pPr>
      <w:widowControl/>
      <w:autoSpaceDE/>
      <w:autoSpaceDN/>
      <w:spacing w:before="280" w:after="280" w:line="240" w:lineRule="auto"/>
      <w:ind w:left="0" w:firstLine="0"/>
      <w:jc w:val="both"/>
    </w:pPr>
    <w:rPr>
      <w:rFonts w:ascii="宋体" w:eastAsia="宋体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409</Characters>
  <Lines>0</Lines>
  <Paragraphs>0</Paragraphs>
  <TotalTime>0</TotalTime>
  <ScaleCrop>false</ScaleCrop>
  <LinksUpToDate>false</LinksUpToDate>
  <CharactersWithSpaces>498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2025-12-09T06:37:12Z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