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版本号：HXGJXM2025-ZC-DY100620251208001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医疗机构能力提升电子胃肠镜采购项目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HXGJXM2025-ZC-DY1006</w:t>
      </w:r>
      <w:r>
        <w:br/>
      </w:r>
      <w:r>
        <w:br/>
      </w:r>
      <w:r>
        <w:br/>
      </w:r>
      <w:r>
        <w:br/>
      </w:r>
      <w:r>
        <w:br/>
      </w:r>
    </w:p>
    <w:p>
      <w:pPr>
        <w:pStyle w:val="null3"/>
        <w:jc w:val="center"/>
        <w:outlineLvl w:val="5"/>
      </w:pPr>
      <w:r>
        <w:rPr>
          <w:rFonts w:ascii="仿宋_GB2312" w:hAnsi="仿宋_GB2312" w:cs="仿宋_GB2312" w:eastAsia="仿宋_GB2312"/>
          <w:sz w:val="15"/>
          <w:b/>
        </w:rPr>
        <w:t>西安医学院附属宝鸡医院</w:t>
      </w:r>
    </w:p>
    <w:p>
      <w:pPr>
        <w:pStyle w:val="null3"/>
        <w:jc w:val="center"/>
        <w:outlineLvl w:val="5"/>
      </w:pPr>
      <w:r>
        <w:rPr>
          <w:rFonts w:ascii="仿宋_GB2312" w:hAnsi="仿宋_GB2312" w:cs="仿宋_GB2312" w:eastAsia="仿宋_GB2312"/>
          <w:sz w:val="15"/>
          <w:b/>
        </w:rPr>
        <w:t>华夏国际项目管理（西安）有限公司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西安医学院附属宝鸡医院</w:t>
      </w:r>
      <w:r>
        <w:rPr>
          <w:rFonts w:ascii="仿宋_GB2312" w:hAnsi="仿宋_GB2312" w:cs="仿宋_GB2312" w:eastAsia="仿宋_GB2312"/>
        </w:rPr>
        <w:t>委托，拟对</w:t>
      </w:r>
      <w:r>
        <w:rPr>
          <w:rFonts w:ascii="仿宋_GB2312" w:hAnsi="仿宋_GB2312" w:cs="仿宋_GB2312" w:eastAsia="仿宋_GB2312"/>
        </w:rPr>
        <w:t>医疗机构能力提升电子胃肠镜采购项目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HXGJXM2025-ZC-DY1006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医疗机构能力提升电子胃肠镜采购项目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本项目采购电子胃肠镜两套（胃镜、肠镜各一套），与医院现有主机(型号：CV-290,品牌：奥林巴斯)适配使用，用于患者胃肠镜检查及胃肠镜下的各种治疗。具体要求详见第三章。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身份证明/法定代表人授权书：法定代表人授权书（附法定代表人、被授权人身份证复印件）及被授权人在谈判截止日前一年内在本单位已缴存的至少一个月的社会保险参保缴费证明；法定代表人直接参加谈判，须提供法定代表人身份证明。</w:t>
      </w:r>
    </w:p>
    <w:p>
      <w:pPr>
        <w:pStyle w:val="null3"/>
      </w:pPr>
      <w:r>
        <w:rPr>
          <w:rFonts w:ascii="仿宋_GB2312" w:hAnsi="仿宋_GB2312" w:cs="仿宋_GB2312" w:eastAsia="仿宋_GB2312"/>
        </w:rPr>
        <w:t>2、单位资质：供应商为代理商的提供医疗器械经营许可证（或医疗器械经营备案凭证）和生产厂家的医疗器械生产许可证（进口产品不需要提供医疗器械生产许可证）；供应商为生产厂家的提供医疗器械生产许可证（进口产品不需要提供医疗器械生产许可证）。</w:t>
      </w:r>
    </w:p>
    <w:p>
      <w:pPr>
        <w:pStyle w:val="null3"/>
      </w:pPr>
      <w:r>
        <w:rPr>
          <w:rFonts w:ascii="仿宋_GB2312" w:hAnsi="仿宋_GB2312" w:cs="仿宋_GB2312" w:eastAsia="仿宋_GB2312"/>
        </w:rPr>
        <w:t>3、所投产品医疗器械注册证：提供拟投产品的医疗器械注册证。</w:t>
      </w:r>
    </w:p>
    <w:p>
      <w:pPr>
        <w:pStyle w:val="null3"/>
      </w:pPr>
      <w:r>
        <w:rPr>
          <w:rFonts w:ascii="仿宋_GB2312" w:hAnsi="仿宋_GB2312" w:cs="仿宋_GB2312" w:eastAsia="仿宋_GB2312"/>
        </w:rPr>
        <w:t>4、进口产品授权证明文件：进口产品需提供完整授权链条的产品授权书，且授权范围需包含本次采购项目内容。</w:t>
      </w:r>
    </w:p>
    <w:p>
      <w:pPr>
        <w:pStyle w:val="null3"/>
      </w:pPr>
      <w:r>
        <w:rPr>
          <w:rFonts w:ascii="仿宋_GB2312" w:hAnsi="仿宋_GB2312" w:cs="仿宋_GB2312" w:eastAsia="仿宋_GB2312"/>
        </w:rPr>
        <w:t>5、信用记录：供应商未被“信用中国”网站（www.creditchina.gov.cn）列入失信被执行人和重大税收违法失信主体，未被中国政府采购网（www.ccgp.gov.cn）列入政府采购严重违法失信行为记录名单。（供应商可不提供，由采购代理机构开标现场查询结果为准并留存）</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西安医学院附属宝鸡医院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陕西省宝鸡市渭滨区清姜路4号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0917-3619990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柴彩珍、陆文科、康敏茹、张艳萍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采购预算为基数，招标代理服务费参照国家计委颁发的《招标代理服务收费管理暂行办法》（计价格[2002]1980号）和国家发展改革委员会办公厅颁发的《关于招标代理服务收费有关问题的通知》（发改办价格[2003]857号）的有关规定下浮36%执行。（不足5000元，按5000元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西安医学院附属宝鸡医院</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西安医学院附属宝鸡医院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满足国内相应的标准、规范及采购人要求。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本项目采购电子胃肠镜两套（胃镜、肠镜各一套），与医院现有主机(型号：CV-290,品牌：奥林巴斯)适配使用，用于患者胃肠镜检查及胃肠镜下的各种治疗。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电子胃肠镜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条</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标的名称：电子胃肠镜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一、高清电子胃镜（一套）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1.1.具备满足特殊光观察的HDTV专用CCD（实现特殊光捕捉显示功能）；</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1.2.具备全防水设计，无需内镜电缆，无需防水盖简化医护人员插拔流程；</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1.3.具备短弯曲功能；</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color w:val="000000"/>
              </w:rPr>
              <w:t>1.4.视野角：≥140°；</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color w:val="000000"/>
              </w:rPr>
              <w:t>1.5.视野方向：0° 直视；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color w:val="000000"/>
              </w:rPr>
              <w:t>1.6.景深：3-100mm,近距离对焦功能可以达到放大的特写图像；</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4"/>
                <w:color w:val="000000"/>
              </w:rPr>
              <w:t>1.7.弯曲角度 上≥210°、下≥90°，左≥100°，右≥100°；</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4"/>
                <w:color w:val="000000"/>
              </w:rPr>
              <w:t>1.8.插入部外径：≤10mm；</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color w:val="000000"/>
              </w:rPr>
              <w:t>1.9.先端部外径：≤10.5mm；</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4"/>
              </w:rPr>
              <w:t>1.10.钳子管道内径：≥2.8mm；</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4"/>
              </w:rPr>
              <w:t>1.11.有效长度：≥1000mm；</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4"/>
              </w:rPr>
              <w:t>1.12.全长：≥1300mm；</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4"/>
              </w:rPr>
              <w:t>1.13.具有副送水功能；</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4"/>
              </w:rPr>
              <w:t>1.14.与CV290主机完全匹配，无需外接或转接其它配件；</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4"/>
              </w:rPr>
              <w:t>1.15.配双开门胃镜储存柜（带紫外线臭氧消毒功能）。</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4"/>
                <w:b/>
              </w:rPr>
              <w:t>二、高清电子肠镜（一套）</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4"/>
              </w:rPr>
              <w:t>2.1.具备满足特殊光观察的HDTV专用CCD（实现特殊光捕捉显示功能）</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4"/>
              </w:rPr>
              <w:t>2.2.视野角度：≥170°（常规焦距及近焦模式）；</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4"/>
              </w:rPr>
              <w:t>2.3.景深：5-100mm；</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24"/>
              </w:rPr>
              <w:t>2.4.视野方向: 0° 直视；</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sz w:val="24"/>
              </w:rPr>
              <w:t>2.5.弯曲角度：向上≥180°，下≥180°,向右≥160°，左≥160°；</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sz w:val="24"/>
              </w:rPr>
              <w:t>2.6.先端部外径：≤13.5mm；</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sz w:val="24"/>
              </w:rPr>
              <w:t>2.7.插入部外径：≤12.8mm；</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sz w:val="24"/>
              </w:rPr>
              <w:t>2.8.器械钳道内径：≥3.7mm；</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sz w:val="24"/>
              </w:rPr>
              <w:t>2.9.工作长度：≥1300mm，总长度：≥1650mm；</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sz w:val="24"/>
              </w:rPr>
              <w:t>2.10.具有副送水功能；</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sz w:val="24"/>
              </w:rPr>
              <w:t>2.11.具有强力传导、智能弯曲、可变硬度功能；</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sz w:val="24"/>
              </w:rPr>
              <w:t>2.12.具备全防水设计，无需内镜电缆，无需防水盖；</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sz w:val="24"/>
              </w:rPr>
              <w:t>2.13.与CV290主机完全匹配，无需外接或转接其它配件；</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sz w:val="24"/>
              </w:rPr>
              <w:t>2.14.配双开门肠镜储存柜（带紫外线臭氧消毒功能）。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自合同签订后90日历天内完成供货、安装调试并交付使用。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合同签订生效且安装调试终验合格后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时发现包装有破损，包装不善引起的产品损坏，甲方有权不予开箱验收；开箱后如果发现产品的生产厂家、产地、品种、型号和质量不符合约定或规定，有权拒收产品或者不予验收，乙方应当根据本合同相关约定承担违约责任。 2.验收： 2-1到货验收：货物到货后，由甲方与乙方共同进行外观验收，验收内容包括，外包装的完好性，货物品牌、规格、数量、配件及产地与合同要求的一致性。 2-2货物运行验收：乙方安装调试合格运行正常后，向甲方提出验收申请，甲方接到乙方验收申请后组织验收（必要时可聘请相应专家或委托相应部门验收），验收合格后，出具使用验收合格证明。 3.验收依据： 3-1.合同文本、合同附件、谈判文件、谈判响应文件。 3-2.国内相应的标准、规范。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1、保修期：≥2年。 2、设备须为到货之日前1年内生产的产品。</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1.按《中华人民共和国民法典》中的相关条款执行。 2.售后履约处罚：如在质保期内未能如约履行售后服务承诺，导致医院工作不能正常开展，甲方有权索取赔偿，赔偿金额最高至合同金额的10%。并且将相关供应商及厂家记入医院供应商不良信用名单，同时向财政部门汇报将其纳入政府采购严重违法失信行为记录名单，严禁参加政府采购活动。  3.乙方履约延误 3-1.如乙方事先未征得甲方同意并得到甲方的谅解而单方面延迟交货，将按违约终止合同。 3-2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4.违约终止合同：未按合同要求提供货物或质量不能满足技术要求，甲方会同监督机构有权终止合同，对乙方违约行为进行追究，同时按政府采购法的有关规定进行相应的处罚。 解决争议的方法： 在履行过程中发生的争议，由甲、乙双方当事人协商解决；协商不成的，任意一方应向甲方所在地人民法院起诉。</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1、提供合格有效的法人或者其他组织的营业执照等证明文件，自然人的身份证明；供应商是法人或其他组织的应提供营业执照等证明文件，供应商是自然人的应提供有效的自然人身份证明。 2、财务状况报告：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 3、税收缴纳证明：提供递交响应文件截止之日前一年内任意一个月的依法缴纳税收的完税证明，完税证明应有税务机关或代收机关的公章或业务专用章。依法免税或无须缴纳税收的供应商，应提供相应证明文件。 4、社会保障资金缴纳证明：提供谈判时间前一年内已缴存的至少一个月的社会保障资金缴存单据或社保机构开具的社会保险参保缴费情况证明，依法不需要缴纳社会保障资金的单位应提供相关证明材料。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存款账户信息）】,以上形式的证明资料提供任何一种即可。</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身份证明/法定代表人授权书：法定代表人授权书（附法定代表人、被授权人身份证复印件）及被授权人在谈判截止日前一年内在本单位已缴存的至少一个月的社会保险参保缴费证明；法定代表人直接参加谈判，须提供法定代表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单位资质</w:t>
            </w:r>
          </w:p>
        </w:tc>
        <w:tc>
          <w:tcPr>
            <w:tcW w:type="dxa" w:w="3322"/>
          </w:tcPr>
          <w:p>
            <w:pPr>
              <w:pStyle w:val="null3"/>
            </w:pPr>
            <w:r>
              <w:rPr>
                <w:rFonts w:ascii="仿宋_GB2312" w:hAnsi="仿宋_GB2312" w:cs="仿宋_GB2312" w:eastAsia="仿宋_GB2312"/>
              </w:rPr>
              <w:t>供应商为代理商的提供医疗器械经营许可证（或医疗器械经营备案凭证）和生产厂家的医疗器械生产许可证（进口产品不需要提供医疗器械生产许可证）；供应商为生产厂家的提供医疗器械生产许可证（进口产品不需要提供医疗器械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所投产品医疗器械注册证</w:t>
            </w:r>
          </w:p>
        </w:tc>
        <w:tc>
          <w:tcPr>
            <w:tcW w:type="dxa" w:w="3322"/>
          </w:tcPr>
          <w:p>
            <w:pPr>
              <w:pStyle w:val="null3"/>
            </w:pPr>
            <w:r>
              <w:rPr>
                <w:rFonts w:ascii="仿宋_GB2312" w:hAnsi="仿宋_GB2312" w:cs="仿宋_GB2312" w:eastAsia="仿宋_GB2312"/>
              </w:rPr>
              <w:t>提供拟投产品的医疗器械注册证。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进口产品授权证明文件</w:t>
            </w:r>
          </w:p>
        </w:tc>
        <w:tc>
          <w:tcPr>
            <w:tcW w:type="dxa" w:w="3322"/>
          </w:tcPr>
          <w:p>
            <w:pPr>
              <w:pStyle w:val="null3"/>
            </w:pPr>
            <w:r>
              <w:rPr>
                <w:rFonts w:ascii="仿宋_GB2312" w:hAnsi="仿宋_GB2312" w:cs="仿宋_GB2312" w:eastAsia="仿宋_GB2312"/>
              </w:rPr>
              <w:t>进口产品需提供完整授权链条的产品授权书，且授权范围需包含本次采购项目内容。</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可不提供，由采购代理机构开标现场查询结果为准并留存）</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报价一览表及分项报价表.docx 谈判方案说明.docx 中小企业声明函 残疾人福利性单位声明函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报价一览表及分项报价表.docx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1、谈判供应商未经过正常渠道获取谈判文件，或谈判供应商名称与获取谈判文件时登记的谈判供应商名称不符的； 2、谈判响应文件未按谈判文件要求签署、盖章的； 3、无谈判有效期或有效期达不到谈判文件要求的； 4、提供虚假证明（包括第三方提供的虚假证明），开具虚假资质，出现虚假应答的； 5、谈判响应文件含有采购人不能接受的附加条件的； 6、谈判总报价超过谈判文件公布的采购预算的； 7、法律、法规规定的其他无效情形。</w:t>
            </w:r>
          </w:p>
        </w:tc>
        <w:tc>
          <w:tcPr>
            <w:tcW w:type="dxa" w:w="1661"/>
          </w:tcPr>
          <w:p>
            <w:pPr>
              <w:pStyle w:val="null3"/>
            </w:pPr>
            <w:r>
              <w:rPr>
                <w:rFonts w:ascii="仿宋_GB2312" w:hAnsi="仿宋_GB2312" w:cs="仿宋_GB2312" w:eastAsia="仿宋_GB2312"/>
              </w:rPr>
              <w:t>响应文件封面 报价一览表及分项报价表.docx 谈判方案说明.docx 中小企业声明函 残疾人福利性单位声明函 标的清单 报价表 供应商资格证明文件.docx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详见附件：谈判方案说明.docx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