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版本号：ZMZB2025YDDX-444R20251209001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NTN网络与终端采购项目（二次）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ZMZB2025YDDX-444R</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NTN网络与终端采购项目（二次）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ZMZB2025YDDX-444R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NTN网络与终端采购项目（二次）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NTN网络与终端采购项目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NTN网络与终端采购项目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1,220,000.00</w:t>
      </w:r>
    </w:p>
    <w:p>
      <w:pPr>
        <w:pStyle w:val="null3"/>
      </w:pPr>
      <w:r>
        <w:rPr>
          <w:rFonts w:ascii="仿宋_GB2312" w:hAnsi="仿宋_GB2312" w:cs="仿宋_GB2312" w:eastAsia="仿宋_GB2312"/>
        </w:rPr>
        <w:t>采购包最高限价（元）: 1,220,000.00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NTN网络与终端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标的名称：NTN网络与终端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NTN网络模拟系统：1套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b/>
              </w:rPr>
              <w:t>（一）</w:t>
            </w:r>
            <w:r>
              <w:rPr>
                <w:rFonts w:ascii="仿宋_GB2312" w:hAnsi="仿宋_GB2312" w:cs="仿宋_GB2312" w:eastAsia="仿宋_GB2312"/>
                <w:b/>
              </w:rPr>
              <w:t>NTN基站功能</w:t>
            </w:r>
          </w:p>
          <w:p>
            <w:pPr>
              <w:pStyle w:val="null3"/>
            </w:pPr>
            <w:r>
              <w:rPr>
                <w:rFonts w:ascii="仿宋_GB2312" w:hAnsi="仿宋_GB2312" w:cs="仿宋_GB2312" w:eastAsia="仿宋_GB2312"/>
              </w:rPr>
              <w:t>1.至少支持3GPP R17 IoT/NR NTN标准</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2.支持IoT NTN、NR NTN、</w:t>
            </w:r>
            <w:r>
              <w:rPr>
                <w:rFonts w:ascii="仿宋_GB2312" w:hAnsi="仿宋_GB2312" w:cs="仿宋_GB2312" w:eastAsia="仿宋_GB2312"/>
              </w:rPr>
              <w:t>eMTC</w:t>
            </w:r>
            <w:r>
              <w:rPr>
                <w:rFonts w:ascii="仿宋_GB2312" w:hAnsi="仿宋_GB2312" w:cs="仿宋_GB2312" w:eastAsia="仿宋_GB2312"/>
              </w:rPr>
              <w:t>协议；</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3.模拟NTN基站时，支持高、中、低轨道卫星链路，并支持相应的卫星信道仿真功能，至少包括时延和多普勒频偏的动态仿真；</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4.具备运行时实时卫星星历更新能力；</w:t>
            </w:r>
          </w:p>
          <w:p>
            <w:pPr>
              <w:pStyle w:val="null3"/>
            </w:pPr>
            <w:r>
              <w:rPr>
                <w:rFonts w:ascii="仿宋_GB2312" w:hAnsi="仿宋_GB2312" w:cs="仿宋_GB2312" w:eastAsia="仿宋_GB2312"/>
              </w:rPr>
              <w:t>5.可关联NTN基站，进行星座模拟，星座规模最大不小于5000颗LEO卫星；</w:t>
            </w:r>
          </w:p>
          <w:p>
            <w:pPr>
              <w:pStyle w:val="null3"/>
            </w:pPr>
            <w:r>
              <w:rPr>
                <w:rFonts w:ascii="仿宋_GB2312" w:hAnsi="仿宋_GB2312" w:cs="仿宋_GB2312" w:eastAsia="仿宋_GB2312"/>
              </w:rPr>
              <w:t>6.NR NTN需至少支持3gpp定义的N255、N256频段，带宽支持5MHz、10MHz、15MHz、20MHz、30MHz，可根据需要灵活配置；</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7.支持标准的LTE基站模拟，模拟LTE基站时，至少可支持1CC 20MHz 4x4 MIMO或2CC 20MHz 2x2 MIMO</w:t>
            </w:r>
            <w:r>
              <w:rPr>
                <w:rFonts w:ascii="仿宋_GB2312" w:hAnsi="仿宋_GB2312" w:cs="仿宋_GB2312" w:eastAsia="仿宋_GB2312"/>
              </w:rPr>
              <w:t>及</w:t>
            </w:r>
            <w:r>
              <w:rPr>
                <w:rFonts w:ascii="仿宋_GB2312" w:hAnsi="仿宋_GB2312" w:cs="仿宋_GB2312" w:eastAsia="仿宋_GB2312"/>
              </w:rPr>
              <w:t>CA技术</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8.支持标准的NR基站模拟，模拟NR基站时，至少可支持1CC 100MHz 4x4 MIMO或2CC 100MHz 2x2 MIMO；</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9.性能要求：NR NTN配置20MHz SISO时下行速率不低于60Mbps，LTE配置20MHz 4x4 MIMO时下行速率不低于380Mbps，NR配置TDD 100MHz 4x4时最大下行速率不低于1.5Gbps；</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10.支持小区间切换；</w:t>
            </w:r>
          </w:p>
          <w:p>
            <w:pPr>
              <w:pStyle w:val="null3"/>
            </w:pPr>
            <w:r>
              <w:rPr>
                <w:rFonts w:ascii="仿宋_GB2312" w:hAnsi="仿宋_GB2312" w:cs="仿宋_GB2312" w:eastAsia="仿宋_GB2312"/>
              </w:rPr>
              <w:t>11.最大可支持不小于64个终端接入且并发业务；</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12.射频能力：可支持500MHz~6 GHz的可调节射频收发能力，每个发射端口最大功率不大于10dBm；支持5~100 MHz的可调节射频带宽；对应系统能力为支持3gpp规范定义的Sub6G频段，且基站带宽</w:t>
            </w:r>
            <w:r>
              <w:rPr>
                <w:rFonts w:ascii="仿宋_GB2312" w:hAnsi="仿宋_GB2312" w:cs="仿宋_GB2312" w:eastAsia="仿宋_GB2312"/>
              </w:rPr>
              <w:t>支持</w:t>
            </w:r>
            <w:r>
              <w:rPr>
                <w:rFonts w:ascii="仿宋_GB2312" w:hAnsi="仿宋_GB2312" w:cs="仿宋_GB2312" w:eastAsia="仿宋_GB2312"/>
              </w:rPr>
              <w:t>5-100MHz。</w:t>
            </w:r>
            <w:r>
              <w:rPr>
                <w:rFonts w:ascii="仿宋_GB2312" w:hAnsi="仿宋_GB2312" w:cs="仿宋_GB2312" w:eastAsia="仿宋_GB2312"/>
              </w:rPr>
              <w:t>可</w:t>
            </w:r>
            <w:r>
              <w:rPr>
                <w:rFonts w:ascii="仿宋_GB2312" w:hAnsi="仿宋_GB2312" w:cs="仿宋_GB2312" w:eastAsia="仿宋_GB2312"/>
              </w:rPr>
              <w:t>扩展支持</w:t>
            </w:r>
            <w:r>
              <w:rPr>
                <w:rFonts w:ascii="仿宋_GB2312" w:hAnsi="仿宋_GB2312" w:cs="仿宋_GB2312" w:eastAsia="仿宋_GB2312"/>
              </w:rPr>
              <w:t>400MHz带宽，频率最高可支持到7.125GHz。</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13.支持GPS和外部时钟输入；</w:t>
            </w:r>
          </w:p>
          <w:p>
            <w:pPr>
              <w:pStyle w:val="null3"/>
            </w:pPr>
            <w:r>
              <w:rPr>
                <w:rFonts w:ascii="仿宋_GB2312" w:hAnsi="仿宋_GB2312" w:cs="仿宋_GB2312" w:eastAsia="仿宋_GB2312"/>
              </w:rPr>
              <w:t>14.支持与核心网对接的标准S1AP、NGAP和GTP-U接口，可对接第三方核心网。</w:t>
            </w:r>
          </w:p>
          <w:p>
            <w:pPr>
              <w:pStyle w:val="null3"/>
            </w:pPr>
            <w:r>
              <w:rPr>
                <w:rFonts w:ascii="仿宋_GB2312" w:hAnsi="仿宋_GB2312" w:cs="仿宋_GB2312" w:eastAsia="仿宋_GB2312"/>
                <w:b/>
              </w:rPr>
              <w:t>（二）核心网功能</w:t>
            </w:r>
          </w:p>
          <w:p>
            <w:pPr>
              <w:pStyle w:val="null3"/>
            </w:pPr>
            <w:r>
              <w:rPr>
                <w:rFonts w:ascii="仿宋_GB2312" w:hAnsi="仿宋_GB2312" w:cs="仿宋_GB2312" w:eastAsia="仿宋_GB2312"/>
              </w:rPr>
              <w:t>1.遵循3gpp R17规范；</w:t>
            </w:r>
          </w:p>
          <w:p>
            <w:pPr>
              <w:pStyle w:val="null3"/>
            </w:pPr>
            <w:r>
              <w:rPr>
                <w:rFonts w:ascii="仿宋_GB2312" w:hAnsi="仿宋_GB2312" w:cs="仿宋_GB2312" w:eastAsia="仿宋_GB2312"/>
              </w:rPr>
              <w:t>2.支持标准S1接口的LTE基站和NG接口5G基站接入；</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3.支持的终端附着、鉴权、安全配置、位置更新、业务接入、无线承载建立、寻呼等流程</w:t>
            </w:r>
            <w:r>
              <w:rPr>
                <w:rFonts w:ascii="仿宋_GB2312" w:hAnsi="仿宋_GB2312" w:cs="仿宋_GB2312" w:eastAsia="仿宋_GB2312"/>
              </w:rPr>
              <w:t>，</w:t>
            </w:r>
            <w:r>
              <w:rPr>
                <w:rFonts w:ascii="仿宋_GB2312" w:hAnsi="仿宋_GB2312" w:cs="仿宋_GB2312" w:eastAsia="仿宋_GB2312"/>
              </w:rPr>
              <w:t>支持使用</w:t>
            </w:r>
            <w:r>
              <w:rPr>
                <w:rFonts w:ascii="仿宋_GB2312" w:hAnsi="仿宋_GB2312" w:cs="仿宋_GB2312" w:eastAsia="仿宋_GB2312"/>
              </w:rPr>
              <w:t>AES、Snow3G和ZUC算法的NAS完整性检查；</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4.支持多PDN设置，支持动态ERAB建立支持USIM卡使用XOR、Milenage或TUAK认证算法；</w:t>
            </w:r>
          </w:p>
          <w:p>
            <w:pPr>
              <w:pStyle w:val="null3"/>
            </w:pPr>
            <w:r>
              <w:rPr>
                <w:rFonts w:ascii="仿宋_GB2312" w:hAnsi="仿宋_GB2312" w:cs="仿宋_GB2312" w:eastAsia="仿宋_GB2312"/>
              </w:rPr>
              <w:t>5.APN、IP地址范围、DNS以及E-RAB Qos可配置；</w:t>
            </w:r>
          </w:p>
          <w:p>
            <w:pPr>
              <w:pStyle w:val="null3"/>
            </w:pPr>
            <w:r>
              <w:rPr>
                <w:rFonts w:ascii="仿宋_GB2312" w:hAnsi="仿宋_GB2312" w:cs="仿宋_GB2312" w:eastAsia="仿宋_GB2312"/>
              </w:rPr>
              <w:t>6.最大可支持的注册用户数不小于200个，最大支持的业务吞吐量不小于5Gbps；</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7.支持NB-IoT基站接入，支持PSM和eDRX；</w:t>
            </w:r>
          </w:p>
          <w:p>
            <w:pPr>
              <w:pStyle w:val="null3"/>
            </w:pPr>
            <w:r>
              <w:rPr>
                <w:rFonts w:ascii="仿宋_GB2312" w:hAnsi="仿宋_GB2312" w:cs="仿宋_GB2312" w:eastAsia="仿宋_GB2312"/>
              </w:rPr>
              <w:t>8.支持连接外部HSS(S6a)、EIR(S13)、VLR/MSC(SGsAP)、 AUSF(N12)、UDM(N8)、5G-EIR(N17)、CBC(N50)；</w:t>
            </w:r>
          </w:p>
          <w:p>
            <w:pPr>
              <w:pStyle w:val="null3"/>
            </w:pPr>
            <w:r>
              <w:rPr>
                <w:rFonts w:ascii="仿宋_GB2312" w:hAnsi="仿宋_GB2312" w:cs="仿宋_GB2312" w:eastAsia="仿宋_GB2312"/>
              </w:rPr>
              <w:t>9.支持网络切片，支持DCNR终端；</w:t>
            </w:r>
          </w:p>
          <w:p>
            <w:pPr>
              <w:pStyle w:val="null3"/>
            </w:pPr>
            <w:r>
              <w:rPr>
                <w:rFonts w:ascii="仿宋_GB2312" w:hAnsi="仿宋_GB2312" w:cs="仿宋_GB2312" w:eastAsia="仿宋_GB2312"/>
              </w:rPr>
              <w:t>10.系统各层或通道的日志可配置，且具备解析工具；</w:t>
            </w:r>
          </w:p>
          <w:p>
            <w:pPr>
              <w:pStyle w:val="null3"/>
            </w:pPr>
            <w:r>
              <w:rPr>
                <w:rFonts w:ascii="仿宋_GB2312" w:hAnsi="仿宋_GB2312" w:cs="仿宋_GB2312" w:eastAsia="仿宋_GB2312"/>
              </w:rPr>
              <w:t>11.支持公共告警系统消息（ETWS/CMAS）；</w:t>
            </w:r>
          </w:p>
          <w:p>
            <w:pPr>
              <w:pStyle w:val="null3"/>
            </w:pPr>
            <w:r>
              <w:rPr>
                <w:rFonts w:ascii="仿宋_GB2312" w:hAnsi="仿宋_GB2312" w:cs="仿宋_GB2312" w:eastAsia="仿宋_GB2312"/>
              </w:rPr>
              <w:t>12.支持模拟多个运营商核心网</w:t>
            </w:r>
            <w:r>
              <w:rPr>
                <w:rFonts w:ascii="仿宋_GB2312" w:hAnsi="仿宋_GB2312" w:cs="仿宋_GB2312" w:eastAsia="仿宋_GB2312"/>
              </w:rPr>
              <w:t>。</w:t>
            </w:r>
          </w:p>
          <w:p>
            <w:pPr>
              <w:pStyle w:val="null3"/>
            </w:pPr>
            <w:r>
              <w:rPr>
                <w:rFonts w:ascii="仿宋_GB2312" w:hAnsi="仿宋_GB2312" w:cs="仿宋_GB2312" w:eastAsia="仿宋_GB2312"/>
                <w:b/>
              </w:rPr>
              <w:t>（三）</w:t>
            </w:r>
            <w:r>
              <w:rPr>
                <w:rFonts w:ascii="仿宋_GB2312" w:hAnsi="仿宋_GB2312" w:cs="仿宋_GB2312" w:eastAsia="仿宋_GB2312"/>
                <w:b/>
              </w:rPr>
              <w:t>IMS功能</w:t>
            </w:r>
          </w:p>
          <w:p>
            <w:pPr>
              <w:pStyle w:val="null3"/>
            </w:pPr>
            <w:r>
              <w:rPr>
                <w:rFonts w:ascii="仿宋_GB2312" w:hAnsi="仿宋_GB2312" w:cs="仿宋_GB2312" w:eastAsia="仿宋_GB2312"/>
              </w:rPr>
              <w:t>1.支持SIP协议；</w:t>
            </w:r>
          </w:p>
          <w:p>
            <w:pPr>
              <w:pStyle w:val="null3"/>
            </w:pPr>
            <w:r>
              <w:rPr>
                <w:rFonts w:ascii="仿宋_GB2312" w:hAnsi="仿宋_GB2312" w:cs="仿宋_GB2312" w:eastAsia="仿宋_GB2312"/>
              </w:rPr>
              <w:t>2.支持IPSec；</w:t>
            </w:r>
          </w:p>
          <w:p>
            <w:pPr>
              <w:pStyle w:val="null3"/>
            </w:pPr>
            <w:r>
              <w:rPr>
                <w:rFonts w:ascii="仿宋_GB2312" w:hAnsi="仿宋_GB2312" w:cs="仿宋_GB2312" w:eastAsia="仿宋_GB2312"/>
              </w:rPr>
              <w:t>3.支持VoLTE和VoNR语音、视频呼叫；</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4.支持语音回声测试；</w:t>
            </w:r>
          </w:p>
          <w:p>
            <w:pPr>
              <w:pStyle w:val="null3"/>
            </w:pPr>
            <w:r>
              <w:rPr>
                <w:rFonts w:ascii="仿宋_GB2312" w:hAnsi="仿宋_GB2312" w:cs="仿宋_GB2312" w:eastAsia="仿宋_GB2312"/>
              </w:rPr>
              <w:t>5.支持呼叫保持；</w:t>
            </w:r>
          </w:p>
          <w:p>
            <w:pPr>
              <w:pStyle w:val="null3"/>
            </w:pPr>
            <w:r>
              <w:rPr>
                <w:rFonts w:ascii="仿宋_GB2312" w:hAnsi="仿宋_GB2312" w:cs="仿宋_GB2312" w:eastAsia="仿宋_GB2312"/>
              </w:rPr>
              <w:t>6.支持短信（SIP短信或SMS over SG）、彩信；</w:t>
            </w:r>
          </w:p>
          <w:p>
            <w:pPr>
              <w:pStyle w:val="null3"/>
            </w:pPr>
            <w:r>
              <w:rPr>
                <w:rFonts w:ascii="仿宋_GB2312" w:hAnsi="仿宋_GB2312" w:cs="仿宋_GB2312" w:eastAsia="仿宋_GB2312"/>
              </w:rPr>
              <w:t>7.支持IPv4和IPv6；</w:t>
            </w:r>
          </w:p>
          <w:p>
            <w:pPr>
              <w:pStyle w:val="null3"/>
            </w:pPr>
            <w:r>
              <w:rPr>
                <w:rFonts w:ascii="仿宋_GB2312" w:hAnsi="仿宋_GB2312" w:cs="仿宋_GB2312" w:eastAsia="仿宋_GB2312"/>
              </w:rPr>
              <w:t>8.支持紧急电话。</w:t>
            </w:r>
          </w:p>
          <w:p>
            <w:pPr>
              <w:pStyle w:val="null3"/>
            </w:pPr>
            <w:r>
              <w:rPr>
                <w:rFonts w:ascii="仿宋_GB2312" w:hAnsi="仿宋_GB2312" w:cs="仿宋_GB2312" w:eastAsia="仿宋_GB2312"/>
                <w:b/>
              </w:rPr>
              <w:t>（四）其它功能</w:t>
            </w:r>
          </w:p>
          <w:p>
            <w:pPr>
              <w:pStyle w:val="null3"/>
            </w:pPr>
            <w:r>
              <w:rPr>
                <w:rFonts w:ascii="仿宋_GB2312" w:hAnsi="仿宋_GB2312" w:cs="仿宋_GB2312" w:eastAsia="仿宋_GB2312"/>
              </w:rPr>
              <w:t>1.整个系统具备图形化的配置管理功能；</w:t>
            </w:r>
          </w:p>
          <w:p>
            <w:pPr>
              <w:pStyle w:val="null3"/>
            </w:pPr>
            <w:r>
              <w:rPr>
                <w:rFonts w:ascii="仿宋_GB2312" w:hAnsi="仿宋_GB2312" w:cs="仿宋_GB2312" w:eastAsia="仿宋_GB2312"/>
              </w:rPr>
              <w:t>2.具备基站和核心网各层均具备日志记录、实时察看分析与导出功能；</w:t>
            </w:r>
          </w:p>
          <w:p>
            <w:pPr>
              <w:pStyle w:val="null3"/>
            </w:pPr>
            <w:r>
              <w:rPr>
                <w:rFonts w:ascii="仿宋_GB2312" w:hAnsi="仿宋_GB2312" w:cs="仿宋_GB2312" w:eastAsia="仿宋_GB2312"/>
              </w:rPr>
              <w:t>3.设备形态需兼顾实验室与外场测试之用，具备便携属性。</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rPr>
              <w:t>1.基站配置</w:t>
            </w:r>
            <w:r>
              <w:rPr>
                <w:rFonts w:ascii="仿宋_GB2312" w:hAnsi="仿宋_GB2312" w:cs="仿宋_GB2312" w:eastAsia="仿宋_GB2312"/>
              </w:rPr>
              <w:t>≥</w:t>
            </w:r>
            <w:r>
              <w:rPr>
                <w:rFonts w:ascii="仿宋_GB2312" w:hAnsi="仿宋_GB2312" w:cs="仿宋_GB2312" w:eastAsia="仿宋_GB2312"/>
              </w:rPr>
              <w:t>1CC 100MHz 4x4或</w:t>
            </w:r>
            <w:r>
              <w:rPr>
                <w:rFonts w:ascii="仿宋_GB2312" w:hAnsi="仿宋_GB2312" w:cs="仿宋_GB2312" w:eastAsia="仿宋_GB2312"/>
              </w:rPr>
              <w:t>≥</w:t>
            </w:r>
            <w:r>
              <w:rPr>
                <w:rFonts w:ascii="仿宋_GB2312" w:hAnsi="仿宋_GB2312" w:cs="仿宋_GB2312" w:eastAsia="仿宋_GB2312"/>
              </w:rPr>
              <w:t>2CC 100MHz 2x2</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sz w:val="21"/>
              </w:rPr>
              <w:t>2.便携一体式，集成显示</w:t>
            </w:r>
            <w:r>
              <w:rPr>
                <w:rFonts w:ascii="仿宋_GB2312" w:hAnsi="仿宋_GB2312" w:cs="仿宋_GB2312" w:eastAsia="仿宋_GB2312"/>
                <w:sz w:val="21"/>
              </w:rPr>
              <w:t>屏</w:t>
            </w:r>
            <w:r>
              <w:rPr>
                <w:rFonts w:ascii="仿宋_GB2312" w:hAnsi="仿宋_GB2312" w:cs="仿宋_GB2312" w:eastAsia="仿宋_GB2312"/>
                <w:sz w:val="21"/>
              </w:rPr>
              <w:t>≥15吋，集成配置</w:t>
            </w:r>
            <w:r>
              <w:rPr>
                <w:rFonts w:ascii="仿宋_GB2312" w:hAnsi="仿宋_GB2312" w:cs="仿宋_GB2312" w:eastAsia="仿宋_GB2312"/>
                <w:sz w:val="21"/>
              </w:rPr>
              <w:t>键盘鼠标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二、</w:t>
            </w:r>
            <w:r>
              <w:rPr>
                <w:rFonts w:ascii="仿宋_GB2312" w:hAnsi="仿宋_GB2312" w:cs="仿宋_GB2312" w:eastAsia="仿宋_GB2312"/>
                <w:b/>
              </w:rPr>
              <w:t>NTN终端模拟器系统：1套</w:t>
            </w:r>
          </w:p>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b/>
              </w:rPr>
              <w:t>（一）终端模拟器功能要求</w:t>
            </w:r>
          </w:p>
          <w:p>
            <w:pPr>
              <w:pStyle w:val="null3"/>
            </w:pPr>
            <w:r>
              <w:rPr>
                <w:rFonts w:ascii="仿宋_GB2312" w:hAnsi="仿宋_GB2312" w:cs="仿宋_GB2312" w:eastAsia="仿宋_GB2312"/>
              </w:rPr>
              <w:t>1.至少支持3GPP R17 IoT/NR NTN标准；</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2.支持IoT NTN和NR NTN协议；</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3.支持3gpp规范定义的N255、N256频段终端模拟；</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4.支持3gpp规范定义的Sub6G LTE和NR频段终端模拟；</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5.支持</w:t>
            </w:r>
            <w:r>
              <w:rPr>
                <w:rFonts w:ascii="仿宋_GB2312" w:hAnsi="仿宋_GB2312" w:cs="仿宋_GB2312" w:eastAsia="仿宋_GB2312"/>
              </w:rPr>
              <w:t>≥</w:t>
            </w:r>
            <w:r>
              <w:rPr>
                <w:rFonts w:ascii="仿宋_GB2312" w:hAnsi="仿宋_GB2312" w:cs="仿宋_GB2312" w:eastAsia="仿宋_GB2312"/>
              </w:rPr>
              <w:t>64 个终端的并发模拟能力；</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6.性能要求：NR NTN终端配置20MHz SISO时下行速率不低于60Mbps，LTE配置20MHz 4x4 MIMO时下行速率不低于380Mbps，NR配置TDD 100MHz 4x4时最大下行速率不低于1.</w:t>
            </w:r>
            <w:r>
              <w:rPr>
                <w:rFonts w:ascii="仿宋_GB2312" w:hAnsi="仿宋_GB2312" w:cs="仿宋_GB2312" w:eastAsia="仿宋_GB2312"/>
              </w:rPr>
              <w:t>5</w:t>
            </w:r>
            <w:r>
              <w:rPr>
                <w:rFonts w:ascii="仿宋_GB2312" w:hAnsi="仿宋_GB2312" w:cs="仿宋_GB2312" w:eastAsia="仿宋_GB2312"/>
              </w:rPr>
              <w:t>4</w:t>
            </w:r>
            <w:r>
              <w:rPr>
                <w:rFonts w:ascii="仿宋_GB2312" w:hAnsi="仿宋_GB2312" w:cs="仿宋_GB2312" w:eastAsia="仿宋_GB2312"/>
              </w:rPr>
              <w:t>Gbps；</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7.射频能力：可支持500 MHz~6GHz的可调节射频收发能力，每个个发射端口最大功率不大于10dBm；支持5~100 MHz的可调节射频带宽；对应系统能力为支持3gpp规范定义的Sub6G频段，且终端带宽在5-100MHz范围内可配置。可扩展支持400MHz带宽，频率最高可支持到7.125GHz。</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8.支持GPS和外部时钟输入；</w:t>
            </w:r>
          </w:p>
          <w:p>
            <w:pPr>
              <w:pStyle w:val="null3"/>
            </w:pPr>
            <w:r>
              <w:rPr>
                <w:rFonts w:ascii="仿宋_GB2312" w:hAnsi="仿宋_GB2312" w:cs="仿宋_GB2312" w:eastAsia="仿宋_GB2312"/>
              </w:rPr>
              <w:t>9.具备IP业务模拟与外部接口代理能力。</w:t>
            </w:r>
          </w:p>
          <w:p>
            <w:pPr>
              <w:pStyle w:val="null3"/>
            </w:pPr>
            <w:r>
              <w:rPr>
                <w:rFonts w:ascii="仿宋_GB2312" w:hAnsi="仿宋_GB2312" w:cs="仿宋_GB2312" w:eastAsia="仿宋_GB2312"/>
                <w:b/>
              </w:rPr>
              <w:t>（二）其它要求</w:t>
            </w:r>
          </w:p>
          <w:p>
            <w:pPr>
              <w:pStyle w:val="null3"/>
            </w:pPr>
            <w:r>
              <w:rPr>
                <w:rFonts w:ascii="仿宋_GB2312" w:hAnsi="仿宋_GB2312" w:cs="仿宋_GB2312" w:eastAsia="仿宋_GB2312"/>
              </w:rPr>
              <w:t>1.具备图形化的配置管理系统；</w:t>
            </w:r>
          </w:p>
          <w:p>
            <w:pPr>
              <w:pStyle w:val="null3"/>
            </w:pPr>
            <w:r>
              <w:rPr>
                <w:rFonts w:ascii="仿宋_GB2312" w:hAnsi="仿宋_GB2312" w:cs="仿宋_GB2312" w:eastAsia="仿宋_GB2312"/>
              </w:rPr>
              <w:t>2.终端空口协议各层均具备日志记录、实时察看分析与导出功能；</w:t>
            </w:r>
          </w:p>
          <w:p>
            <w:pPr>
              <w:pStyle w:val="null3"/>
            </w:pPr>
            <w:r>
              <w:rPr>
                <w:rFonts w:ascii="仿宋_GB2312" w:hAnsi="仿宋_GB2312" w:cs="仿宋_GB2312" w:eastAsia="仿宋_GB2312"/>
              </w:rPr>
              <w:t>3.设备形态需兼顾实验室与外场测试之用，具备便携属性；</w:t>
            </w:r>
          </w:p>
          <w:p>
            <w:pPr>
              <w:pStyle w:val="null3"/>
            </w:pPr>
            <w:r>
              <w:rPr>
                <w:rFonts w:ascii="仿宋_GB2312" w:hAnsi="仿宋_GB2312" w:cs="仿宋_GB2312" w:eastAsia="仿宋_GB2312"/>
              </w:rPr>
              <w:t>4.</w:t>
            </w:r>
            <w:r>
              <w:rPr>
                <w:rFonts w:ascii="仿宋_GB2312" w:hAnsi="仿宋_GB2312" w:cs="仿宋_GB2312" w:eastAsia="仿宋_GB2312"/>
              </w:rPr>
              <w:t>具有小型化终端模拟器硬件方案，</w:t>
            </w:r>
            <w:r>
              <w:rPr>
                <w:rFonts w:ascii="仿宋_GB2312" w:hAnsi="仿宋_GB2312" w:cs="仿宋_GB2312" w:eastAsia="仿宋_GB2312"/>
              </w:rPr>
              <w:t>可对接并集成于不同规格的</w:t>
            </w:r>
            <w:r>
              <w:rPr>
                <w:rFonts w:ascii="仿宋_GB2312" w:hAnsi="仿宋_GB2312" w:cs="仿宋_GB2312" w:eastAsia="仿宋_GB2312"/>
              </w:rPr>
              <w:t>VSAT天线，可用于长时间外场部署试验，小型化的终端模拟器硬件尺寸</w:t>
            </w:r>
            <w:r>
              <w:rPr>
                <w:rFonts w:ascii="仿宋_GB2312" w:hAnsi="仿宋_GB2312" w:cs="仿宋_GB2312" w:eastAsia="仿宋_GB2312"/>
              </w:rPr>
              <w:t>≤</w:t>
            </w:r>
            <w:r>
              <w:rPr>
                <w:rFonts w:ascii="仿宋_GB2312" w:hAnsi="仿宋_GB2312" w:cs="仿宋_GB2312" w:eastAsia="仿宋_GB2312"/>
              </w:rPr>
              <w:t>18cm*15cm*8cm</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对接</w:t>
            </w:r>
            <w:r>
              <w:rPr>
                <w:rFonts w:ascii="仿宋_GB2312" w:hAnsi="仿宋_GB2312" w:cs="仿宋_GB2312" w:eastAsia="仿宋_GB2312"/>
              </w:rPr>
              <w:t>VSAT天线，对终端的具体要求为终端实际收发信号的频率可根据VSAT要求进行配置，输入VSAT的信号功率至少可在-40dBm~-10dBm之间动态调整。</w:t>
            </w:r>
          </w:p>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rPr>
              <w:t>1.支持</w:t>
            </w:r>
            <w:r>
              <w:rPr>
                <w:rFonts w:ascii="仿宋_GB2312" w:hAnsi="仿宋_GB2312" w:cs="仿宋_GB2312" w:eastAsia="仿宋_GB2312"/>
              </w:rPr>
              <w:t>≥</w:t>
            </w:r>
            <w:r>
              <w:rPr>
                <w:rFonts w:ascii="仿宋_GB2312" w:hAnsi="仿宋_GB2312" w:cs="仿宋_GB2312" w:eastAsia="仿宋_GB2312"/>
              </w:rPr>
              <w:t>64UE终端并发</w:t>
            </w:r>
          </w:p>
          <w:p>
            <w:pPr>
              <w:pStyle w:val="null3"/>
            </w:pPr>
            <w:r>
              <w:rPr>
                <w:rFonts w:ascii="仿宋_GB2312" w:hAnsi="仿宋_GB2312" w:cs="仿宋_GB2312" w:eastAsia="仿宋_GB2312"/>
                <w:sz w:val="21"/>
              </w:rPr>
              <w:t>2.</w:t>
            </w:r>
            <w:r>
              <w:rPr>
                <w:rFonts w:ascii="仿宋_GB2312" w:hAnsi="仿宋_GB2312" w:cs="仿宋_GB2312" w:eastAsia="仿宋_GB2312"/>
                <w:sz w:val="21"/>
              </w:rPr>
              <w:t>便携一体式，集成显示屏</w:t>
            </w:r>
            <w:r>
              <w:rPr>
                <w:rFonts w:ascii="仿宋_GB2312" w:hAnsi="仿宋_GB2312" w:cs="仿宋_GB2312" w:eastAsia="仿宋_GB2312"/>
                <w:sz w:val="21"/>
              </w:rPr>
              <w:t>≥15吋，集成</w:t>
            </w:r>
            <w:r>
              <w:rPr>
                <w:rFonts w:ascii="仿宋_GB2312" w:hAnsi="仿宋_GB2312" w:cs="仿宋_GB2312" w:eastAsia="仿宋_GB2312"/>
                <w:sz w:val="21"/>
              </w:rPr>
              <w:t>键盘鼠标</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w:t>
            </w:r>
            <w:r>
              <w:rPr>
                <w:rFonts w:ascii="仿宋_GB2312" w:hAnsi="仿宋_GB2312" w:cs="仿宋_GB2312" w:eastAsia="仿宋_GB2312"/>
                <w:sz w:val="21"/>
              </w:rPr>
              <w:t>、上述技术要求，中标后需提供具有国家级</w:t>
            </w:r>
            <w:r>
              <w:rPr>
                <w:rFonts w:ascii="仿宋_GB2312" w:hAnsi="仿宋_GB2312" w:cs="仿宋_GB2312" w:eastAsia="仿宋_GB2312"/>
                <w:sz w:val="21"/>
              </w:rPr>
              <w:t>CNAS和CMA资质的第三方检测机构出具的检测报告由采购人核查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根据采购单位通知的时间和地点，安排相关领域专家参与采购单位验收，按照验收指标逐项测试，直至达到验收要求。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1.系统质保期：硬件质保期三年，软件一年内免费升级更新（自验收合格之日起算）。 2.质量保证期内，对本本项目所提供货物出现的任何缺陷、漏洞，予以修复升级，不另行收取费用。 3.在质量保证期外，需为本项目下所供货物提供终身维护、升级服务。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1.售后服务要求：供应商需提供备品备件服务。采购设备故障发生时，根据实际需要，最快在48小时内设备备件到达项目现场，72小时内完成故障设备更换及故障排除。 2.免费提供一次设备移机服务。 3.培训要求： （1）提供产品使用说明书。 （2）在现场为采购人提供上机操作培训，培训时间不少于3天。 （3）供应商需派专业人士对采购人进行培训，直至采购人能完全理解、熟练操作设备，并掌握设备日常维护与保养方法为止（培训教员的培训费、旅费、食宿费等费用和培训场地费及培训资料费，均由供应商承担）。 4.服务团队要求： （1）供应商需根据设备规模和实施工期要求配备相应规模的实施团队。 （2）项目实施过程，供应商应确保实施团队的主要负责人和团队主体稳定。 5.核心产品：NTN网络模拟系统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