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版本号：ZMZB2025YDDX-445R20251209001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DVB-RCS集中器和终端采购项目（二次）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ZMZB2025YDDX-445R</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DVB-RCS集中器和终端采购项目（二次）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ZMZB2025YDDX-445R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DVB-RCS集中器和终端采购项目（二次）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DVB-RCS集中器和终端采购项目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DVB-RCS集中器和终端采购项目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DVB-RCS集中器和终端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标的名称：DVB-RCS集中器和终端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一、信关站调制器：</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1、多址方式：TDM（遵守DVB-S2x标准）等；</w:t>
            </w:r>
          </w:p>
          <w:p>
            <w:pPr>
              <w:pStyle w:val="null3"/>
            </w:pPr>
            <w:r>
              <w:rPr>
                <w:rFonts w:ascii="仿宋_GB2312" w:hAnsi="仿宋_GB2312" w:cs="仿宋_GB2312" w:eastAsia="仿宋_GB2312"/>
              </w:rPr>
              <w:t>2、通道：单调制器支持≥2个TDM通道；（</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3、调制方式：QPSK，8PSK，16APSK，32APSK、64APSK等</w:t>
            </w:r>
            <w:r>
              <w:rPr>
                <w:rFonts w:ascii="仿宋_GB2312" w:hAnsi="仿宋_GB2312" w:cs="仿宋_GB2312" w:eastAsia="仿宋_GB2312"/>
              </w:rPr>
              <w:t>,并支持ACM</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4、符号速率：100ksps～120Msps；（</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信息速率：</w:t>
            </w:r>
            <w:r>
              <w:rPr>
                <w:rFonts w:ascii="仿宋_GB2312" w:hAnsi="仿宋_GB2312" w:cs="仿宋_GB2312" w:eastAsia="仿宋_GB2312"/>
              </w:rPr>
              <w:t>≥40Mbps</w:t>
            </w:r>
            <w:r>
              <w:rPr>
                <w:rFonts w:ascii="仿宋_GB2312" w:hAnsi="仿宋_GB2312" w:cs="仿宋_GB2312" w:eastAsia="仿宋_GB2312"/>
              </w:rPr>
              <w:t>；</w:t>
            </w:r>
          </w:p>
          <w:p>
            <w:pPr>
              <w:pStyle w:val="null3"/>
            </w:pPr>
            <w:r>
              <w:rPr>
                <w:rFonts w:ascii="仿宋_GB2312" w:hAnsi="仿宋_GB2312" w:cs="仿宋_GB2312" w:eastAsia="仿宋_GB2312"/>
              </w:rPr>
              <w:t>6、滚降系数：可对滚降系数进行设置，最低可达0.02；（</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7、频率范围：950MHz～2150MHz；</w:t>
            </w:r>
          </w:p>
          <w:p>
            <w:pPr>
              <w:pStyle w:val="null3"/>
            </w:pPr>
            <w:r>
              <w:rPr>
                <w:rFonts w:ascii="仿宋_GB2312" w:hAnsi="仿宋_GB2312" w:cs="仿宋_GB2312" w:eastAsia="仿宋_GB2312"/>
              </w:rPr>
              <w:t>8、传输效率：连续载波传输效率≥90%。（</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19寸标准机架式机柜</w:t>
            </w:r>
            <w:r>
              <w:rPr>
                <w:rFonts w:ascii="仿宋_GB2312" w:hAnsi="仿宋_GB2312" w:cs="仿宋_GB2312" w:eastAsia="仿宋_GB2312"/>
                <w:sz w:val="21"/>
              </w:rPr>
              <w:t>安装</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二、信关站解调器：</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1、多址方式：MF-TDMA（遵守DVB-RCS2标准）等；</w:t>
            </w:r>
          </w:p>
          <w:p>
            <w:pPr>
              <w:pStyle w:val="null3"/>
            </w:pPr>
            <w:r>
              <w:rPr>
                <w:rFonts w:ascii="仿宋_GB2312" w:hAnsi="仿宋_GB2312" w:cs="仿宋_GB2312" w:eastAsia="仿宋_GB2312"/>
              </w:rPr>
              <w:t>2、通道：单解调器支持≥4路TDMA解调通道；（</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3、解调方式：QPSK， 8PSK，16QAM等；（</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4、符号速率：200ksps～25Msps；（</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信息速率：</w:t>
            </w:r>
            <w:r>
              <w:rPr>
                <w:rFonts w:ascii="仿宋_GB2312" w:hAnsi="仿宋_GB2312" w:cs="仿宋_GB2312" w:eastAsia="仿宋_GB2312"/>
              </w:rPr>
              <w:t>≥40Mbps</w:t>
            </w:r>
            <w:r>
              <w:rPr>
                <w:rFonts w:ascii="仿宋_GB2312" w:hAnsi="仿宋_GB2312" w:cs="仿宋_GB2312" w:eastAsia="仿宋_GB2312"/>
              </w:rPr>
              <w:t>；</w:t>
            </w:r>
          </w:p>
          <w:p>
            <w:pPr>
              <w:pStyle w:val="null3"/>
            </w:pPr>
            <w:r>
              <w:rPr>
                <w:rFonts w:ascii="仿宋_GB2312" w:hAnsi="仿宋_GB2312" w:cs="仿宋_GB2312" w:eastAsia="仿宋_GB2312"/>
              </w:rPr>
              <w:t>6、滚降系数：可对滚降系数进行设置，最低可达0.05；（</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7、频率范围：950MHz～2150MHz；</w:t>
            </w:r>
          </w:p>
          <w:p>
            <w:pPr>
              <w:pStyle w:val="null3"/>
            </w:pPr>
            <w:r>
              <w:rPr>
                <w:rFonts w:ascii="仿宋_GB2312" w:hAnsi="仿宋_GB2312" w:cs="仿宋_GB2312" w:eastAsia="仿宋_GB2312"/>
              </w:rPr>
              <w:t>8、传输效率：突发传输效率≥90%；（</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19寸标准机架式机柜</w:t>
            </w:r>
            <w:r>
              <w:rPr>
                <w:rFonts w:ascii="仿宋_GB2312" w:hAnsi="仿宋_GB2312" w:cs="仿宋_GB2312" w:eastAsia="仿宋_GB2312"/>
                <w:sz w:val="21"/>
              </w:rPr>
              <w:t>安装</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三、信关站时钟：</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提供</w:t>
            </w:r>
            <w:r>
              <w:rPr>
                <w:rFonts w:ascii="仿宋_GB2312" w:hAnsi="仿宋_GB2312" w:cs="仿宋_GB2312" w:eastAsia="仿宋_GB2312"/>
              </w:rPr>
              <w:t>1PPS时钟信号。</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19寸标准机架式机柜</w:t>
            </w:r>
            <w:r>
              <w:rPr>
                <w:rFonts w:ascii="仿宋_GB2312" w:hAnsi="仿宋_GB2312" w:cs="仿宋_GB2312" w:eastAsia="仿宋_GB2312"/>
                <w:sz w:val="21"/>
              </w:rPr>
              <w:t>安装</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四、卫星通信网络管理系统软件及平台：</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1、支持包括卫星经度、波束参数、转发器参数等配置；（</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2、支持前向/返向载波参数配置；（</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3、支持信关站各个组成设备的管理和配置以及主要部件的主备关系；（</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4、支持各个终端的管理和配置；（</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5、支持对各个用户站的卫星链路通信质量进行监视；（</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6、支持网络级和系统级的通信流量特征分析；（</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7、支持对网络中各个用户站的资源使用情况实时监控和统计；（</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8、支持数据、视频和IP电话的多业务QoS机制；（</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9、至少支持8个业务优先级;支持基于终端的、基于 VN0、基于终端组(SVN)的QoS配置。（</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管理软件安装于信关站服务器，平台硬件不少于</w:t>
            </w:r>
            <w:r>
              <w:rPr>
                <w:rFonts w:ascii="仿宋_GB2312" w:hAnsi="仿宋_GB2312" w:cs="仿宋_GB2312" w:eastAsia="仿宋_GB2312"/>
                <w:sz w:val="21"/>
              </w:rPr>
              <w:t>3套终端（≥2.1GHz，≥6核，≥2T，RJ45等）。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五、信关站服务器：</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安装网管软件：实现鉴权认证、资源配置、系统配置、状态查看和异常监视处理等，实现</w:t>
            </w:r>
            <w:r>
              <w:rPr>
                <w:rFonts w:ascii="仿宋_GB2312" w:hAnsi="仿宋_GB2312" w:cs="仿宋_GB2312" w:eastAsia="仿宋_GB2312"/>
              </w:rPr>
              <w:t>TDMA信道资源分配、业务会话管理、上下行QoS、TCP加速等功能。</w:t>
            </w:r>
          </w:p>
          <w:p>
            <w:pPr>
              <w:pStyle w:val="null3"/>
            </w:pPr>
            <w:r>
              <w:rPr>
                <w:rFonts w:ascii="仿宋_GB2312" w:hAnsi="仿宋_GB2312" w:cs="仿宋_GB2312" w:eastAsia="仿宋_GB2312"/>
                <w:sz w:val="21"/>
              </w:rPr>
              <w:t>网管服务器配置：</w:t>
            </w:r>
            <w:r>
              <w:rPr>
                <w:rFonts w:ascii="仿宋_GB2312" w:hAnsi="仿宋_GB2312" w:cs="仿宋_GB2312" w:eastAsia="仿宋_GB2312"/>
                <w:sz w:val="21"/>
              </w:rPr>
              <w:t>≥4物理网口；≥128G内存；≥2T硬盘；≥40线程CPU，预装操作系统</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六、合路器：</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1、频率：950-2150 MHz；</w:t>
            </w:r>
          </w:p>
          <w:p>
            <w:pPr>
              <w:pStyle w:val="null3"/>
            </w:pPr>
            <w:r>
              <w:rPr>
                <w:rFonts w:ascii="仿宋_GB2312" w:hAnsi="仿宋_GB2312" w:cs="仿宋_GB2312" w:eastAsia="仿宋_GB2312"/>
              </w:rPr>
              <w:t>2、插损≤10dB；</w:t>
            </w:r>
          </w:p>
          <w:p>
            <w:pPr>
              <w:pStyle w:val="null3"/>
            </w:pPr>
            <w:r>
              <w:rPr>
                <w:rFonts w:ascii="仿宋_GB2312" w:hAnsi="仿宋_GB2312" w:cs="仿宋_GB2312" w:eastAsia="仿宋_GB2312"/>
              </w:rPr>
              <w:t>3、驻波≤2.0；</w:t>
            </w:r>
          </w:p>
          <w:p>
            <w:pPr>
              <w:pStyle w:val="null3"/>
            </w:pPr>
            <w:r>
              <w:rPr>
                <w:rFonts w:ascii="仿宋_GB2312" w:hAnsi="仿宋_GB2312" w:cs="仿宋_GB2312" w:eastAsia="仿宋_GB2312"/>
              </w:rPr>
              <w:t>4、隔离≥20dB；</w:t>
            </w:r>
          </w:p>
          <w:p>
            <w:pPr>
              <w:pStyle w:val="null3"/>
            </w:pPr>
            <w:r>
              <w:rPr>
                <w:rFonts w:ascii="仿宋_GB2312" w:hAnsi="仿宋_GB2312" w:cs="仿宋_GB2312" w:eastAsia="仿宋_GB2312"/>
              </w:rPr>
              <w:t>5、阻抗：50 Ω。</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8路合1</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七、分路器：</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1、频率：950-2150 MHz；</w:t>
            </w:r>
          </w:p>
          <w:p>
            <w:pPr>
              <w:pStyle w:val="null3"/>
            </w:pPr>
            <w:r>
              <w:rPr>
                <w:rFonts w:ascii="仿宋_GB2312" w:hAnsi="仿宋_GB2312" w:cs="仿宋_GB2312" w:eastAsia="仿宋_GB2312"/>
              </w:rPr>
              <w:t>2、插损≤10dB；</w:t>
            </w:r>
          </w:p>
          <w:p>
            <w:pPr>
              <w:pStyle w:val="null3"/>
            </w:pPr>
            <w:r>
              <w:rPr>
                <w:rFonts w:ascii="仿宋_GB2312" w:hAnsi="仿宋_GB2312" w:cs="仿宋_GB2312" w:eastAsia="仿宋_GB2312"/>
              </w:rPr>
              <w:t>3、驻波≤2.0；</w:t>
            </w:r>
          </w:p>
          <w:p>
            <w:pPr>
              <w:pStyle w:val="null3"/>
            </w:pPr>
            <w:r>
              <w:rPr>
                <w:rFonts w:ascii="仿宋_GB2312" w:hAnsi="仿宋_GB2312" w:cs="仿宋_GB2312" w:eastAsia="仿宋_GB2312"/>
              </w:rPr>
              <w:t>4、隔离≥20dB；</w:t>
            </w:r>
          </w:p>
          <w:p>
            <w:pPr>
              <w:pStyle w:val="null3"/>
            </w:pPr>
            <w:r>
              <w:rPr>
                <w:rFonts w:ascii="仿宋_GB2312" w:hAnsi="仿宋_GB2312" w:cs="仿宋_GB2312" w:eastAsia="仿宋_GB2312"/>
              </w:rPr>
              <w:t>5、阻抗：50 Ω；</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1路分8</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八、网络交换机：</w:t>
            </w:r>
            <w:r>
              <w:rPr>
                <w:rFonts w:ascii="仿宋_GB2312" w:hAnsi="仿宋_GB2312" w:cs="仿宋_GB2312" w:eastAsia="仿宋_GB2312"/>
                <w:b/>
              </w:rPr>
              <w:t>2套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1、接口≥24个千兆电口；</w:t>
            </w:r>
          </w:p>
          <w:p>
            <w:pPr>
              <w:pStyle w:val="null3"/>
            </w:pPr>
            <w:r>
              <w:rPr>
                <w:rFonts w:ascii="仿宋_GB2312" w:hAnsi="仿宋_GB2312" w:cs="仿宋_GB2312" w:eastAsia="仿宋_GB2312"/>
              </w:rPr>
              <w:t>2、三层网管；</w:t>
            </w:r>
          </w:p>
          <w:p>
            <w:pPr>
              <w:pStyle w:val="null3"/>
            </w:pPr>
            <w:r>
              <w:rPr>
                <w:rFonts w:ascii="仿宋_GB2312" w:hAnsi="仿宋_GB2312" w:cs="仿宋_GB2312" w:eastAsia="仿宋_GB2312"/>
              </w:rPr>
              <w:t>3、POE供电；</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主站辅助设备，业务交换机和管理交换机各一台。</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九、远端站调制解调器：</w:t>
            </w:r>
            <w:r>
              <w:rPr>
                <w:rFonts w:ascii="仿宋_GB2312" w:hAnsi="仿宋_GB2312" w:cs="仿宋_GB2312" w:eastAsia="仿宋_GB2312"/>
                <w:b/>
              </w:rPr>
              <w:t>2套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1、传输速率：TX：≥20Mbps；RX:≥40Mbps；（</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2、符号速率：200ksps～25Msps；（</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3、解调门限：≤1.5dB(Eb/N0)(QPSk1/2@PER=10e-5)（</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4、功耗：≤10W；（</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sz w:val="21"/>
              </w:rPr>
              <w:t>19寸标准机架式机柜</w:t>
            </w:r>
            <w:r>
              <w:rPr>
                <w:rFonts w:ascii="仿宋_GB2312" w:hAnsi="仿宋_GB2312" w:cs="仿宋_GB2312" w:eastAsia="仿宋_GB2312"/>
                <w:sz w:val="21"/>
              </w:rPr>
              <w:t>安装</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十、机柜：</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sz w:val="21"/>
              </w:rPr>
              <w:t>19寸标准机柜、可移动，带散热风扇。</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十一、配套线缆：</w:t>
            </w:r>
            <w:r>
              <w:rPr>
                <w:rFonts w:ascii="仿宋_GB2312" w:hAnsi="仿宋_GB2312" w:cs="仿宋_GB2312" w:eastAsia="仿宋_GB2312"/>
                <w:b/>
              </w:rPr>
              <w:t>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sz w:val="21"/>
              </w:rPr>
              <w:t>标准配套线缆及辅材。</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十二、上述技术要求</w:t>
            </w:r>
            <w:r>
              <w:rPr>
                <w:rFonts w:ascii="仿宋_GB2312" w:hAnsi="仿宋_GB2312" w:cs="仿宋_GB2312" w:eastAsia="仿宋_GB2312"/>
                <w:sz w:val="21"/>
              </w:rPr>
              <w:t>，</w:t>
            </w:r>
            <w:r>
              <w:rPr>
                <w:rFonts w:ascii="仿宋_GB2312" w:hAnsi="仿宋_GB2312" w:cs="仿宋_GB2312" w:eastAsia="仿宋_GB2312"/>
                <w:sz w:val="21"/>
              </w:rPr>
              <w:t>中标后需提供具有国家级</w:t>
            </w:r>
            <w:r>
              <w:rPr>
                <w:rFonts w:ascii="仿宋_GB2312" w:hAnsi="仿宋_GB2312" w:cs="仿宋_GB2312" w:eastAsia="仿宋_GB2312"/>
                <w:sz w:val="21"/>
              </w:rPr>
              <w:t>CNAS和CMA资质的第三方检测机构出具的检测报告由采购人核查</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为交钥匙工程，供货方除了提供项目所涵盖货物以外，还需根据设计实施方案完成系统部署、整体调试、系统试运行等工作，试运行30天内系统工作正常，方可向甲方提请验收，由甲方组织专家，根据验收大纲逐项进行核验，如有不合格情况，需限期整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自验收合格之日起计算，供货方需提供3年的质保服务。质保期内，除人为使用不当因素除外，供货方需提供免费软硬件质保、维修、升级技术支持等配套技术服务。质保期外，供货方应承诺提供长期技术服务，价格不超过此次项目报价。免费提供一次设备移机服务。 2.培训要求： 供货方需结合项目实际情况，提供详细的培训计划，包含不限于培训内容、培训教材、培训组织、培训形式、培训考核等，配合采购方做好人员的培训工作。 3.核心产品：信关站解调器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