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版本号：HRC-ZBDL-2025-0186620251215001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高精度转速标准装置采购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HRC-ZBDL-2025-01866</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高精度转速标准装置采购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HRC-ZBDL-2025-01866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高精度转速标准装置采购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高精度转速标准装置采购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采购包1（高精度转速标准装置采购）：属于专门面向中小企业采购。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法定代表人（负责人）委托授权书/身份证明：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w:t>
      </w:r>
    </w:p>
    <w:p>
      <w:pPr>
        <w:pStyle w:val="null3"/>
      </w:pPr>
      <w:r>
        <w:rPr>
          <w:rFonts w:ascii="仿宋_GB2312" w:hAnsi="仿宋_GB2312" w:cs="仿宋_GB2312" w:eastAsia="仿宋_GB2312"/>
        </w:rPr>
        <w:t>3、信用记录：提供《基本资格条件承诺函》声明，经查，投标人未被列入“信用中国”网站记录的“失信被执行人”或“重大税收违法案件当事人”名单；不处于“中国政府采购网”记录的“政府采购严重违法失信行为记录名单”中的禁止参加政府采购活动期间。</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15209203045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w:t>
            </w:r>
          </w:p>
          <w:p>
            <w:pPr>
              <w:pStyle w:val="null3"/>
            </w:pPr>
            <w:r>
              <w:rPr>
                <w:rFonts w:ascii="仿宋_GB2312" w:hAnsi="仿宋_GB2312" w:cs="仿宋_GB2312" w:eastAsia="仿宋_GB2312"/>
              </w:rPr>
              <w:t>开户银行：平安银行西安分行营业部/平安银行西安分行（行号：307791041016 ）</w:t>
            </w:r>
          </w:p>
          <w:p>
            <w:pPr>
              <w:pStyle w:val="null3"/>
            </w:pPr>
            <w:r>
              <w:rPr>
                <w:rFonts w:ascii="仿宋_GB2312" w:hAnsi="仿宋_GB2312" w:cs="仿宋_GB2312" w:eastAsia="仿宋_GB2312"/>
              </w:rPr>
              <w:t>银行账号：30205868006858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代理服务费收费标准：5000.00元。 缴纳方式：银行转账；户名：华睿诚项目管理有限公司； 开户银行：西安银行小寨东路支行；账号：816011580000101224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联系人：何幸</w:t>
      </w:r>
    </w:p>
    <w:p>
      <w:pPr>
        <w:pStyle w:val="null3"/>
      </w:pPr>
      <w:r>
        <w:rPr>
          <w:rFonts w:ascii="仿宋_GB2312" w:hAnsi="仿宋_GB2312" w:cs="仿宋_GB2312" w:eastAsia="仿宋_GB2312"/>
        </w:rPr>
        <w:t>联系电话：15209203045</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陕西省市场监督管理系统科技研发项目“基于机器视觉的非接触数字式转速表自动检定系统开发”,按照项目任务书中的研究内容需采购高精度转速标准装置一台套。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高精度转速标准装置采购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标的名称：高精度转速标准装置采购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 xml:space="preserve">1. </w:t>
            </w:r>
            <w:r>
              <w:rPr>
                <w:rFonts w:ascii="仿宋_GB2312" w:hAnsi="仿宋_GB2312" w:cs="仿宋_GB2312" w:eastAsia="仿宋_GB2312"/>
                <w:sz w:val="24"/>
              </w:rPr>
              <w:t>设备名称：高精度转速标准装置</w:t>
            </w:r>
          </w:p>
          <w:p>
            <w:pPr>
              <w:pStyle w:val="null3"/>
              <w:ind w:firstLine="480"/>
              <w:jc w:val="both"/>
            </w:pPr>
            <w:r>
              <w:rPr>
                <w:rFonts w:ascii="仿宋_GB2312" w:hAnsi="仿宋_GB2312" w:cs="仿宋_GB2312" w:eastAsia="仿宋_GB2312"/>
                <w:sz w:val="24"/>
              </w:rPr>
              <w:t xml:space="preserve">2. </w:t>
            </w:r>
            <w:r>
              <w:rPr>
                <w:rFonts w:ascii="仿宋_GB2312" w:hAnsi="仿宋_GB2312" w:cs="仿宋_GB2312" w:eastAsia="仿宋_GB2312"/>
                <w:sz w:val="24"/>
              </w:rPr>
              <w:t>主要技术参数：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）齿轮变速箱量程：（</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40000</w:t>
            </w:r>
            <w:r>
              <w:rPr>
                <w:rFonts w:ascii="仿宋_GB2312" w:hAnsi="仿宋_GB2312" w:cs="仿宋_GB2312" w:eastAsia="仿宋_GB2312"/>
                <w:sz w:val="24"/>
              </w:rPr>
              <w:t>）</w:t>
            </w:r>
            <w:r>
              <w:rPr>
                <w:rFonts w:ascii="仿宋_GB2312" w:hAnsi="仿宋_GB2312" w:cs="仿宋_GB2312" w:eastAsia="仿宋_GB2312"/>
                <w:sz w:val="24"/>
              </w:rPr>
              <w:t>r/min</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）准确度等级：</w:t>
            </w:r>
            <w:r>
              <w:rPr>
                <w:rFonts w:ascii="仿宋_GB2312" w:hAnsi="仿宋_GB2312" w:cs="仿宋_GB2312" w:eastAsia="仿宋_GB2312"/>
                <w:sz w:val="24"/>
              </w:rPr>
              <w:t>0.01</w:t>
            </w:r>
            <w:r>
              <w:rPr>
                <w:rFonts w:ascii="仿宋_GB2312" w:hAnsi="仿宋_GB2312" w:cs="仿宋_GB2312" w:eastAsia="仿宋_GB2312"/>
                <w:sz w:val="24"/>
              </w:rPr>
              <w:t>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）转速测量不确定度（</w:t>
            </w:r>
            <w:r>
              <w:rPr>
                <w:rFonts w:ascii="仿宋_GB2312" w:hAnsi="仿宋_GB2312" w:cs="仿宋_GB2312" w:eastAsia="仿宋_GB2312"/>
                <w:sz w:val="24"/>
                <w:i/>
              </w:rPr>
              <w:t>k</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-4</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）转速稳定性：</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-4</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4h</w:t>
            </w:r>
            <w:r>
              <w:rPr>
                <w:rFonts w:ascii="仿宋_GB2312" w:hAnsi="仿宋_GB2312" w:cs="仿宋_GB2312" w:eastAsia="仿宋_GB2312"/>
                <w:sz w:val="24"/>
              </w:rPr>
              <w:t>时基频率稳定度：</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）内置频标：</w:t>
            </w:r>
            <w:r>
              <w:rPr>
                <w:rFonts w:ascii="仿宋_GB2312" w:hAnsi="仿宋_GB2312" w:cs="仿宋_GB2312" w:eastAsia="仿宋_GB2312"/>
                <w:sz w:val="24"/>
              </w:rPr>
              <w:t>10MHz</w:t>
            </w:r>
            <w:r>
              <w:rPr>
                <w:rFonts w:ascii="仿宋_GB2312" w:hAnsi="仿宋_GB2312" w:cs="仿宋_GB2312" w:eastAsia="仿宋_GB2312"/>
                <w:sz w:val="24"/>
              </w:rPr>
              <w:t>温补晶振；</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电源：</w:t>
            </w:r>
            <w:r>
              <w:rPr>
                <w:rFonts w:ascii="仿宋_GB2312" w:hAnsi="仿宋_GB2312" w:cs="仿宋_GB2312" w:eastAsia="仿宋_GB2312"/>
                <w:sz w:val="24"/>
              </w:rPr>
              <w:t>AC220V</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w:t>
            </w:r>
            <w:r>
              <w:rPr>
                <w:rFonts w:ascii="仿宋_GB2312" w:hAnsi="仿宋_GB2312" w:cs="仿宋_GB2312" w:eastAsia="仿宋_GB2312"/>
                <w:sz w:val="24"/>
              </w:rPr>
              <w:t>1Hz</w:t>
            </w:r>
            <w:r>
              <w:rPr>
                <w:rFonts w:ascii="仿宋_GB2312" w:hAnsi="仿宋_GB2312" w:cs="仿宋_GB2312" w:eastAsia="仿宋_GB2312"/>
                <w:sz w:val="24"/>
              </w:rPr>
              <w:t>，无强电磁场干扰。</w:t>
            </w:r>
          </w:p>
          <w:p>
            <w:pPr>
              <w:pStyle w:val="null3"/>
              <w:ind w:firstLine="480"/>
              <w:jc w:val="both"/>
            </w:pPr>
            <w:r>
              <w:rPr>
                <w:rFonts w:ascii="仿宋_GB2312" w:hAnsi="仿宋_GB2312" w:cs="仿宋_GB2312" w:eastAsia="仿宋_GB2312"/>
                <w:sz w:val="21"/>
              </w:rPr>
              <w:t>备注：带“★”的参数需求为实质性要求，供应商必须响应并满足的参数需求，否则为无效投标。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所有设备到货、安装、调试、培训完成后，经甲方相关部门技术验收合格 ，达到付款条件起 30 日内，支付合同总金额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中标人在领取中标通知书时，需提供纸质响应文件叁份、电子版（U盘）壹份（内容与平台上传的签章版电子文件保持一致），纸质响应文件建议A4纸双面黑白打印，各自装订成册，封面加盖红章及骑缝章，书脊处写明项目名称及项目编号。 2、各投标单位在平台上传投标文件时，同步上传电子保函原件（PDF 格式，确保清晰可辨）或银行转账截图（转账时间、金额、收款账户等关键信息清晰），提交的电子保函或缴费凭证需真实有效，招标代理机构将对平台上的电子保函或转账截图的缴费凭证进行核验，未按本通知要求提交或提交材料不完整、不清晰导致无法核验的，后果由投标单位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年度经审计完整的财务报告（包括审计报告、资产负债表、利润表、现金流量表、所有者权益变动表及其附注等相关资料），②可提供截至投标文件提交截止日一年内基本开户银行出具的资信证明（附开户许可证或基本账户存款信息），③供应商注册时间截至投标文件提交截止日不足一年的，可提供成立后任意时段的资产负债表；事业单位提供财务报表，财务报表应当包括：资产负债表、收入支出表或者收入费用表、财政补助收入支出表；（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基本资格条件承诺函》声明，经查，投标人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投标保证金缴纳凭证 产品技术参数表 投标函 中小企业声明函 残疾人福利性单位声明函 商务应答表 标的清单 投标文件封面 投标人应提交的相关资格证明材料 监狱企业的证明文件 投标方案说明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按招标文件要求提供投标保证金缴纳凭证</w:t>
            </w:r>
          </w:p>
        </w:tc>
        <w:tc>
          <w:tcPr>
            <w:tcW w:type="dxa" w:w="1661"/>
          </w:tcPr>
          <w:p>
            <w:pPr>
              <w:pStyle w:val="null3"/>
            </w:pPr>
            <w:r>
              <w:rPr>
                <w:rFonts w:ascii="仿宋_GB2312" w:hAnsi="仿宋_GB2312" w:cs="仿宋_GB2312" w:eastAsia="仿宋_GB2312"/>
              </w:rPr>
              <w:t>投标保证金缴纳凭证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技术参数响应情况</w:t>
            </w:r>
          </w:p>
        </w:tc>
        <w:tc>
          <w:tcPr>
            <w:tcW w:type="dxa" w:w="2492"/>
          </w:tcPr>
          <w:p>
            <w:pPr>
              <w:pStyle w:val="null3"/>
            </w:pPr>
            <w:r>
              <w:rPr>
                <w:rFonts w:ascii="仿宋_GB2312" w:hAnsi="仿宋_GB2312" w:cs="仿宋_GB2312" w:eastAsia="仿宋_GB2312"/>
              </w:rPr>
              <w:t>所投产品的技术参数、配置和功能需求，评审依据为生产厂家出具的、相应的功能证明材料（包括但不限于测试报告、彩页、官网和功能截图等）及所投产品技术参数偏离表等，按以下标准计分： ①所投产品的检测报告、产品认证证书等资料齐全、产品彩页清晰，技术参数和设备功能描述详细，产品选型有充分的依据，配套设施完善，各类证明材料完整，且能完全满足采购文件技术要求，得10分； ②所投产品的检测报告、产品认证证书等核心资料齐全，产品彩页可辨识关键信息，技术参数和设备功能描述较为详细，产品选型依据充分，配套设施基本完善，各类证明材料无关键缺失，能满足采购文件技术要求，得8分； ③所投产品的检测报告、产品认证证书等主要资料具备，产品彩页有基础信息，技术参数和设备功能有基本描述，产品选型有合理依据，配套设施能适配基本需求，证明材料无核心缺陷，可满足采购文件基础技术要求，计6分； ④所投产品的检测报告、产品认证证书等资料存在少量缺失，产品彩页信息不完整，技术参数和设备功能描述较笼统，产品选型依据不足，配套设施有部分短板，证明材料有一定瑕疵，仅能满足采购文件最低技术要求，计4分。 ⑤所投产品的检测报告、产品认证证书等资料缺失较多，产品彩页关键信息模糊，技术参数和设备功能描述简略，产品选型依据不充分，配套设施不完善，证明材料支撑性弱，勉强符合采购文件基础技术要求，得2分。 ⑥未提供相关材料或提供的材料完全无效，得0分。 （注：标“★”的参数需求为实质性要求，供应商必须响应并满足的参数需求，若不符合则做无效投标处理；供应商必须如实地对采购文件采购需求中各条款作出明确的逐项响应，并对其真实性负责。）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设备供货、运输、仓储、验收方案</w:t>
            </w:r>
          </w:p>
        </w:tc>
        <w:tc>
          <w:tcPr>
            <w:tcW w:type="dxa" w:w="2492"/>
          </w:tcPr>
          <w:p>
            <w:pPr>
              <w:pStyle w:val="null3"/>
            </w:pPr>
            <w:r>
              <w:rPr>
                <w:rFonts w:ascii="仿宋_GB2312" w:hAnsi="仿宋_GB2312" w:cs="仿宋_GB2312" w:eastAsia="仿宋_GB2312"/>
              </w:rPr>
              <w:t>供应商需提供针对本项目的设备供货、运输、仓储、验收方案，包含①设备供货方案②供货组织安排（含仓储、运输、派送措施等，确保按期交货）③设备运输方案④设备仓储方案；⑤设备验收方案，按以下标准计分： 方案各部分内容全面详细、阐述条理清晰详尽、符合本项目采购需求，能保障项目实施的得10 分；方案每缺一项核心内容扣 2分；方案内容存在缺陷（指内容不合理、不完善、表述前后不一致、套用其他项目方案或与项目需求不匹配等不利于项目实施的情形），每项缺陷扣 0.5 分，最低得0分。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产品及备品备件货源渠道</w:t>
            </w:r>
          </w:p>
        </w:tc>
        <w:tc>
          <w:tcPr>
            <w:tcW w:type="dxa" w:w="2492"/>
          </w:tcPr>
          <w:p>
            <w:pPr>
              <w:pStyle w:val="null3"/>
            </w:pPr>
            <w:r>
              <w:rPr>
                <w:rFonts w:ascii="仿宋_GB2312" w:hAnsi="仿宋_GB2312" w:cs="仿宋_GB2312" w:eastAsia="仿宋_GB2312"/>
              </w:rPr>
              <w:t>产品及备品备件货源渠道正常，供应充足，产地及制造商明确，产品销售记录可追溯。 ①产品货源渠道清晰可追溯，提供原厂完整授权文件（如制造商授权书、区域代理授权书等）及货源证明材料；技术资料齐全完整；备品备件供应渠道稳定，核心配件与常规配件均保障充足，明确承诺供货周期，提供备品备件清单，证明材料充分，得10分； ②产品货源渠道清晰，提供原厂授权文件及货源证明材料；技术资料基本齐全，仅缺少少量非关键附件说明；备品备件供应渠道稳定，核心配件与常规配件供应充足，核心配件供货周期合理，提供主要备品备件清单，证明材料较充分，得8分； ③产品货源渠道明确，提供产品授权文件，但货源记录不够详细；技术资料基本齐全；备品备件供应可满足设备常规运行需求，提供基础备品备件清单，证明材料基本能支撑响应内容，得6分；④产品货源渠道基本明确，货源记录不完整；产品授权文件不完整；技术资料不齐全；备品备件供应仅能满足基础故障需求，证明材料较少，得4分； ⑤产品货源渠道表述模糊，无法提供有效货源证明；产品授权文件缺失关键要素（如无授权主体、授权期限不明确）或未提供；技术资料严重缺失（仅提供产品名称、型号等基础信息）；无法明确备品备件供应能力，未提供备品备件清单，仅提供极少量无效证明，得2分。 ⑥未提供任何与产品货源渠道、产品授权、技术资料、备品备件供应相关的证明材料，或提供的材料完全无效，得0分。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质量性能提升</w:t>
            </w:r>
          </w:p>
        </w:tc>
        <w:tc>
          <w:tcPr>
            <w:tcW w:type="dxa" w:w="2492"/>
          </w:tcPr>
          <w:p>
            <w:pPr>
              <w:pStyle w:val="null3"/>
            </w:pPr>
            <w:r>
              <w:rPr>
                <w:rFonts w:ascii="仿宋_GB2312" w:hAnsi="仿宋_GB2312" w:cs="仿宋_GB2312" w:eastAsia="仿宋_GB2312"/>
              </w:rPr>
              <w:t>技术指标、参数优于招标文件规定的相应技术指标、参数，并且有实质性能提升的，经评标委员会一致认可的可进行相应加分，每项加2分，最多加14分。 评审依据为生产厂家出具的、相应的功能证明材料（包括但不限于测试报告、彩页、官网和功能截图等）及投标产品技术参数偏离表等证明资料。</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制定完善、具体、可行的服务维保方案（包含日常、月度、年度维保方案），需体现服务方案可行性、完整性及服务承诺落实保障措施，明确质保期内外后续技术支持和维护能力，按以下标准计分： ①售后服务方案全面、具体、合理性强，得12分； ②售后服务方案相对全面、具体，合理性相对较强，得10分； ③售后服务方案基本全面、具体，有一定的合理性，得8分； ④售后服务方案不够全面具体，合理性相对较弱，得5分； ⑤售后服务方案不全面具体，合理性较差，得2分； ⑥未提供方案得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整套装置质保期在满足招标文件规定的基础上每增加1年加1分,最多得3分。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供应商制定完善可行、有针对性的培训服务方案，能够保障使用单位熟练操作维护和正常使用设备，按以下标准计分： ①培训方案全面、具体、合理性强，得6分； ②培训方案相对全面、具体，合理性相对较强，得5分； ③培训方案基本全面、具体，有一定的合理性，得4分； ④培训方案不够全面具体，合理性相对较弱，得 2 分； ⑤培训方案不全面具体，合理性较差，得 1 分； ⑥未提供方案得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提供投标人2022年01月01日至今所投类似产品业绩（仅限投标人本身）（提供合同复印件加盖公章），每份计1分，满分5分。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