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版本号：KY2025-1-93620251209001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办公和业务用房租赁项目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KY2025-1-936</w:t>
      </w:r>
      <w:r>
        <w:br/>
      </w:r>
      <w:r>
        <w:br/>
      </w:r>
      <w:r>
        <w:br/>
      </w:r>
    </w:p>
    <w:p>
      <w:pPr>
        <w:pStyle w:val="null3"/>
        <w:jc w:val="center"/>
        <w:outlineLvl w:val="5"/>
      </w:pPr>
      <w:r>
        <w:rPr>
          <w:rFonts w:ascii="仿宋_GB2312" w:hAnsi="仿宋_GB2312" w:cs="仿宋_GB2312" w:eastAsia="仿宋_GB2312"/>
          <w:sz w:val="15"/>
          <w:b/>
        </w:rPr>
        <w:t>陕西省医疗保障技术服务中心</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办公和业务用房租赁项目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KY2025-1-936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办公和业务用房租赁项目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陕西省医疗保障技术服务中心办公和业务用房租赁项目，具体内容详见单一来源采购文件第三部分。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采购包1：632,900.00元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采购包1：632,900.00元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银行账号：86113010750181502000721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代理服务费收费标准：1、交费金额参照国家计委《招标代理服务费收费管理暂行办法（计价格〔2002〕1980号）的标准下浮10%收取。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陕西省医疗保障技术服务中心办公和业务用房租赁项目，具体内容详见单一来源采购文件第三部分。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632,900.00</w:t>
      </w:r>
    </w:p>
    <w:p>
      <w:pPr>
        <w:pStyle w:val="null3"/>
      </w:pPr>
      <w:r>
        <w:rPr>
          <w:rFonts w:ascii="仿宋_GB2312" w:hAnsi="仿宋_GB2312" w:cs="仿宋_GB2312" w:eastAsia="仿宋_GB2312"/>
        </w:rPr>
        <w:t>采购包最高限价（元）: 632,900.00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陕西省医疗保障技术服务中心办公和业务用房租赁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632,900.00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标的名称：陕西省医疗保障技术服务中心办公和业务用房租赁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（一）服务期限</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个月（</w:t>
            </w:r>
            <w:r>
              <w:rPr>
                <w:rFonts w:ascii="仿宋_GB2312" w:hAnsi="仿宋_GB2312" w:cs="仿宋_GB2312" w:eastAsia="仿宋_GB2312"/>
                <w:sz w:val="24"/>
              </w:rPr>
              <w:t>具体</w:t>
            </w:r>
            <w:r>
              <w:rPr>
                <w:rFonts w:ascii="仿宋_GB2312" w:hAnsi="仿宋_GB2312" w:cs="仿宋_GB2312" w:eastAsia="仿宋_GB2312"/>
                <w:sz w:val="24"/>
              </w:rPr>
              <w:t>租赁时间以最终合同实际签订为准）。</w:t>
            </w:r>
          </w:p>
          <w:p>
            <w:pPr>
              <w:pStyle w:val="null3"/>
              <w:ind w:firstLine="480"/>
              <w:jc w:val="both"/>
            </w:pPr>
            <w:r>
              <w:rPr>
                <w:rFonts w:ascii="仿宋_GB2312" w:hAnsi="仿宋_GB2312" w:cs="仿宋_GB2312" w:eastAsia="仿宋_GB2312"/>
                <w:sz w:val="24"/>
              </w:rPr>
              <w:t>（二）付款方式：</w:t>
            </w:r>
          </w:p>
          <w:p>
            <w:pPr>
              <w:pStyle w:val="null3"/>
              <w:ind w:firstLine="480"/>
              <w:jc w:val="both"/>
            </w:pPr>
            <w:r>
              <w:rPr>
                <w:rFonts w:ascii="仿宋_GB2312" w:hAnsi="仿宋_GB2312" w:cs="仿宋_GB2312" w:eastAsia="仿宋_GB2312"/>
                <w:sz w:val="24"/>
              </w:rPr>
              <w:t>合同签订后，供应商应向采购人提供与当期租金同等金额的合法有效</w:t>
            </w:r>
            <w:r>
              <w:rPr>
                <w:rFonts w:ascii="仿宋_GB2312" w:hAnsi="仿宋_GB2312" w:cs="仿宋_GB2312" w:eastAsia="仿宋_GB2312"/>
                <w:sz w:val="24"/>
              </w:rPr>
              <w:t>的增值税普通发票，采</w:t>
            </w:r>
            <w:r>
              <w:rPr>
                <w:rFonts w:ascii="仿宋_GB2312" w:hAnsi="仿宋_GB2312" w:cs="仿宋_GB2312" w:eastAsia="仿宋_GB2312"/>
                <w:sz w:val="24"/>
              </w:rPr>
              <w:t>购人收到发票后</w:t>
            </w:r>
            <w:r>
              <w:rPr>
                <w:rFonts w:ascii="仿宋_GB2312" w:hAnsi="仿宋_GB2312" w:cs="仿宋_GB2312" w:eastAsia="仿宋_GB2312"/>
                <w:sz w:val="24"/>
              </w:rPr>
              <w:t>30日内，支付合同金额的100%。</w:t>
            </w:r>
          </w:p>
          <w:p>
            <w:pPr>
              <w:pStyle w:val="null3"/>
              <w:jc w:val="both"/>
            </w:pPr>
            <w:r>
              <w:rPr>
                <w:rFonts w:ascii="仿宋_GB2312" w:hAnsi="仿宋_GB2312" w:cs="仿宋_GB2312" w:eastAsia="仿宋_GB2312"/>
                <w:sz w:val="24"/>
                <w:b/>
              </w:rPr>
              <w:t>二、采购内容</w:t>
            </w:r>
          </w:p>
          <w:p>
            <w:pPr>
              <w:pStyle w:val="null3"/>
              <w:ind w:firstLine="480"/>
              <w:jc w:val="both"/>
            </w:pPr>
            <w:r>
              <w:rPr>
                <w:rFonts w:ascii="仿宋_GB2312" w:hAnsi="仿宋_GB2312" w:cs="仿宋_GB2312" w:eastAsia="仿宋_GB2312"/>
                <w:sz w:val="24"/>
              </w:rPr>
              <w:t>本项目为陕西省医疗保障技术服务中心办公及业务用房续租，应满足以下条件：</w:t>
            </w:r>
          </w:p>
          <w:p>
            <w:pPr>
              <w:pStyle w:val="null3"/>
              <w:ind w:firstLine="480"/>
              <w:jc w:val="both"/>
            </w:pPr>
            <w:r>
              <w:rPr>
                <w:rFonts w:ascii="仿宋_GB2312" w:hAnsi="仿宋_GB2312" w:cs="仿宋_GB2312" w:eastAsia="仿宋_GB2312"/>
                <w:sz w:val="24"/>
              </w:rPr>
              <w:t>（一）租赁建筑面积约</w:t>
            </w:r>
            <w:r>
              <w:rPr>
                <w:rFonts w:ascii="仿宋_GB2312" w:hAnsi="仿宋_GB2312" w:cs="仿宋_GB2312" w:eastAsia="仿宋_GB2312"/>
                <w:sz w:val="24"/>
              </w:rPr>
              <w:t>878平方米。</w:t>
            </w:r>
          </w:p>
          <w:p>
            <w:pPr>
              <w:pStyle w:val="null3"/>
              <w:ind w:firstLine="480"/>
              <w:jc w:val="both"/>
            </w:pPr>
            <w:r>
              <w:rPr>
                <w:rFonts w:ascii="仿宋_GB2312" w:hAnsi="仿宋_GB2312" w:cs="仿宋_GB2312" w:eastAsia="仿宋_GB2312"/>
                <w:sz w:val="24"/>
              </w:rPr>
              <w:t>（二）应具备满足医保专线办公的办公条件。</w:t>
            </w:r>
          </w:p>
          <w:p>
            <w:pPr>
              <w:pStyle w:val="null3"/>
              <w:ind w:firstLine="480"/>
              <w:jc w:val="both"/>
            </w:pPr>
            <w:r>
              <w:rPr>
                <w:rFonts w:ascii="仿宋_GB2312" w:hAnsi="仿宋_GB2312" w:cs="仿宋_GB2312" w:eastAsia="仿宋_GB2312"/>
                <w:sz w:val="24"/>
              </w:rPr>
              <w:t>（三）提供不少于</w:t>
            </w:r>
            <w:r>
              <w:rPr>
                <w:rFonts w:ascii="仿宋_GB2312" w:hAnsi="仿宋_GB2312" w:cs="仿宋_GB2312" w:eastAsia="仿宋_GB2312"/>
                <w:sz w:val="24"/>
              </w:rPr>
              <w:t>50个停车位。</w:t>
            </w:r>
          </w:p>
          <w:p>
            <w:pPr>
              <w:pStyle w:val="null3"/>
              <w:ind w:firstLine="480"/>
              <w:jc w:val="both"/>
            </w:pPr>
            <w:r>
              <w:rPr>
                <w:rFonts w:ascii="仿宋_GB2312" w:hAnsi="仿宋_GB2312" w:cs="仿宋_GB2312" w:eastAsia="仿宋_GB2312"/>
                <w:sz w:val="24"/>
              </w:rPr>
              <w:t>（四）房屋功能需求：能设置办公室、会议室、档案室、储藏室（库房）、</w:t>
            </w:r>
            <w:r>
              <w:rPr>
                <w:rFonts w:ascii="仿宋_GB2312" w:hAnsi="仿宋_GB2312" w:cs="仿宋_GB2312" w:eastAsia="仿宋_GB2312"/>
                <w:sz w:val="24"/>
              </w:rPr>
              <w:t>卫生间等。</w:t>
            </w:r>
          </w:p>
          <w:p>
            <w:pPr>
              <w:pStyle w:val="null3"/>
              <w:ind w:firstLine="480"/>
              <w:jc w:val="both"/>
            </w:pPr>
            <w:r>
              <w:rPr>
                <w:rFonts w:ascii="仿宋_GB2312" w:hAnsi="仿宋_GB2312" w:cs="仿宋_GB2312" w:eastAsia="仿宋_GB2312"/>
                <w:sz w:val="24"/>
              </w:rPr>
              <w:t>（五）房屋应符合《党政机关办公用房建设标准》有关规定。已装修，可直接入驻。具备相关办公、设施；水、电已接；有制冷和取暖；消防设施完备有效；具备办理宽带、固话、各类设备、监控等安装条件。</w:t>
            </w:r>
          </w:p>
          <w:p>
            <w:pPr>
              <w:pStyle w:val="null3"/>
              <w:ind w:firstLine="480"/>
              <w:jc w:val="both"/>
            </w:pPr>
            <w:r>
              <w:rPr>
                <w:rFonts w:ascii="仿宋_GB2312" w:hAnsi="仿宋_GB2312" w:cs="仿宋_GB2312" w:eastAsia="仿宋_GB2312"/>
                <w:sz w:val="24"/>
              </w:rPr>
              <w:t>（六）成交供应商所提供的房屋应权属明确，无产权纠纷。在租赁期限内成交供应商应保证所出租房屋的正常使用，须承担房屋主体结构、给排水管道、取暖设施设备、电力设施设备等相关配套设施设备的维修和保养。对租赁物因质量问题或装修问题影响采购单位正常使用或造成的安全隐患（包括但不限于房屋及附属设施和设备的不能正常使用、损坏、漏水、线路出现问题等）负责。发生问题时，须及时安排人员维修，保证在当天内恢复正常使用状态。</w:t>
            </w:r>
          </w:p>
          <w:p>
            <w:pPr>
              <w:pStyle w:val="null3"/>
              <w:ind w:firstLine="480"/>
              <w:jc w:val="both"/>
            </w:pPr>
            <w:r>
              <w:rPr>
                <w:rFonts w:ascii="仿宋_GB2312" w:hAnsi="仿宋_GB2312" w:cs="仿宋_GB2312" w:eastAsia="仿宋_GB2312"/>
                <w:sz w:val="24"/>
              </w:rPr>
              <w:t>（七）在租赁期限内遵守中华人民共和国法律和政府相关规定，成交供应商经营的所有执照手续应由成交供应商自行办理。</w:t>
            </w:r>
          </w:p>
          <w:p>
            <w:pPr>
              <w:pStyle w:val="null3"/>
              <w:ind w:firstLine="480"/>
              <w:jc w:val="both"/>
            </w:pPr>
            <w:r>
              <w:rPr>
                <w:rFonts w:ascii="仿宋_GB2312" w:hAnsi="仿宋_GB2312" w:cs="仿宋_GB2312" w:eastAsia="仿宋_GB2312"/>
                <w:sz w:val="24"/>
              </w:rPr>
              <w:t>（八）供应商须为采购人的员工提供就餐场所及物业服务。</w:t>
            </w:r>
          </w:p>
          <w:p>
            <w:pPr>
              <w:pStyle w:val="null3"/>
              <w:ind w:firstLine="480"/>
              <w:jc w:val="both"/>
            </w:pPr>
            <w:r>
              <w:rPr>
                <w:rFonts w:ascii="仿宋_GB2312" w:hAnsi="仿宋_GB2312" w:cs="仿宋_GB2312" w:eastAsia="仿宋_GB2312"/>
                <w:sz w:val="24"/>
              </w:rPr>
              <w:t>1.共用部位的维修、养护和管理。包括共用设施设备、市政共用设施房屋的承重结构、非承重结构等部位；</w:t>
            </w:r>
          </w:p>
          <w:p>
            <w:pPr>
              <w:pStyle w:val="null3"/>
              <w:ind w:firstLine="480"/>
              <w:jc w:val="both"/>
            </w:pPr>
            <w:r>
              <w:rPr>
                <w:rFonts w:ascii="仿宋_GB2312" w:hAnsi="仿宋_GB2312" w:cs="仿宋_GB2312" w:eastAsia="仿宋_GB2312"/>
                <w:sz w:val="24"/>
              </w:rPr>
              <w:t>2.附属配套建筑和设施维修、养护和管理。包括停车场（库）、附属活动场地等的维修、养护和管理；</w:t>
            </w:r>
          </w:p>
          <w:p>
            <w:pPr>
              <w:pStyle w:val="null3"/>
              <w:ind w:firstLine="480"/>
              <w:jc w:val="both"/>
            </w:pPr>
            <w:r>
              <w:rPr>
                <w:rFonts w:ascii="仿宋_GB2312" w:hAnsi="仿宋_GB2312" w:cs="仿宋_GB2312" w:eastAsia="仿宋_GB2312"/>
                <w:sz w:val="24"/>
              </w:rPr>
              <w:t>3.绿化植物维护。包括公用绿地、花木、建筑小品等的养护与管理；</w:t>
            </w:r>
          </w:p>
          <w:p>
            <w:pPr>
              <w:pStyle w:val="null3"/>
              <w:ind w:firstLine="480"/>
              <w:jc w:val="both"/>
            </w:pPr>
            <w:r>
              <w:rPr>
                <w:rFonts w:ascii="仿宋_GB2312" w:hAnsi="仿宋_GB2312" w:cs="仿宋_GB2312" w:eastAsia="仿宋_GB2312"/>
                <w:sz w:val="24"/>
              </w:rPr>
              <w:t>4.秩序维护及管理。包括公共秩序、交通与车辆停放秩序的管理；</w:t>
            </w:r>
          </w:p>
          <w:p>
            <w:pPr>
              <w:pStyle w:val="null3"/>
              <w:ind w:firstLine="480"/>
              <w:jc w:val="both"/>
            </w:pPr>
            <w:r>
              <w:rPr>
                <w:rFonts w:ascii="仿宋_GB2312" w:hAnsi="仿宋_GB2312" w:cs="仿宋_GB2312" w:eastAsia="仿宋_GB2312"/>
                <w:sz w:val="24"/>
              </w:rPr>
              <w:t>5.公共场所的清洁卫生。包括公共场所、房屋共用部位的垃圾的收集、清运，排水管道、污水管道的疏通；</w:t>
            </w:r>
          </w:p>
          <w:p>
            <w:pPr>
              <w:pStyle w:val="null3"/>
            </w:pPr>
            <w:r>
              <w:rPr>
                <w:rFonts w:ascii="仿宋_GB2312" w:hAnsi="仿宋_GB2312" w:cs="仿宋_GB2312" w:eastAsia="仿宋_GB2312"/>
                <w:sz w:val="24"/>
              </w:rPr>
              <w:t>6.安防服务。包括安全监控、进出区域的门禁、巡视、门岗执勤消防工作等。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服务期限：15个月（具体租赁时间以最终合同实际签订为准）。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陕西省医疗保障技术服务中心指定地点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合同签订后，乙方应向甲方提供与当期租金同等金额的合法有效的增值税普通发票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按照合同等相关规定验收。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1、成交供应商领取成交通知书时，提交纸质响应文件正本壹份、副本贰份、电子版壹份（U盘壹份注明单位名称）编辑目录和页码，内容和通过电子化交易平台实施的政府采购项目提交的响应文件一致。 2、纸质响应文件正副本分别胶装。 3、保证金的退还：自中标（成交）通知书发出之日起5个工作日内退还未成交供应商的投标保证金,自采购合同签订之日起5个工作日内退还成交供应商的投标保证金。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开标一览表（报价表）.docx 中小企业声明函 报价表 供应商承诺书.docx 商务条款响应说明.docx 响应文件封面 分项报价表.docx 保证金缴纳凭证（保函）.docx 残疾人福利性单位声明函 标的清单 供应商资格证明文件.docx 响应函 偏差表.docx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开标一览表（报价表）.docx 中小企业声明函 报价表 供应商承诺书.docx 商务条款响应说明.docx 响应文件封面 分项报价表.docx 保证金缴纳凭证（保函）.docx 残疾人福利性单位声明函 标的清单 供应商资格证明文件.docx 响应函 偏差表.docx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保证金交纳符合采购文件要求。</w:t>
            </w:r>
          </w:p>
        </w:tc>
        <w:tc>
          <w:tcPr>
            <w:tcW w:type="dxa" w:w="1661"/>
          </w:tcPr>
          <w:p>
            <w:pPr>
              <w:pStyle w:val="null3"/>
            </w:pPr>
            <w:r>
              <w:rPr>
                <w:rFonts w:ascii="仿宋_GB2312" w:hAnsi="仿宋_GB2312" w:cs="仿宋_GB2312" w:eastAsia="仿宋_GB2312"/>
              </w:rPr>
              <w:t>保证金缴纳凭证（保函）.docx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符合采购文件的实质性要求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开标一览表（报价表）.docx 中小企业声明函 报价表 供应商承诺书.docx 商务条款响应说明.docx 响应文件封面 分项报价表.docx 残疾人福利性单位声明函 标的清单 供应商资格证明文件.docx 响应函 偏差表.docx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