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FBFE82">
      <w:pPr>
        <w:rPr>
          <w:rFonts w:hint="eastAsia" w:ascii="方正小标宋简体" w:hAnsi="方正小标宋简体" w:eastAsia="方正小标宋简体" w:cs="方正小标宋简体"/>
          <w:b w:val="0"/>
          <w:bCs w:val="0"/>
          <w:color w:val="auto"/>
          <w:sz w:val="44"/>
          <w:szCs w:val="44"/>
          <w:highlight w:val="none"/>
          <w:lang w:val="en-US" w:eastAsia="zh-CN"/>
        </w:rPr>
      </w:pPr>
      <w:r>
        <w:rPr>
          <w:rFonts w:hint="eastAsia" w:eastAsiaTheme="minorEastAsia"/>
          <w:lang w:eastAsia="zh-CN"/>
        </w:rPr>
        <w:drawing>
          <wp:anchor distT="0" distB="0" distL="114300" distR="114300" simplePos="0" relativeHeight="251659264" behindDoc="1" locked="0" layoutInCell="1" allowOverlap="1">
            <wp:simplePos x="0" y="0"/>
            <wp:positionH relativeFrom="column">
              <wp:posOffset>6475095</wp:posOffset>
            </wp:positionH>
            <wp:positionV relativeFrom="page">
              <wp:posOffset>-378460</wp:posOffset>
            </wp:positionV>
            <wp:extent cx="7633335" cy="10796270"/>
            <wp:effectExtent l="0" t="0" r="5715" b="5080"/>
            <wp:wrapNone/>
            <wp:docPr id="1" name="图片 1" descr="红头文件-开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红头文件-开瑞"/>
                    <pic:cNvPicPr>
                      <a:picLocks noChangeAspect="1"/>
                    </pic:cNvPicPr>
                  </pic:nvPicPr>
                  <pic:blipFill>
                    <a:blip r:embed="rId4"/>
                    <a:stretch>
                      <a:fillRect/>
                    </a:stretch>
                  </pic:blipFill>
                  <pic:spPr>
                    <a:xfrm>
                      <a:off x="0" y="0"/>
                      <a:ext cx="7633335" cy="10796270"/>
                    </a:xfrm>
                    <a:prstGeom prst="rect">
                      <a:avLst/>
                    </a:prstGeom>
                  </pic:spPr>
                </pic:pic>
              </a:graphicData>
            </a:graphic>
          </wp:anchor>
        </w:drawing>
      </w:r>
    </w:p>
    <w:p w14:paraId="488AF53E">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color w:val="auto"/>
          <w:sz w:val="44"/>
          <w:szCs w:val="44"/>
          <w:highlight w:val="none"/>
          <w:lang w:val="en-US" w:eastAsia="zh-CN"/>
        </w:rPr>
      </w:pPr>
      <w:r>
        <w:rPr>
          <w:rFonts w:hint="eastAsia" w:ascii="方正小标宋简体" w:hAnsi="方正小标宋简体" w:eastAsia="方正小标宋简体" w:cs="方正小标宋简体"/>
          <w:b w:val="0"/>
          <w:bCs w:val="0"/>
          <w:color w:val="auto"/>
          <w:sz w:val="44"/>
          <w:szCs w:val="44"/>
          <w:highlight w:val="none"/>
          <w:lang w:val="en-US" w:eastAsia="zh-CN"/>
        </w:rPr>
        <w:t>长安校区教学楼等人员密集场所</w:t>
      </w:r>
    </w:p>
    <w:p w14:paraId="23640B2F">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color w:val="auto"/>
          <w:sz w:val="44"/>
          <w:szCs w:val="44"/>
          <w:highlight w:val="none"/>
          <w:lang w:val="en-US" w:eastAsia="zh-CN"/>
        </w:rPr>
      </w:pPr>
      <w:r>
        <w:rPr>
          <w:rFonts w:hint="eastAsia" w:ascii="方正小标宋简体" w:hAnsi="方正小标宋简体" w:eastAsia="方正小标宋简体" w:cs="方正小标宋简体"/>
          <w:b w:val="0"/>
          <w:bCs w:val="0"/>
          <w:color w:val="auto"/>
          <w:sz w:val="44"/>
          <w:szCs w:val="44"/>
          <w:highlight w:val="none"/>
          <w:lang w:val="en-US" w:eastAsia="zh-CN"/>
        </w:rPr>
        <w:t>消防改造工程</w:t>
      </w:r>
    </w:p>
    <w:p w14:paraId="75696AAE">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color w:val="auto"/>
          <w:sz w:val="44"/>
          <w:szCs w:val="44"/>
          <w:highlight w:val="none"/>
          <w:lang w:val="en-US" w:eastAsia="zh-CN"/>
        </w:rPr>
      </w:pPr>
    </w:p>
    <w:p w14:paraId="34B507C2">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小标宋简体" w:hAnsi="方正小标宋简体" w:eastAsia="方正小标宋简体" w:cs="方正小标宋简体"/>
          <w:b w:val="0"/>
          <w:bCs w:val="0"/>
          <w:color w:val="auto"/>
          <w:sz w:val="44"/>
          <w:szCs w:val="44"/>
          <w:highlight w:val="none"/>
          <w:lang w:val="en-US" w:eastAsia="zh-CN"/>
        </w:rPr>
      </w:pPr>
    </w:p>
    <w:p w14:paraId="7A51FBFE">
      <w:pPr>
        <w:rPr>
          <w:rFonts w:hint="eastAsia" w:ascii="仿宋" w:hAnsi="仿宋" w:eastAsia="仿宋" w:cs="Times New Roman"/>
          <w:b/>
          <w:w w:val="80"/>
          <w:sz w:val="84"/>
          <w:szCs w:val="22"/>
        </w:rPr>
      </w:pPr>
      <w:r>
        <w:rPr>
          <w:rFonts w:hint="eastAsia" w:ascii="仿宋" w:hAnsi="仿宋" w:eastAsia="仿宋" w:cs="Times New Roman"/>
          <w:b/>
          <w:w w:val="80"/>
          <w:sz w:val="84"/>
          <w:szCs w:val="22"/>
          <w:lang w:eastAsia="zh-CN"/>
        </w:rPr>
        <w:drawing>
          <wp:anchor distT="0" distB="0" distL="114300" distR="114300" simplePos="0" relativeHeight="251660288" behindDoc="1" locked="0" layoutInCell="1" allowOverlap="1">
            <wp:simplePos x="0" y="0"/>
            <wp:positionH relativeFrom="column">
              <wp:posOffset>998220</wp:posOffset>
            </wp:positionH>
            <wp:positionV relativeFrom="paragraph">
              <wp:posOffset>460375</wp:posOffset>
            </wp:positionV>
            <wp:extent cx="3011805" cy="2013585"/>
            <wp:effectExtent l="0" t="0" r="17145" b="5715"/>
            <wp:wrapTight wrapText="bothSides">
              <wp:wrapPolygon>
                <wp:start x="0" y="0"/>
                <wp:lineTo x="0" y="21457"/>
                <wp:lineTo x="21450" y="21457"/>
                <wp:lineTo x="21450" y="0"/>
                <wp:lineTo x="0" y="0"/>
              </wp:wrapPolygon>
            </wp:wrapTight>
            <wp:docPr id="2" name="图片 2" descr="69df8671f5586135e2bb412685f940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69df8671f5586135e2bb412685f940a"/>
                    <pic:cNvPicPr>
                      <a:picLocks noChangeAspect="1"/>
                    </pic:cNvPicPr>
                  </pic:nvPicPr>
                  <pic:blipFill>
                    <a:blip r:embed="rId5"/>
                    <a:stretch>
                      <a:fillRect/>
                    </a:stretch>
                  </pic:blipFill>
                  <pic:spPr>
                    <a:xfrm>
                      <a:off x="0" y="0"/>
                      <a:ext cx="3011805" cy="2013585"/>
                    </a:xfrm>
                    <a:prstGeom prst="rect">
                      <a:avLst/>
                    </a:prstGeom>
                  </pic:spPr>
                </pic:pic>
              </a:graphicData>
            </a:graphic>
          </wp:anchor>
        </w:drawing>
      </w:r>
    </w:p>
    <w:p w14:paraId="1012FD9D">
      <w:pPr>
        <w:jc w:val="center"/>
        <w:rPr>
          <w:rFonts w:hint="eastAsia" w:ascii="仿宋" w:hAnsi="仿宋" w:eastAsia="仿宋" w:cs="Times New Roman"/>
          <w:b/>
          <w:w w:val="80"/>
          <w:sz w:val="84"/>
          <w:szCs w:val="22"/>
        </w:rPr>
      </w:pPr>
    </w:p>
    <w:p w14:paraId="60BF637C">
      <w:pPr>
        <w:jc w:val="center"/>
        <w:rPr>
          <w:rFonts w:hint="eastAsia" w:ascii="仿宋" w:hAnsi="仿宋" w:eastAsia="仿宋" w:cs="Times New Roman"/>
          <w:b/>
          <w:w w:val="80"/>
          <w:sz w:val="84"/>
          <w:szCs w:val="22"/>
          <w:lang w:eastAsia="zh-CN"/>
        </w:rPr>
      </w:pPr>
    </w:p>
    <w:p w14:paraId="44391551">
      <w:pPr>
        <w:spacing w:line="600" w:lineRule="auto"/>
        <w:jc w:val="center"/>
        <w:rPr>
          <w:rFonts w:hint="eastAsia" w:ascii="宋体" w:eastAsia="宋体" w:cs="宋体"/>
          <w:b/>
          <w:bCs/>
          <w:sz w:val="84"/>
          <w:szCs w:val="84"/>
          <w:lang w:val="en-US" w:eastAsia="zh-CN"/>
        </w:rPr>
      </w:pPr>
    </w:p>
    <w:p w14:paraId="0DEE1614">
      <w:pPr>
        <w:spacing w:line="600" w:lineRule="auto"/>
        <w:jc w:val="center"/>
        <w:rPr>
          <w:rFonts w:hint="default" w:ascii="宋体" w:hAnsi="宋体" w:eastAsia="宋体" w:cs="宋体"/>
          <w:b/>
          <w:bCs/>
          <w:sz w:val="84"/>
          <w:szCs w:val="84"/>
          <w:lang w:val="en-US" w:eastAsia="zh-CN"/>
        </w:rPr>
      </w:pPr>
      <w:r>
        <w:rPr>
          <w:rFonts w:hint="eastAsia" w:ascii="宋体" w:hAnsi="宋体" w:eastAsia="宋体" w:cs="宋体"/>
          <w:b/>
          <w:bCs/>
          <w:sz w:val="84"/>
          <w:szCs w:val="84"/>
          <w:lang w:val="en-US" w:eastAsia="zh-CN"/>
        </w:rPr>
        <w:t>工程量清单</w:t>
      </w:r>
    </w:p>
    <w:p w14:paraId="737FEADA">
      <w:pPr>
        <w:spacing w:line="600" w:lineRule="auto"/>
        <w:jc w:val="both"/>
        <w:rPr>
          <w:rFonts w:hint="eastAsia" w:ascii="宋体" w:hAnsi="宋体" w:cs="宋体"/>
          <w:b/>
          <w:bCs/>
          <w:sz w:val="32"/>
          <w:szCs w:val="32"/>
        </w:rPr>
      </w:pPr>
    </w:p>
    <w:p w14:paraId="17D01225">
      <w:pPr>
        <w:spacing w:line="600" w:lineRule="auto"/>
        <w:jc w:val="both"/>
        <w:rPr>
          <w:rFonts w:hint="eastAsia" w:ascii="宋体" w:hAnsi="宋体" w:cs="宋体"/>
          <w:b/>
          <w:bCs/>
          <w:sz w:val="32"/>
          <w:szCs w:val="32"/>
        </w:rPr>
      </w:pPr>
    </w:p>
    <w:p w14:paraId="2957A36E">
      <w:pPr>
        <w:spacing w:line="600" w:lineRule="auto"/>
        <w:jc w:val="center"/>
        <w:rPr>
          <w:rFonts w:hint="eastAsia" w:asciiTheme="majorEastAsia" w:hAnsiTheme="majorEastAsia" w:eastAsiaTheme="majorEastAsia" w:cstheme="majorEastAsia"/>
          <w:b/>
          <w:bCs/>
          <w:sz w:val="32"/>
          <w:szCs w:val="32"/>
        </w:rPr>
      </w:pPr>
    </w:p>
    <w:p w14:paraId="5C0FADC3">
      <w:pPr>
        <w:spacing w:line="600" w:lineRule="auto"/>
        <w:jc w:val="center"/>
        <w:rPr>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陕西承瑞祺项目管理咨询有限公司</w:t>
      </w:r>
    </w:p>
    <w:p w14:paraId="558B2BCB">
      <w:pPr>
        <w:jc w:val="center"/>
        <w:rPr>
          <w:rFonts w:hint="eastAsia" w:asciiTheme="majorEastAsia" w:hAnsiTheme="majorEastAsia" w:eastAsiaTheme="majorEastAsia" w:cstheme="majorEastAsia"/>
          <w:lang w:val="en-US" w:eastAsia="zh-CN"/>
        </w:rPr>
        <w:sectPr>
          <w:pgSz w:w="11906" w:h="16838"/>
          <w:pgMar w:top="1440" w:right="1800" w:bottom="1440" w:left="1800" w:header="851" w:footer="992" w:gutter="0"/>
          <w:pgNumType w:fmt="decimal"/>
          <w:cols w:space="425" w:num="1"/>
          <w:docGrid w:type="lines" w:linePitch="312" w:charSpace="0"/>
        </w:sectPr>
      </w:pPr>
      <w:r>
        <w:rPr>
          <w:rFonts w:hint="eastAsia" w:asciiTheme="majorEastAsia" w:hAnsiTheme="majorEastAsia" w:eastAsiaTheme="majorEastAsia" w:cstheme="majorEastAsia"/>
          <w:b/>
          <w:bCs/>
          <w:sz w:val="32"/>
          <w:szCs w:val="32"/>
        </w:rPr>
        <w:t>二○二</w:t>
      </w:r>
      <w:r>
        <w:rPr>
          <w:rFonts w:hint="eastAsia" w:asciiTheme="majorEastAsia" w:hAnsiTheme="majorEastAsia" w:eastAsiaTheme="majorEastAsia" w:cstheme="majorEastAsia"/>
          <w:b/>
          <w:bCs/>
          <w:sz w:val="32"/>
          <w:szCs w:val="32"/>
          <w:lang w:val="en-US" w:eastAsia="zh-CN"/>
        </w:rPr>
        <w:t>五</w:t>
      </w:r>
      <w:r>
        <w:rPr>
          <w:rFonts w:hint="eastAsia" w:asciiTheme="majorEastAsia" w:hAnsiTheme="majorEastAsia" w:eastAsiaTheme="majorEastAsia" w:cstheme="majorEastAsia"/>
          <w:b/>
          <w:bCs/>
          <w:sz w:val="32"/>
          <w:szCs w:val="32"/>
        </w:rPr>
        <w:t>年</w:t>
      </w:r>
      <w:r>
        <w:rPr>
          <w:rFonts w:hint="eastAsia" w:asciiTheme="majorEastAsia" w:hAnsiTheme="majorEastAsia" w:eastAsiaTheme="majorEastAsia" w:cstheme="majorEastAsia"/>
          <w:b/>
          <w:bCs/>
          <w:sz w:val="32"/>
          <w:szCs w:val="32"/>
          <w:lang w:val="en-US" w:eastAsia="zh-CN"/>
        </w:rPr>
        <w:t>十月</w:t>
      </w:r>
    </w:p>
    <w:p w14:paraId="093683FF">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长安校区教学楼等人员密集场所</w:t>
      </w:r>
    </w:p>
    <w:p w14:paraId="071BF5E7">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val="en-US" w:eastAsia="zh-CN"/>
        </w:rPr>
        <w:t>消防改造工程工程量清单</w:t>
      </w:r>
      <w:r>
        <w:rPr>
          <w:rFonts w:hint="eastAsia" w:ascii="方正小标宋简体" w:hAnsi="方正小标宋简体" w:eastAsia="方正小标宋简体" w:cs="方正小标宋简体"/>
          <w:b w:val="0"/>
          <w:bCs w:val="0"/>
          <w:sz w:val="44"/>
          <w:szCs w:val="44"/>
        </w:rPr>
        <w:t>编制说明</w:t>
      </w:r>
    </w:p>
    <w:p w14:paraId="48BC4079">
      <w:pPr>
        <w:keepNext w:val="0"/>
        <w:keepLines w:val="0"/>
        <w:pageBreakBefore w:val="0"/>
        <w:numPr>
          <w:ilvl w:val="3"/>
          <w:numId w:val="0"/>
        </w:numPr>
        <w:kinsoku/>
        <w:wordWrap/>
        <w:overflowPunct/>
        <w:topLinePunct w:val="0"/>
        <w:autoSpaceDE/>
        <w:autoSpaceDN/>
        <w:bidi w:val="0"/>
        <w:adjustRightInd w:val="0"/>
        <w:snapToGrid w:val="0"/>
        <w:spacing w:line="600" w:lineRule="exact"/>
        <w:ind w:left="0"/>
        <w:jc w:val="left"/>
        <w:rPr>
          <w:rFonts w:hint="eastAsia" w:ascii="黑体" w:hAnsi="黑体" w:eastAsia="黑体" w:cs="黑体"/>
          <w:b w:val="0"/>
          <w:bCs/>
          <w:sz w:val="32"/>
          <w:szCs w:val="32"/>
        </w:rPr>
      </w:pPr>
    </w:p>
    <w:p w14:paraId="26C6CD69">
      <w:pPr>
        <w:keepNext w:val="0"/>
        <w:keepLines w:val="0"/>
        <w:pageBreakBefore w:val="0"/>
        <w:numPr>
          <w:ilvl w:val="3"/>
          <w:numId w:val="0"/>
        </w:numPr>
        <w:kinsoku/>
        <w:wordWrap/>
        <w:overflowPunct/>
        <w:topLinePunct w:val="0"/>
        <w:autoSpaceDE/>
        <w:autoSpaceDN/>
        <w:bidi w:val="0"/>
        <w:adjustRightInd w:val="0"/>
        <w:snapToGrid w:val="0"/>
        <w:spacing w:line="600" w:lineRule="exact"/>
        <w:ind w:left="0" w:firstLine="640" w:firstLineChars="200"/>
        <w:jc w:val="both"/>
        <w:rPr>
          <w:rFonts w:hint="eastAsia" w:ascii="黑体" w:hAnsi="黑体" w:eastAsia="黑体" w:cs="黑体"/>
          <w:b w:val="0"/>
          <w:bCs/>
          <w:sz w:val="32"/>
          <w:szCs w:val="32"/>
        </w:rPr>
      </w:pPr>
      <w:r>
        <w:rPr>
          <w:rFonts w:hint="eastAsia" w:ascii="黑体" w:hAnsi="黑体" w:eastAsia="黑体" w:cs="黑体"/>
          <w:b w:val="0"/>
          <w:bCs/>
          <w:sz w:val="32"/>
          <w:szCs w:val="32"/>
        </w:rPr>
        <w:t>一、工程概况</w:t>
      </w:r>
    </w:p>
    <w:p w14:paraId="698A5CF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仿宋"/>
          <w:sz w:val="32"/>
          <w:szCs w:val="32"/>
        </w:rPr>
        <w:t>本工程建设地点位于</w:t>
      </w:r>
      <w:r>
        <w:rPr>
          <w:rFonts w:hint="eastAsia" w:ascii="仿宋" w:hAnsi="仿宋" w:eastAsia="仿宋" w:cs="Times New Roman"/>
          <w:sz w:val="32"/>
          <w:szCs w:val="32"/>
          <w:lang w:val="en-US" w:eastAsia="zh-CN"/>
        </w:rPr>
        <w:t>陕西职业技术学院</w:t>
      </w:r>
      <w:r>
        <w:rPr>
          <w:rFonts w:hint="eastAsia" w:ascii="仿宋" w:hAnsi="仿宋" w:eastAsia="仿宋" w:cs="Times New Roman"/>
          <w:color w:val="auto"/>
          <w:sz w:val="32"/>
          <w:szCs w:val="32"/>
          <w:lang w:val="en-US" w:eastAsia="zh-CN"/>
        </w:rPr>
        <w:t>长安校区</w:t>
      </w:r>
      <w:r>
        <w:rPr>
          <w:rFonts w:hint="eastAsia" w:ascii="仿宋" w:hAnsi="仿宋" w:eastAsia="仿宋" w:cs="Times New Roman"/>
          <w:color w:val="auto"/>
          <w:sz w:val="32"/>
          <w:szCs w:val="32"/>
          <w:lang w:eastAsia="zh-CN"/>
        </w:rPr>
        <w:t>。</w:t>
      </w:r>
    </w:p>
    <w:p w14:paraId="7A6E3592">
      <w:pPr>
        <w:pStyle w:val="7"/>
        <w:keepNext w:val="0"/>
        <w:keepLines w:val="0"/>
        <w:widowControl/>
        <w:suppressLineNumbers w:val="0"/>
        <w:spacing w:before="0" w:beforeAutospacing="0" w:after="0" w:afterAutospacing="0"/>
        <w:ind w:left="0" w:right="0" w:firstLine="640" w:firstLineChars="200"/>
        <w:rPr>
          <w:rFonts w:hint="default" w:ascii="仿宋" w:hAnsi="仿宋" w:eastAsia="仿宋" w:cs="仿宋"/>
          <w:sz w:val="32"/>
          <w:szCs w:val="32"/>
          <w:lang w:val="en-US"/>
        </w:rPr>
      </w:pPr>
      <w:r>
        <w:rPr>
          <w:rFonts w:hint="eastAsia" w:ascii="仿宋" w:hAnsi="仿宋" w:eastAsia="仿宋" w:cs="Times New Roman"/>
          <w:color w:val="auto"/>
          <w:kern w:val="2"/>
          <w:sz w:val="32"/>
          <w:szCs w:val="32"/>
          <w:lang w:val="en-US" w:eastAsia="zh-CN" w:bidi="ar-SA"/>
        </w:rPr>
        <w:t>改造范围：根据《西安市灞桥区住房和城乡建设局关于陕西职业技术学院项目的消防技术服务指导函》中的专家意见对1#教学楼、2#综合楼、3#教学楼、电钢楼、琴楼、形体楼等楼内的各消防系统进行整改,改造完成的消防系统应满足相关规范要求以及《陕西省教育厅陕西省住房和城乡建设厅陕西省消防救援总队关于开展排查化解高校校内建筑消防安全隐患专项行动的通知》陕教函〔2024〕18号要求,并且达到住建部门出具评估论证意见函的标准。</w:t>
      </w:r>
    </w:p>
    <w:p w14:paraId="03F2BF99">
      <w:pPr>
        <w:pStyle w:val="7"/>
        <w:keepNext w:val="0"/>
        <w:keepLines w:val="0"/>
        <w:pageBreakBefore w:val="0"/>
        <w:widowControl/>
        <w:kinsoku/>
        <w:wordWrap/>
        <w:overflowPunct/>
        <w:topLinePunct w:val="0"/>
        <w:autoSpaceDE/>
        <w:autoSpaceDN/>
        <w:bidi w:val="0"/>
        <w:adjustRightInd/>
        <w:snapToGrid w:val="0"/>
        <w:spacing w:beforeAutospacing="0" w:afterAutospacing="0" w:line="600" w:lineRule="exact"/>
        <w:ind w:left="0" w:firstLine="640" w:firstLineChars="200"/>
        <w:jc w:val="both"/>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二、编制依据</w:t>
      </w:r>
    </w:p>
    <w:p w14:paraId="7ECE84B2">
      <w:pPr>
        <w:keepNext w:val="0"/>
        <w:keepLines w:val="0"/>
        <w:pageBreakBefore w:val="0"/>
        <w:widowControl/>
        <w:kinsoku/>
        <w:wordWrap/>
        <w:overflowPunct/>
        <w:topLinePunct w:val="0"/>
        <w:autoSpaceDE/>
        <w:autoSpaceDN/>
        <w:bidi w:val="0"/>
        <w:adjustRightInd/>
        <w:spacing w:line="600" w:lineRule="exact"/>
        <w:ind w:lef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陕西职院两校区一期消防改造</w:t>
      </w:r>
      <w:r>
        <w:rPr>
          <w:rFonts w:hint="eastAsia" w:ascii="仿宋" w:hAnsi="仿宋" w:eastAsia="仿宋" w:cs="仿宋"/>
          <w:sz w:val="32"/>
          <w:szCs w:val="32"/>
        </w:rPr>
        <w:t>》施工图纸；</w:t>
      </w:r>
    </w:p>
    <w:p w14:paraId="01B77EAC">
      <w:pPr>
        <w:keepNext w:val="0"/>
        <w:keepLines w:val="0"/>
        <w:pageBreakBefore w:val="0"/>
        <w:widowControl/>
        <w:kinsoku/>
        <w:wordWrap/>
        <w:overflowPunct/>
        <w:topLinePunct w:val="0"/>
        <w:autoSpaceDE/>
        <w:autoSpaceDN/>
        <w:bidi w:val="0"/>
        <w:adjustRightInd/>
        <w:spacing w:line="600" w:lineRule="exact"/>
        <w:ind w:lef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2.《陕西省建设工程工程量清单计价标准》（2025）及《陕西省建设工程费用规则》（2025）；</w:t>
      </w:r>
    </w:p>
    <w:p w14:paraId="349F6899">
      <w:pPr>
        <w:keepNext w:val="0"/>
        <w:keepLines w:val="0"/>
        <w:pageBreakBefore w:val="0"/>
        <w:widowControl/>
        <w:kinsoku/>
        <w:wordWrap/>
        <w:overflowPunct/>
        <w:topLinePunct w:val="0"/>
        <w:autoSpaceDE/>
        <w:autoSpaceDN/>
        <w:bidi w:val="0"/>
        <w:adjustRightInd/>
        <w:spacing w:line="600" w:lineRule="exact"/>
        <w:ind w:left="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3.</w:t>
      </w:r>
      <w:r>
        <w:rPr>
          <w:rFonts w:hint="eastAsia" w:ascii="仿宋" w:hAnsi="仿宋" w:eastAsia="仿宋" w:cs="仿宋"/>
          <w:sz w:val="32"/>
          <w:szCs w:val="32"/>
        </w:rPr>
        <w:t>《陕西省房屋建筑与装饰工程工程量计算标准》（2025）</w:t>
      </w:r>
      <w:r>
        <w:rPr>
          <w:rFonts w:hint="eastAsia" w:ascii="仿宋" w:hAnsi="仿宋" w:eastAsia="仿宋" w:cs="仿宋"/>
          <w:sz w:val="32"/>
          <w:szCs w:val="32"/>
          <w:lang w:eastAsia="zh-CN"/>
        </w:rPr>
        <w:t>、</w:t>
      </w:r>
      <w:r>
        <w:rPr>
          <w:rFonts w:hint="eastAsia" w:ascii="仿宋" w:hAnsi="仿宋" w:eastAsia="仿宋" w:cs="仿宋"/>
          <w:sz w:val="32"/>
          <w:szCs w:val="32"/>
        </w:rPr>
        <w:t>《陕西省市政工程工程量计算标准》（2025）</w:t>
      </w:r>
      <w:r>
        <w:rPr>
          <w:rFonts w:hint="eastAsia" w:ascii="仿宋" w:hAnsi="仿宋" w:eastAsia="仿宋" w:cs="仿宋"/>
          <w:sz w:val="32"/>
          <w:szCs w:val="32"/>
          <w:lang w:eastAsia="zh-CN"/>
        </w:rPr>
        <w:t>、</w:t>
      </w:r>
      <w:r>
        <w:rPr>
          <w:rFonts w:hint="eastAsia" w:ascii="仿宋" w:hAnsi="仿宋" w:eastAsia="仿宋" w:cs="仿宋"/>
          <w:sz w:val="32"/>
          <w:szCs w:val="32"/>
        </w:rPr>
        <w:t>《陕西省通用安装工程工程量计算标准》（2025）</w:t>
      </w:r>
      <w:r>
        <w:rPr>
          <w:rFonts w:hint="eastAsia" w:ascii="仿宋" w:hAnsi="仿宋" w:eastAsia="仿宋" w:cs="仿宋"/>
          <w:sz w:val="32"/>
          <w:szCs w:val="32"/>
          <w:lang w:eastAsia="zh-CN"/>
        </w:rPr>
        <w:t>、</w:t>
      </w:r>
      <w:r>
        <w:rPr>
          <w:rFonts w:hint="eastAsia" w:ascii="仿宋" w:hAnsi="仿宋" w:eastAsia="仿宋" w:cs="仿宋"/>
          <w:sz w:val="32"/>
          <w:szCs w:val="32"/>
        </w:rPr>
        <w:t>《陕西省园林绿化工程工程量计算标准》（2025）</w:t>
      </w:r>
      <w:r>
        <w:rPr>
          <w:rFonts w:hint="eastAsia" w:ascii="仿宋" w:hAnsi="仿宋" w:eastAsia="仿宋" w:cs="仿宋"/>
          <w:sz w:val="32"/>
          <w:szCs w:val="32"/>
          <w:lang w:eastAsia="zh-CN"/>
        </w:rPr>
        <w:t>；</w:t>
      </w:r>
    </w:p>
    <w:p w14:paraId="13D96CBB">
      <w:pPr>
        <w:keepNext w:val="0"/>
        <w:keepLines w:val="0"/>
        <w:pageBreakBefore w:val="0"/>
        <w:widowControl/>
        <w:kinsoku/>
        <w:wordWrap/>
        <w:overflowPunct/>
        <w:topLinePunct w:val="0"/>
        <w:autoSpaceDE/>
        <w:autoSpaceDN/>
        <w:bidi w:val="0"/>
        <w:adjustRightInd/>
        <w:spacing w:line="600" w:lineRule="exact"/>
        <w:ind w:left="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4</w:t>
      </w:r>
      <w:r>
        <w:rPr>
          <w:rFonts w:hint="eastAsia" w:ascii="仿宋" w:hAnsi="仿宋" w:eastAsia="仿宋" w:cs="仿宋"/>
          <w:sz w:val="32"/>
          <w:szCs w:val="32"/>
        </w:rPr>
        <w:t>.《陕西省房屋建筑与装饰工程消耗量定额》（2025），《陕西省通用安装工程消耗量定额》（2025），《陕西省市政工程消耗量定额》（2025）</w:t>
      </w:r>
      <w:r>
        <w:rPr>
          <w:rFonts w:hint="eastAsia" w:ascii="仿宋" w:hAnsi="仿宋" w:eastAsia="仿宋" w:cs="仿宋"/>
          <w:sz w:val="32"/>
          <w:szCs w:val="32"/>
          <w:lang w:eastAsia="zh-CN"/>
        </w:rPr>
        <w:t>、</w:t>
      </w:r>
      <w:r>
        <w:rPr>
          <w:rFonts w:hint="eastAsia" w:ascii="仿宋" w:hAnsi="仿宋" w:eastAsia="仿宋" w:cs="仿宋"/>
          <w:sz w:val="32"/>
          <w:szCs w:val="32"/>
        </w:rPr>
        <w:t>《陕西省园林绿化工程消耗量定额》（2025）</w:t>
      </w:r>
      <w:r>
        <w:rPr>
          <w:rFonts w:hint="eastAsia" w:ascii="仿宋" w:hAnsi="仿宋" w:eastAsia="仿宋" w:cs="仿宋"/>
          <w:sz w:val="32"/>
          <w:szCs w:val="32"/>
          <w:lang w:eastAsia="zh-CN"/>
        </w:rPr>
        <w:t>、《陕西省城市地下综合管廊工程消耗量定额》（2025）、《陕西省绿色建筑工程消耗量定额》（2025）；</w:t>
      </w:r>
    </w:p>
    <w:p w14:paraId="049C232D">
      <w:pPr>
        <w:keepNext w:val="0"/>
        <w:keepLines w:val="0"/>
        <w:pageBreakBefore w:val="0"/>
        <w:widowControl/>
        <w:kinsoku/>
        <w:wordWrap/>
        <w:overflowPunct/>
        <w:topLinePunct w:val="0"/>
        <w:autoSpaceDE/>
        <w:autoSpaceDN/>
        <w:bidi w:val="0"/>
        <w:adjustRightInd/>
        <w:spacing w:line="600" w:lineRule="exact"/>
        <w:ind w:left="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5</w:t>
      </w:r>
      <w:r>
        <w:rPr>
          <w:rFonts w:hint="eastAsia" w:ascii="仿宋" w:hAnsi="仿宋" w:eastAsia="仿宋" w:cs="仿宋"/>
          <w:sz w:val="32"/>
          <w:szCs w:val="32"/>
        </w:rPr>
        <w:t>.《陕西省建设工程施工机械台班费用定额（2025）》、《陕西省建设工程施工仪器仪表台班费用定额（2025）》</w:t>
      </w:r>
      <w:r>
        <w:rPr>
          <w:rFonts w:hint="eastAsia" w:ascii="仿宋" w:hAnsi="仿宋" w:eastAsia="仿宋" w:cs="仿宋"/>
          <w:sz w:val="32"/>
          <w:szCs w:val="32"/>
          <w:lang w:eastAsia="zh-CN"/>
        </w:rPr>
        <w:t>；</w:t>
      </w:r>
    </w:p>
    <w:p w14:paraId="68FA51C7">
      <w:pPr>
        <w:keepNext w:val="0"/>
        <w:keepLines w:val="0"/>
        <w:pageBreakBefore w:val="0"/>
        <w:widowControl/>
        <w:kinsoku/>
        <w:wordWrap/>
        <w:overflowPunct/>
        <w:topLinePunct w:val="0"/>
        <w:autoSpaceDE/>
        <w:autoSpaceDN/>
        <w:bidi w:val="0"/>
        <w:spacing w:line="600" w:lineRule="exact"/>
        <w:ind w:left="0"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.与建设工程项目有关的标准、规范、图集、技术资料；</w:t>
      </w:r>
    </w:p>
    <w:p w14:paraId="79F0D72C">
      <w:pPr>
        <w:keepNext w:val="0"/>
        <w:keepLines w:val="0"/>
        <w:pageBreakBefore w:val="0"/>
        <w:widowControl/>
        <w:kinsoku/>
        <w:wordWrap/>
        <w:overflowPunct/>
        <w:topLinePunct w:val="0"/>
        <w:autoSpaceDE/>
        <w:autoSpaceDN/>
        <w:bidi w:val="0"/>
        <w:spacing w:line="600" w:lineRule="exact"/>
        <w:ind w:left="0"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7</w:t>
      </w:r>
      <w:r>
        <w:rPr>
          <w:rFonts w:hint="eastAsia" w:ascii="仿宋" w:hAnsi="仿宋" w:eastAsia="仿宋" w:cs="仿宋"/>
          <w:sz w:val="32"/>
          <w:szCs w:val="32"/>
        </w:rPr>
        <w:t>.</w:t>
      </w:r>
      <w:r>
        <w:rPr>
          <w:rFonts w:hint="eastAsia" w:ascii="仿宋" w:hAnsi="仿宋" w:eastAsia="仿宋" w:cs="仿宋"/>
          <w:sz w:val="32"/>
          <w:szCs w:val="32"/>
          <w:lang w:val="en-US" w:eastAsia="zh-CN"/>
        </w:rPr>
        <w:t>结合</w:t>
      </w:r>
      <w:r>
        <w:rPr>
          <w:rFonts w:hint="eastAsia" w:ascii="仿宋" w:hAnsi="仿宋" w:eastAsia="仿宋" w:cs="仿宋"/>
          <w:sz w:val="32"/>
          <w:szCs w:val="32"/>
        </w:rPr>
        <w:t>施工现场情况、工程特点</w:t>
      </w:r>
      <w:r>
        <w:rPr>
          <w:rFonts w:hint="eastAsia" w:ascii="仿宋" w:hAnsi="仿宋" w:eastAsia="仿宋" w:cs="仿宋"/>
          <w:sz w:val="32"/>
          <w:szCs w:val="32"/>
          <w:lang w:val="en-US" w:eastAsia="zh-CN"/>
        </w:rPr>
        <w:t>参照常规的</w:t>
      </w:r>
      <w:r>
        <w:rPr>
          <w:rFonts w:hint="eastAsia" w:ascii="仿宋" w:hAnsi="仿宋" w:eastAsia="仿宋" w:cs="仿宋"/>
          <w:sz w:val="32"/>
          <w:szCs w:val="32"/>
        </w:rPr>
        <w:t>施工方案；</w:t>
      </w:r>
    </w:p>
    <w:p w14:paraId="71832EAB">
      <w:pPr>
        <w:keepNext w:val="0"/>
        <w:keepLines w:val="0"/>
        <w:pageBreakBefore w:val="0"/>
        <w:widowControl/>
        <w:kinsoku/>
        <w:wordWrap/>
        <w:overflowPunct/>
        <w:topLinePunct w:val="0"/>
        <w:autoSpaceDE/>
        <w:autoSpaceDN/>
        <w:bidi w:val="0"/>
        <w:spacing w:line="600" w:lineRule="exact"/>
        <w:ind w:left="0"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8</w:t>
      </w:r>
      <w:r>
        <w:rPr>
          <w:rFonts w:hint="eastAsia" w:ascii="仿宋" w:hAnsi="仿宋" w:eastAsia="仿宋" w:cs="仿宋"/>
          <w:sz w:val="32"/>
          <w:szCs w:val="32"/>
        </w:rPr>
        <w:t>.其他相关资料</w:t>
      </w:r>
      <w:r>
        <w:rPr>
          <w:rFonts w:hint="eastAsia" w:ascii="仿宋" w:hAnsi="仿宋" w:eastAsia="仿宋" w:cs="仿宋"/>
          <w:sz w:val="32"/>
          <w:szCs w:val="32"/>
          <w:lang w:val="en-US" w:eastAsia="zh-CN"/>
        </w:rPr>
        <w:t>。</w:t>
      </w:r>
    </w:p>
    <w:p w14:paraId="7E197A74">
      <w:pPr>
        <w:keepNext w:val="0"/>
        <w:keepLines w:val="0"/>
        <w:pageBreakBefore w:val="0"/>
        <w:kinsoku/>
        <w:wordWrap/>
        <w:overflowPunct/>
        <w:topLinePunct w:val="0"/>
        <w:autoSpaceDE/>
        <w:autoSpaceDN/>
        <w:bidi w:val="0"/>
        <w:snapToGrid w:val="0"/>
        <w:spacing w:line="600" w:lineRule="exact"/>
        <w:ind w:left="0" w:firstLine="640" w:firstLineChars="200"/>
        <w:jc w:val="both"/>
        <w:rPr>
          <w:rFonts w:hint="eastAsia" w:ascii="黑体" w:hAnsi="黑体" w:eastAsia="黑体" w:cs="黑体"/>
          <w:b w:val="0"/>
          <w:bCs/>
          <w:sz w:val="32"/>
          <w:szCs w:val="32"/>
        </w:rPr>
      </w:pPr>
      <w:r>
        <w:rPr>
          <w:rFonts w:hint="eastAsia" w:ascii="黑体" w:hAnsi="黑体" w:eastAsia="黑体" w:cs="黑体"/>
          <w:b w:val="0"/>
          <w:bCs/>
          <w:sz w:val="32"/>
          <w:szCs w:val="32"/>
        </w:rPr>
        <w:t>三</w:t>
      </w:r>
      <w:r>
        <w:rPr>
          <w:rFonts w:hint="eastAsia" w:ascii="黑体" w:hAnsi="黑体" w:eastAsia="黑体" w:cs="黑体"/>
          <w:b w:val="0"/>
          <w:bCs/>
          <w:kern w:val="2"/>
          <w:sz w:val="32"/>
          <w:szCs w:val="32"/>
          <w:lang w:val="en-US" w:eastAsia="zh-CN" w:bidi="ar-SA"/>
        </w:rPr>
        <w:t>、编制说明</w:t>
      </w:r>
    </w:p>
    <w:p w14:paraId="4C951D30">
      <w:pPr>
        <w:keepNext w:val="0"/>
        <w:keepLines w:val="0"/>
        <w:pageBreakBefore w:val="0"/>
        <w:numPr>
          <w:ilvl w:val="0"/>
          <w:numId w:val="0"/>
        </w:numPr>
        <w:kinsoku/>
        <w:wordWrap/>
        <w:overflowPunct/>
        <w:topLinePunct w:val="0"/>
        <w:autoSpaceDE/>
        <w:autoSpaceDN/>
        <w:bidi w:val="0"/>
        <w:snapToGrid w:val="0"/>
        <w:spacing w:line="600" w:lineRule="exact"/>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rPr>
        <w:t>本工程工程量清单仅描述主要特征，图纸明确标识的以图纸为准进行报价，描述不完整的视为已包含在总价中，结算时不予调整。</w:t>
      </w:r>
    </w:p>
    <w:p w14:paraId="76D0AC97">
      <w:pPr>
        <w:keepNext w:val="0"/>
        <w:keepLines w:val="0"/>
        <w:pageBreakBefore w:val="0"/>
        <w:kinsoku/>
        <w:wordWrap/>
        <w:overflowPunct/>
        <w:topLinePunct w:val="0"/>
        <w:autoSpaceDE/>
        <w:autoSpaceDN/>
        <w:bidi w:val="0"/>
        <w:snapToGrid w:val="0"/>
        <w:spacing w:line="600" w:lineRule="exact"/>
        <w:ind w:left="0" w:firstLine="640" w:firstLineChars="200"/>
        <w:jc w:val="both"/>
        <w:rPr>
          <w:rFonts w:hint="default" w:ascii="黑体" w:hAnsi="黑体" w:eastAsia="黑体" w:cs="黑体"/>
          <w:b w:val="0"/>
          <w:bCs/>
          <w:sz w:val="32"/>
          <w:szCs w:val="32"/>
          <w:lang w:val="en-US" w:eastAsia="zh-CN"/>
        </w:rPr>
      </w:pPr>
      <w:r>
        <w:rPr>
          <w:rFonts w:hint="eastAsia" w:ascii="黑体" w:hAnsi="黑体" w:eastAsia="黑体" w:cs="黑体"/>
          <w:b w:val="0"/>
          <w:bCs/>
          <w:sz w:val="32"/>
          <w:szCs w:val="32"/>
        </w:rPr>
        <w:t>四、</w:t>
      </w:r>
      <w:r>
        <w:rPr>
          <w:rFonts w:hint="eastAsia" w:ascii="黑体" w:hAnsi="黑体" w:eastAsia="黑体" w:cs="黑体"/>
          <w:b w:val="0"/>
          <w:bCs/>
          <w:sz w:val="32"/>
          <w:szCs w:val="32"/>
          <w:lang w:val="en-US" w:eastAsia="zh-CN"/>
        </w:rPr>
        <w:t>价格说明</w:t>
      </w:r>
    </w:p>
    <w:p w14:paraId="5BFE21B1">
      <w:pPr>
        <w:keepNext w:val="0"/>
        <w:keepLines w:val="0"/>
        <w:pageBreakBefore w:val="0"/>
        <w:kinsoku/>
        <w:wordWrap/>
        <w:overflowPunct/>
        <w:topLinePunct w:val="0"/>
        <w:autoSpaceDE/>
        <w:autoSpaceDN/>
        <w:bidi w:val="0"/>
        <w:adjustRightInd w:val="0"/>
        <w:snapToGrid w:val="0"/>
        <w:spacing w:line="600" w:lineRule="exact"/>
        <w:ind w:left="0" w:firstLine="640" w:firstLineChars="200"/>
        <w:jc w:val="both"/>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1.暂列金额按90000.21元计入（含税）；</w:t>
      </w:r>
      <w:bookmarkStart w:id="0" w:name="_GoBack"/>
      <w:bookmarkEnd w:id="0"/>
    </w:p>
    <w:p w14:paraId="1B95932F">
      <w:pPr>
        <w:keepNext w:val="0"/>
        <w:keepLines w:val="0"/>
        <w:pageBreakBefore w:val="0"/>
        <w:kinsoku/>
        <w:wordWrap/>
        <w:overflowPunct/>
        <w:topLinePunct w:val="0"/>
        <w:autoSpaceDE/>
        <w:autoSpaceDN/>
        <w:bidi w:val="0"/>
        <w:adjustRightInd w:val="0"/>
        <w:snapToGrid w:val="0"/>
        <w:spacing w:line="60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.采用广联</w:t>
      </w:r>
      <w:r>
        <w:rPr>
          <w:rFonts w:hint="eastAsia" w:ascii="仿宋" w:hAnsi="仿宋" w:eastAsia="仿宋" w:cs="仿宋"/>
          <w:sz w:val="32"/>
          <w:szCs w:val="32"/>
          <w:lang w:val="en-US" w:eastAsia="zh-CN"/>
        </w:rPr>
        <w:t>达计价软件版本GCCP7.0（7.5000.23.2）。</w:t>
      </w:r>
    </w:p>
    <w:p w14:paraId="17212A95">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五、其他说明</w:t>
      </w:r>
    </w:p>
    <w:p w14:paraId="2AA2387A">
      <w:pPr>
        <w:keepNext w:val="0"/>
        <w:keepLines w:val="0"/>
        <w:pageBreakBefore w:val="0"/>
        <w:kinsoku/>
        <w:wordWrap/>
        <w:overflowPunct/>
        <w:topLinePunct w:val="0"/>
        <w:autoSpaceDE/>
        <w:autoSpaceDN/>
        <w:bidi w:val="0"/>
        <w:adjustRightInd w:val="0"/>
        <w:snapToGrid w:val="0"/>
        <w:spacing w:line="600" w:lineRule="exact"/>
        <w:ind w:left="0"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（一）安装部分：</w:t>
      </w:r>
    </w:p>
    <w:p w14:paraId="3F6A16A2">
      <w:pPr>
        <w:keepNext w:val="0"/>
        <w:keepLines w:val="0"/>
        <w:pageBreakBefore w:val="0"/>
        <w:kinsoku/>
        <w:wordWrap/>
        <w:overflowPunct/>
        <w:topLinePunct w:val="0"/>
        <w:autoSpaceDE/>
        <w:autoSpaceDN/>
        <w:bidi w:val="0"/>
        <w:adjustRightInd w:val="0"/>
        <w:snapToGrid w:val="0"/>
        <w:spacing w:line="600" w:lineRule="exact"/>
        <w:ind w:left="0" w:firstLine="640" w:firstLineChars="200"/>
        <w:jc w:val="both"/>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1.图纸中未注明应急照明电源线工程量的单体，暂按30m计入；</w:t>
      </w:r>
    </w:p>
    <w:p w14:paraId="4CD90BFC">
      <w:pPr>
        <w:keepNext w:val="0"/>
        <w:keepLines w:val="0"/>
        <w:pageBreakBefore w:val="0"/>
        <w:kinsoku/>
        <w:wordWrap/>
        <w:overflowPunct/>
        <w:topLinePunct w:val="0"/>
        <w:autoSpaceDE/>
        <w:autoSpaceDN/>
        <w:bidi w:val="0"/>
        <w:adjustRightInd w:val="0"/>
        <w:snapToGrid w:val="0"/>
        <w:spacing w:line="600" w:lineRule="exact"/>
        <w:ind w:left="0" w:firstLine="640" w:firstLineChars="200"/>
        <w:jc w:val="both"/>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2.火灾报警工程中消火栓启泵线，计算至单体外墙皮外1.5m处；</w:t>
      </w:r>
    </w:p>
    <w:p w14:paraId="57ED10E7">
      <w:pPr>
        <w:keepNext w:val="0"/>
        <w:keepLines w:val="0"/>
        <w:pageBreakBefore w:val="0"/>
        <w:kinsoku/>
        <w:wordWrap/>
        <w:overflowPunct/>
        <w:topLinePunct w:val="0"/>
        <w:autoSpaceDE/>
        <w:autoSpaceDN/>
        <w:bidi w:val="0"/>
        <w:adjustRightInd w:val="0"/>
        <w:snapToGrid w:val="0"/>
        <w:spacing w:line="600" w:lineRule="exact"/>
        <w:ind w:left="0"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3.图纸未标注消防卷盘给水支管规格，暂按DN25计入；</w:t>
      </w:r>
    </w:p>
    <w:p w14:paraId="3252A081">
      <w:pPr>
        <w:keepNext w:val="0"/>
        <w:keepLines w:val="0"/>
        <w:pageBreakBefore w:val="0"/>
        <w:kinsoku/>
        <w:wordWrap/>
        <w:overflowPunct/>
        <w:topLinePunct w:val="0"/>
        <w:autoSpaceDE/>
        <w:autoSpaceDN/>
        <w:bidi w:val="0"/>
        <w:adjustRightInd w:val="0"/>
        <w:snapToGrid w:val="0"/>
        <w:spacing w:line="600" w:lineRule="exact"/>
        <w:ind w:left="0"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4.消防管道支架、给水管道支架除锈刷油图纸设计未说明，暂按手工除锈、刷红丹防锈漆两遍计入；</w:t>
      </w:r>
    </w:p>
    <w:p w14:paraId="020F3E4E">
      <w:pPr>
        <w:keepNext w:val="0"/>
        <w:keepLines w:val="0"/>
        <w:pageBreakBefore w:val="0"/>
        <w:kinsoku/>
        <w:wordWrap/>
        <w:overflowPunct/>
        <w:topLinePunct w:val="0"/>
        <w:autoSpaceDE/>
        <w:autoSpaceDN/>
        <w:bidi w:val="0"/>
        <w:adjustRightInd w:val="0"/>
        <w:snapToGrid w:val="0"/>
        <w:spacing w:line="600" w:lineRule="exact"/>
        <w:ind w:left="0"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5.消防管道、给水管道保护层材质图纸设计未明确，暂按玻璃丝布计入；</w:t>
      </w:r>
    </w:p>
    <w:p w14:paraId="758ADA3B">
      <w:pPr>
        <w:keepNext w:val="0"/>
        <w:keepLines w:val="0"/>
        <w:pageBreakBefore w:val="0"/>
        <w:kinsoku/>
        <w:wordWrap/>
        <w:overflowPunct/>
        <w:topLinePunct w:val="0"/>
        <w:autoSpaceDE/>
        <w:autoSpaceDN/>
        <w:bidi w:val="0"/>
        <w:adjustRightInd w:val="0"/>
        <w:snapToGrid w:val="0"/>
        <w:spacing w:line="600" w:lineRule="exact"/>
        <w:ind w:left="0"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6.增加水泵接合器，具体位置由甲方指定。</w:t>
      </w:r>
    </w:p>
    <w:p w14:paraId="6213E2F3">
      <w:pPr>
        <w:keepNext w:val="0"/>
        <w:keepLines w:val="0"/>
        <w:pageBreakBefore w:val="0"/>
        <w:kinsoku/>
        <w:wordWrap/>
        <w:overflowPunct/>
        <w:topLinePunct w:val="0"/>
        <w:autoSpaceDE/>
        <w:autoSpaceDN/>
        <w:bidi w:val="0"/>
        <w:adjustRightInd w:val="0"/>
        <w:snapToGrid w:val="0"/>
        <w:spacing w:line="600" w:lineRule="exact"/>
        <w:ind w:left="0"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（二）土建部分：</w:t>
      </w:r>
    </w:p>
    <w:p w14:paraId="6FEF39C7">
      <w:pPr>
        <w:keepNext w:val="0"/>
        <w:keepLines w:val="0"/>
        <w:pageBreakBefore w:val="0"/>
        <w:kinsoku/>
        <w:wordWrap/>
        <w:overflowPunct/>
        <w:topLinePunct w:val="0"/>
        <w:autoSpaceDE/>
        <w:autoSpaceDN/>
        <w:bidi w:val="0"/>
        <w:adjustRightInd w:val="0"/>
        <w:snapToGrid w:val="0"/>
        <w:spacing w:line="600" w:lineRule="exact"/>
        <w:ind w:left="0"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1.电钢楼层高暂按3.9m计入；</w:t>
      </w:r>
    </w:p>
    <w:p w14:paraId="373B4348">
      <w:pPr>
        <w:keepNext w:val="0"/>
        <w:keepLines w:val="0"/>
        <w:pageBreakBefore w:val="0"/>
        <w:kinsoku/>
        <w:wordWrap/>
        <w:overflowPunct/>
        <w:topLinePunct w:val="0"/>
        <w:autoSpaceDE/>
        <w:autoSpaceDN/>
        <w:bidi w:val="0"/>
        <w:adjustRightInd w:val="0"/>
        <w:snapToGrid w:val="0"/>
        <w:spacing w:line="600" w:lineRule="exact"/>
        <w:ind w:left="0" w:firstLine="640" w:firstLineChars="200"/>
        <w:jc w:val="both"/>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2.散水宽度暂按外墙宽出1.5m计入；</w:t>
      </w:r>
    </w:p>
    <w:p w14:paraId="3F716F9B">
      <w:pPr>
        <w:keepNext w:val="0"/>
        <w:keepLines w:val="0"/>
        <w:pageBreakBefore w:val="0"/>
        <w:kinsoku/>
        <w:wordWrap/>
        <w:overflowPunct/>
        <w:topLinePunct w:val="0"/>
        <w:autoSpaceDE/>
        <w:autoSpaceDN/>
        <w:bidi w:val="0"/>
        <w:adjustRightInd w:val="0"/>
        <w:snapToGrid w:val="0"/>
        <w:spacing w:line="600" w:lineRule="exact"/>
        <w:ind w:left="0" w:firstLine="640" w:firstLineChars="200"/>
        <w:jc w:val="both"/>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3.外墙面装饰做法暂按陕09J01 外涂3真石漆计入；</w:t>
      </w:r>
    </w:p>
    <w:p w14:paraId="1E844458">
      <w:pPr>
        <w:keepNext w:val="0"/>
        <w:keepLines w:val="0"/>
        <w:pageBreakBefore w:val="0"/>
        <w:kinsoku/>
        <w:wordWrap/>
        <w:overflowPunct/>
        <w:topLinePunct w:val="0"/>
        <w:autoSpaceDE/>
        <w:autoSpaceDN/>
        <w:bidi w:val="0"/>
        <w:adjustRightInd w:val="0"/>
        <w:snapToGrid w:val="0"/>
        <w:spacing w:line="600" w:lineRule="exact"/>
        <w:ind w:left="0" w:firstLine="640" w:firstLineChars="200"/>
        <w:jc w:val="both"/>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4.形体楼楼地面和天棚改造暂按40㎡计入。</w:t>
      </w:r>
    </w:p>
    <w:p w14:paraId="707BB663">
      <w:pPr>
        <w:keepNext w:val="0"/>
        <w:keepLines w:val="0"/>
        <w:pageBreakBefore w:val="0"/>
        <w:kinsoku/>
        <w:wordWrap/>
        <w:overflowPunct/>
        <w:topLinePunct w:val="0"/>
        <w:autoSpaceDE/>
        <w:autoSpaceDN/>
        <w:bidi w:val="0"/>
        <w:adjustRightInd w:val="0"/>
        <w:snapToGrid w:val="0"/>
        <w:spacing w:line="600" w:lineRule="exact"/>
        <w:ind w:left="0" w:firstLine="640" w:firstLineChars="200"/>
        <w:jc w:val="both"/>
        <w:rPr>
          <w:rFonts w:hint="default" w:ascii="仿宋" w:hAnsi="仿宋" w:eastAsia="仿宋" w:cs="仿宋"/>
          <w:sz w:val="32"/>
          <w:szCs w:val="32"/>
          <w:lang w:val="en-US" w:eastAsia="zh-CN"/>
        </w:rPr>
      </w:pPr>
    </w:p>
    <w:sectPr>
      <w:pgSz w:w="11906" w:h="16838"/>
      <w:pgMar w:top="1440" w:right="1559" w:bottom="1440" w:left="180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Y0ZWE3N2Q5YjNhMDcxMzA2OWRhN2RlMGRkNDhkNzUifQ=="/>
  </w:docVars>
  <w:rsids>
    <w:rsidRoot w:val="002E011C"/>
    <w:rsid w:val="00184F07"/>
    <w:rsid w:val="001F3122"/>
    <w:rsid w:val="002E011C"/>
    <w:rsid w:val="0047140C"/>
    <w:rsid w:val="008119AC"/>
    <w:rsid w:val="00A535C4"/>
    <w:rsid w:val="00A63A25"/>
    <w:rsid w:val="00CE4454"/>
    <w:rsid w:val="00DC1A52"/>
    <w:rsid w:val="00E66EF9"/>
    <w:rsid w:val="00EB3D01"/>
    <w:rsid w:val="00F13047"/>
    <w:rsid w:val="01B464A4"/>
    <w:rsid w:val="028C01A3"/>
    <w:rsid w:val="029A7D90"/>
    <w:rsid w:val="02D23086"/>
    <w:rsid w:val="0387698C"/>
    <w:rsid w:val="04620589"/>
    <w:rsid w:val="049B15DF"/>
    <w:rsid w:val="0562396E"/>
    <w:rsid w:val="056621AB"/>
    <w:rsid w:val="05E40FF6"/>
    <w:rsid w:val="05F94DCD"/>
    <w:rsid w:val="06C23D63"/>
    <w:rsid w:val="06C47189"/>
    <w:rsid w:val="06CC603E"/>
    <w:rsid w:val="06EE4206"/>
    <w:rsid w:val="07E23E1D"/>
    <w:rsid w:val="07EE0684"/>
    <w:rsid w:val="08191757"/>
    <w:rsid w:val="08646C06"/>
    <w:rsid w:val="08DA7138"/>
    <w:rsid w:val="093454F7"/>
    <w:rsid w:val="09C2297D"/>
    <w:rsid w:val="09D51E0B"/>
    <w:rsid w:val="0A0B4F7B"/>
    <w:rsid w:val="0A2D14EA"/>
    <w:rsid w:val="0A402FCB"/>
    <w:rsid w:val="0A4347A2"/>
    <w:rsid w:val="0A642CCE"/>
    <w:rsid w:val="0AB35FA2"/>
    <w:rsid w:val="0B2D21BD"/>
    <w:rsid w:val="0B61144B"/>
    <w:rsid w:val="0B845139"/>
    <w:rsid w:val="0C3B7EEE"/>
    <w:rsid w:val="0C415C41"/>
    <w:rsid w:val="0CB44279"/>
    <w:rsid w:val="0CCA72C8"/>
    <w:rsid w:val="0CDB347F"/>
    <w:rsid w:val="0D605732"/>
    <w:rsid w:val="0DDF48EE"/>
    <w:rsid w:val="0E511C4A"/>
    <w:rsid w:val="0EA76A15"/>
    <w:rsid w:val="0F0A6E2C"/>
    <w:rsid w:val="0F4075C9"/>
    <w:rsid w:val="0FEB5787"/>
    <w:rsid w:val="10032A43"/>
    <w:rsid w:val="102B37D0"/>
    <w:rsid w:val="103B046F"/>
    <w:rsid w:val="10E20CA1"/>
    <w:rsid w:val="11366ED6"/>
    <w:rsid w:val="1151654D"/>
    <w:rsid w:val="116D0535"/>
    <w:rsid w:val="117E120C"/>
    <w:rsid w:val="11E06A74"/>
    <w:rsid w:val="12CF2245"/>
    <w:rsid w:val="12FF7896"/>
    <w:rsid w:val="13124A6D"/>
    <w:rsid w:val="13331F64"/>
    <w:rsid w:val="13B660AC"/>
    <w:rsid w:val="13DD5B75"/>
    <w:rsid w:val="14103D88"/>
    <w:rsid w:val="1457163D"/>
    <w:rsid w:val="145E7946"/>
    <w:rsid w:val="151C4634"/>
    <w:rsid w:val="155838BF"/>
    <w:rsid w:val="15915022"/>
    <w:rsid w:val="159266A5"/>
    <w:rsid w:val="15A90783"/>
    <w:rsid w:val="15AF53D6"/>
    <w:rsid w:val="163F4A7E"/>
    <w:rsid w:val="1651030E"/>
    <w:rsid w:val="16BE6510"/>
    <w:rsid w:val="17105694"/>
    <w:rsid w:val="17141EB2"/>
    <w:rsid w:val="172872C1"/>
    <w:rsid w:val="17690438"/>
    <w:rsid w:val="17916637"/>
    <w:rsid w:val="180C0990"/>
    <w:rsid w:val="182B52BA"/>
    <w:rsid w:val="18327A9D"/>
    <w:rsid w:val="18890233"/>
    <w:rsid w:val="189200A5"/>
    <w:rsid w:val="18932E60"/>
    <w:rsid w:val="19341F4D"/>
    <w:rsid w:val="19A215AC"/>
    <w:rsid w:val="19D1245F"/>
    <w:rsid w:val="19E757F1"/>
    <w:rsid w:val="1A226249"/>
    <w:rsid w:val="1A99473E"/>
    <w:rsid w:val="1AD02149"/>
    <w:rsid w:val="1B236729"/>
    <w:rsid w:val="1B481EA2"/>
    <w:rsid w:val="1B740592"/>
    <w:rsid w:val="1BBA31D2"/>
    <w:rsid w:val="1C0928ED"/>
    <w:rsid w:val="1C0F6CA1"/>
    <w:rsid w:val="1C2344FA"/>
    <w:rsid w:val="1CAC78FA"/>
    <w:rsid w:val="1CC02229"/>
    <w:rsid w:val="1E621C8E"/>
    <w:rsid w:val="1E7554E1"/>
    <w:rsid w:val="1E8079E2"/>
    <w:rsid w:val="1ECF5806"/>
    <w:rsid w:val="1EF43673"/>
    <w:rsid w:val="1F010B23"/>
    <w:rsid w:val="1F1D3483"/>
    <w:rsid w:val="1F2A03C0"/>
    <w:rsid w:val="1F4F609D"/>
    <w:rsid w:val="1F9951FF"/>
    <w:rsid w:val="1F9B49C4"/>
    <w:rsid w:val="203211B0"/>
    <w:rsid w:val="2039554A"/>
    <w:rsid w:val="204A12FD"/>
    <w:rsid w:val="20E424AA"/>
    <w:rsid w:val="20EB3E2C"/>
    <w:rsid w:val="21423675"/>
    <w:rsid w:val="21646E25"/>
    <w:rsid w:val="216D6944"/>
    <w:rsid w:val="21BF0821"/>
    <w:rsid w:val="21FC7971"/>
    <w:rsid w:val="22285F15"/>
    <w:rsid w:val="22696B6C"/>
    <w:rsid w:val="22813D29"/>
    <w:rsid w:val="228D2F3E"/>
    <w:rsid w:val="22D8603F"/>
    <w:rsid w:val="230D21D2"/>
    <w:rsid w:val="232E6CEA"/>
    <w:rsid w:val="233314C7"/>
    <w:rsid w:val="23A60D90"/>
    <w:rsid w:val="23CF11EF"/>
    <w:rsid w:val="24596E7B"/>
    <w:rsid w:val="24635DDC"/>
    <w:rsid w:val="24F002C1"/>
    <w:rsid w:val="25641BC4"/>
    <w:rsid w:val="25AB17E9"/>
    <w:rsid w:val="25BD77D8"/>
    <w:rsid w:val="25DD571A"/>
    <w:rsid w:val="26AF355A"/>
    <w:rsid w:val="274B5AC7"/>
    <w:rsid w:val="27541A0C"/>
    <w:rsid w:val="27AB51E4"/>
    <w:rsid w:val="28304227"/>
    <w:rsid w:val="284E0B51"/>
    <w:rsid w:val="287265EE"/>
    <w:rsid w:val="28812CD5"/>
    <w:rsid w:val="28DC7F0B"/>
    <w:rsid w:val="28F12DC0"/>
    <w:rsid w:val="29491A44"/>
    <w:rsid w:val="29AD3EF0"/>
    <w:rsid w:val="29E960B9"/>
    <w:rsid w:val="29F23C62"/>
    <w:rsid w:val="2A0E172D"/>
    <w:rsid w:val="2A74689F"/>
    <w:rsid w:val="2A7D2EFF"/>
    <w:rsid w:val="2AF74E34"/>
    <w:rsid w:val="2B110805"/>
    <w:rsid w:val="2B7803BF"/>
    <w:rsid w:val="2BC86476"/>
    <w:rsid w:val="2C4A2EFB"/>
    <w:rsid w:val="2CB56264"/>
    <w:rsid w:val="2CB7703B"/>
    <w:rsid w:val="2D045C82"/>
    <w:rsid w:val="2D293020"/>
    <w:rsid w:val="2D8C1F00"/>
    <w:rsid w:val="2DC31699"/>
    <w:rsid w:val="2DE272A8"/>
    <w:rsid w:val="2E1D03D8"/>
    <w:rsid w:val="2EFF6701"/>
    <w:rsid w:val="2FDE6B9A"/>
    <w:rsid w:val="30053222"/>
    <w:rsid w:val="3025798C"/>
    <w:rsid w:val="30EA24BF"/>
    <w:rsid w:val="30FA7439"/>
    <w:rsid w:val="313528AE"/>
    <w:rsid w:val="31A206C4"/>
    <w:rsid w:val="31AB491E"/>
    <w:rsid w:val="31BC5DB3"/>
    <w:rsid w:val="3234700A"/>
    <w:rsid w:val="324E1E79"/>
    <w:rsid w:val="32524DDC"/>
    <w:rsid w:val="32764F2C"/>
    <w:rsid w:val="32D61E6F"/>
    <w:rsid w:val="332F1A51"/>
    <w:rsid w:val="33574D5E"/>
    <w:rsid w:val="33641267"/>
    <w:rsid w:val="336851BD"/>
    <w:rsid w:val="33A51F6D"/>
    <w:rsid w:val="33EF31E8"/>
    <w:rsid w:val="34075539"/>
    <w:rsid w:val="340D18C0"/>
    <w:rsid w:val="34901A05"/>
    <w:rsid w:val="34D80120"/>
    <w:rsid w:val="34E238C3"/>
    <w:rsid w:val="34FF6E1D"/>
    <w:rsid w:val="351E1A46"/>
    <w:rsid w:val="354D466A"/>
    <w:rsid w:val="359C114E"/>
    <w:rsid w:val="35B853EE"/>
    <w:rsid w:val="360C62D3"/>
    <w:rsid w:val="361E1B63"/>
    <w:rsid w:val="366F749E"/>
    <w:rsid w:val="3695446E"/>
    <w:rsid w:val="36E74709"/>
    <w:rsid w:val="372C1DAA"/>
    <w:rsid w:val="37607F59"/>
    <w:rsid w:val="37AB5678"/>
    <w:rsid w:val="37C8622A"/>
    <w:rsid w:val="38494492"/>
    <w:rsid w:val="387B329C"/>
    <w:rsid w:val="38860352"/>
    <w:rsid w:val="38883C0B"/>
    <w:rsid w:val="38D26C34"/>
    <w:rsid w:val="38E2331B"/>
    <w:rsid w:val="392E47B3"/>
    <w:rsid w:val="39716BF7"/>
    <w:rsid w:val="3A2558BB"/>
    <w:rsid w:val="3A3B5220"/>
    <w:rsid w:val="3A445910"/>
    <w:rsid w:val="3AA905A6"/>
    <w:rsid w:val="3AAB528B"/>
    <w:rsid w:val="3AC9427D"/>
    <w:rsid w:val="3B2D561B"/>
    <w:rsid w:val="3B4854EC"/>
    <w:rsid w:val="3C0E2679"/>
    <w:rsid w:val="3C284642"/>
    <w:rsid w:val="3C4F3940"/>
    <w:rsid w:val="3D5237B2"/>
    <w:rsid w:val="3D7D7AB7"/>
    <w:rsid w:val="3E1629D5"/>
    <w:rsid w:val="3E251BBD"/>
    <w:rsid w:val="3E524A9F"/>
    <w:rsid w:val="3E740EBA"/>
    <w:rsid w:val="40385F17"/>
    <w:rsid w:val="406960D0"/>
    <w:rsid w:val="4094081C"/>
    <w:rsid w:val="413A3243"/>
    <w:rsid w:val="41486CA4"/>
    <w:rsid w:val="41760AA5"/>
    <w:rsid w:val="41826AB5"/>
    <w:rsid w:val="418447DA"/>
    <w:rsid w:val="421502BE"/>
    <w:rsid w:val="428E0070"/>
    <w:rsid w:val="42DE2DA6"/>
    <w:rsid w:val="42E6275A"/>
    <w:rsid w:val="43696E66"/>
    <w:rsid w:val="43C416F7"/>
    <w:rsid w:val="4464142F"/>
    <w:rsid w:val="44D81A76"/>
    <w:rsid w:val="44FC5765"/>
    <w:rsid w:val="453C3DB3"/>
    <w:rsid w:val="456D124F"/>
    <w:rsid w:val="45826DB6"/>
    <w:rsid w:val="45837C34"/>
    <w:rsid w:val="46470C62"/>
    <w:rsid w:val="467A6E3B"/>
    <w:rsid w:val="470A7D36"/>
    <w:rsid w:val="47C666DA"/>
    <w:rsid w:val="481E2ACB"/>
    <w:rsid w:val="485025C2"/>
    <w:rsid w:val="485A284D"/>
    <w:rsid w:val="48684BFE"/>
    <w:rsid w:val="48735221"/>
    <w:rsid w:val="488A3B97"/>
    <w:rsid w:val="489839F7"/>
    <w:rsid w:val="49584A08"/>
    <w:rsid w:val="4991704F"/>
    <w:rsid w:val="49B950EF"/>
    <w:rsid w:val="49EA0282"/>
    <w:rsid w:val="4A031344"/>
    <w:rsid w:val="4A0612CE"/>
    <w:rsid w:val="4A1A5F48"/>
    <w:rsid w:val="4A712751"/>
    <w:rsid w:val="4AB84BD4"/>
    <w:rsid w:val="4ACB00B3"/>
    <w:rsid w:val="4ACE3186"/>
    <w:rsid w:val="4AEE65CE"/>
    <w:rsid w:val="4B205338"/>
    <w:rsid w:val="4B7122DD"/>
    <w:rsid w:val="4B904E59"/>
    <w:rsid w:val="4BBD5522"/>
    <w:rsid w:val="4BC80D23"/>
    <w:rsid w:val="4BCD39B7"/>
    <w:rsid w:val="4C853B51"/>
    <w:rsid w:val="4CA961D2"/>
    <w:rsid w:val="4D243AAB"/>
    <w:rsid w:val="4D505898"/>
    <w:rsid w:val="4D9A5B1B"/>
    <w:rsid w:val="4E9909DB"/>
    <w:rsid w:val="4F0F2539"/>
    <w:rsid w:val="4F465AFE"/>
    <w:rsid w:val="4F94360F"/>
    <w:rsid w:val="4FBD01D7"/>
    <w:rsid w:val="4FBD195C"/>
    <w:rsid w:val="4FD27798"/>
    <w:rsid w:val="50743BB0"/>
    <w:rsid w:val="50FA4684"/>
    <w:rsid w:val="51404C2B"/>
    <w:rsid w:val="516C5A20"/>
    <w:rsid w:val="52021EE1"/>
    <w:rsid w:val="522307D5"/>
    <w:rsid w:val="52287969"/>
    <w:rsid w:val="52485B88"/>
    <w:rsid w:val="52860D64"/>
    <w:rsid w:val="5302663C"/>
    <w:rsid w:val="53364538"/>
    <w:rsid w:val="536073D7"/>
    <w:rsid w:val="538920A3"/>
    <w:rsid w:val="53EB5322"/>
    <w:rsid w:val="54370568"/>
    <w:rsid w:val="544D7D8B"/>
    <w:rsid w:val="545509EE"/>
    <w:rsid w:val="54BF40B9"/>
    <w:rsid w:val="55757990"/>
    <w:rsid w:val="558E2020"/>
    <w:rsid w:val="559649A0"/>
    <w:rsid w:val="55A912DE"/>
    <w:rsid w:val="55DF4DD3"/>
    <w:rsid w:val="55F74564"/>
    <w:rsid w:val="562F5CF1"/>
    <w:rsid w:val="564A447D"/>
    <w:rsid w:val="56582A17"/>
    <w:rsid w:val="57435475"/>
    <w:rsid w:val="574A6804"/>
    <w:rsid w:val="578C584B"/>
    <w:rsid w:val="57945918"/>
    <w:rsid w:val="57A8672B"/>
    <w:rsid w:val="57C55C52"/>
    <w:rsid w:val="58022C3B"/>
    <w:rsid w:val="584F6B2C"/>
    <w:rsid w:val="58B24661"/>
    <w:rsid w:val="58CB2521"/>
    <w:rsid w:val="59323672"/>
    <w:rsid w:val="59444857"/>
    <w:rsid w:val="59ED3476"/>
    <w:rsid w:val="5A236E98"/>
    <w:rsid w:val="5A33180D"/>
    <w:rsid w:val="5A421A14"/>
    <w:rsid w:val="5A480AF6"/>
    <w:rsid w:val="5A6B46FD"/>
    <w:rsid w:val="5A753B98"/>
    <w:rsid w:val="5AE70BB0"/>
    <w:rsid w:val="5B23027C"/>
    <w:rsid w:val="5BBB382C"/>
    <w:rsid w:val="5BE56AFB"/>
    <w:rsid w:val="5C4B0CB2"/>
    <w:rsid w:val="5C6679CC"/>
    <w:rsid w:val="5C797243"/>
    <w:rsid w:val="5CC11F40"/>
    <w:rsid w:val="5CD86BC0"/>
    <w:rsid w:val="5CD92082"/>
    <w:rsid w:val="5CF53B41"/>
    <w:rsid w:val="5D4D059D"/>
    <w:rsid w:val="5DAF116F"/>
    <w:rsid w:val="5E1B4A56"/>
    <w:rsid w:val="5E345B18"/>
    <w:rsid w:val="5EEF4C03"/>
    <w:rsid w:val="5EFD4B32"/>
    <w:rsid w:val="5F276525"/>
    <w:rsid w:val="5F2E07B9"/>
    <w:rsid w:val="5F677827"/>
    <w:rsid w:val="60065292"/>
    <w:rsid w:val="60122AAC"/>
    <w:rsid w:val="603D38D8"/>
    <w:rsid w:val="60435CF9"/>
    <w:rsid w:val="60885D0D"/>
    <w:rsid w:val="60CA13F2"/>
    <w:rsid w:val="60D01E8A"/>
    <w:rsid w:val="610A2B60"/>
    <w:rsid w:val="61202383"/>
    <w:rsid w:val="6121325A"/>
    <w:rsid w:val="61232005"/>
    <w:rsid w:val="62165C60"/>
    <w:rsid w:val="624550DC"/>
    <w:rsid w:val="625D60C6"/>
    <w:rsid w:val="62976622"/>
    <w:rsid w:val="62AD044D"/>
    <w:rsid w:val="63065CD5"/>
    <w:rsid w:val="630B0B9F"/>
    <w:rsid w:val="6315416A"/>
    <w:rsid w:val="63762796"/>
    <w:rsid w:val="63A21BB0"/>
    <w:rsid w:val="63BE4E5C"/>
    <w:rsid w:val="63DE1C2E"/>
    <w:rsid w:val="64470188"/>
    <w:rsid w:val="64772A89"/>
    <w:rsid w:val="64AA6B34"/>
    <w:rsid w:val="654725D5"/>
    <w:rsid w:val="659849CD"/>
    <w:rsid w:val="662D6DA8"/>
    <w:rsid w:val="664832FE"/>
    <w:rsid w:val="66542E96"/>
    <w:rsid w:val="66E8749F"/>
    <w:rsid w:val="672B6D3E"/>
    <w:rsid w:val="67B20E54"/>
    <w:rsid w:val="683C0214"/>
    <w:rsid w:val="68B57725"/>
    <w:rsid w:val="6917188D"/>
    <w:rsid w:val="69224EEB"/>
    <w:rsid w:val="697730D0"/>
    <w:rsid w:val="69DB150E"/>
    <w:rsid w:val="69E14DA6"/>
    <w:rsid w:val="6A4A3EA8"/>
    <w:rsid w:val="6A9D47D6"/>
    <w:rsid w:val="6AD07C0B"/>
    <w:rsid w:val="6AFE3735"/>
    <w:rsid w:val="6AFE7943"/>
    <w:rsid w:val="6B5E5F82"/>
    <w:rsid w:val="6B956CE2"/>
    <w:rsid w:val="6C403F3A"/>
    <w:rsid w:val="6C45658E"/>
    <w:rsid w:val="6C630991"/>
    <w:rsid w:val="6D277C02"/>
    <w:rsid w:val="6D836174"/>
    <w:rsid w:val="6DAC7479"/>
    <w:rsid w:val="6DCA72A7"/>
    <w:rsid w:val="6E0F1600"/>
    <w:rsid w:val="6E315BD0"/>
    <w:rsid w:val="6E331948"/>
    <w:rsid w:val="6E3A20CE"/>
    <w:rsid w:val="6E4031D0"/>
    <w:rsid w:val="6E571E9D"/>
    <w:rsid w:val="6E5C5C85"/>
    <w:rsid w:val="6F0D6D1A"/>
    <w:rsid w:val="6F595DA8"/>
    <w:rsid w:val="6F653D83"/>
    <w:rsid w:val="6F745D74"/>
    <w:rsid w:val="6F7E0440"/>
    <w:rsid w:val="6FA973ED"/>
    <w:rsid w:val="6FBF1B25"/>
    <w:rsid w:val="70A85B10"/>
    <w:rsid w:val="70C82974"/>
    <w:rsid w:val="70CA427E"/>
    <w:rsid w:val="70DA254F"/>
    <w:rsid w:val="70EB02B8"/>
    <w:rsid w:val="71345E82"/>
    <w:rsid w:val="713A4788"/>
    <w:rsid w:val="715536F5"/>
    <w:rsid w:val="7161013D"/>
    <w:rsid w:val="71611953"/>
    <w:rsid w:val="71BC1C54"/>
    <w:rsid w:val="71F663CA"/>
    <w:rsid w:val="721429AD"/>
    <w:rsid w:val="72457AA8"/>
    <w:rsid w:val="72D1172F"/>
    <w:rsid w:val="72F571CC"/>
    <w:rsid w:val="73243F55"/>
    <w:rsid w:val="738B422F"/>
    <w:rsid w:val="738B78AA"/>
    <w:rsid w:val="73CE6C5C"/>
    <w:rsid w:val="73FE1C71"/>
    <w:rsid w:val="74751169"/>
    <w:rsid w:val="755A0E2A"/>
    <w:rsid w:val="757271FA"/>
    <w:rsid w:val="758D4034"/>
    <w:rsid w:val="75BA05CE"/>
    <w:rsid w:val="75BD510D"/>
    <w:rsid w:val="763B0DB5"/>
    <w:rsid w:val="76446BB2"/>
    <w:rsid w:val="76B900D1"/>
    <w:rsid w:val="76C770D1"/>
    <w:rsid w:val="76F75B43"/>
    <w:rsid w:val="76FA2A88"/>
    <w:rsid w:val="76FF722C"/>
    <w:rsid w:val="7705504B"/>
    <w:rsid w:val="77170059"/>
    <w:rsid w:val="772207AC"/>
    <w:rsid w:val="772E6712"/>
    <w:rsid w:val="77353DC9"/>
    <w:rsid w:val="77437BF7"/>
    <w:rsid w:val="776052E7"/>
    <w:rsid w:val="78113CEF"/>
    <w:rsid w:val="782C10C6"/>
    <w:rsid w:val="7899684C"/>
    <w:rsid w:val="791A5BDE"/>
    <w:rsid w:val="79417BD0"/>
    <w:rsid w:val="79493D90"/>
    <w:rsid w:val="79621333"/>
    <w:rsid w:val="79841C0E"/>
    <w:rsid w:val="79E44867"/>
    <w:rsid w:val="7A1C5986"/>
    <w:rsid w:val="7A4D3D91"/>
    <w:rsid w:val="7A735DDD"/>
    <w:rsid w:val="7AA11E26"/>
    <w:rsid w:val="7AB46B18"/>
    <w:rsid w:val="7ACD6C80"/>
    <w:rsid w:val="7AE244DA"/>
    <w:rsid w:val="7AE364A4"/>
    <w:rsid w:val="7AE478C7"/>
    <w:rsid w:val="7AF62AFF"/>
    <w:rsid w:val="7AFE61F7"/>
    <w:rsid w:val="7B3A63E8"/>
    <w:rsid w:val="7B7F441F"/>
    <w:rsid w:val="7BD05AE5"/>
    <w:rsid w:val="7BF00E78"/>
    <w:rsid w:val="7BF30969"/>
    <w:rsid w:val="7C741AA9"/>
    <w:rsid w:val="7C920181"/>
    <w:rsid w:val="7CC54D61"/>
    <w:rsid w:val="7D472D1A"/>
    <w:rsid w:val="7D556349"/>
    <w:rsid w:val="7DB430B1"/>
    <w:rsid w:val="7DD81BC4"/>
    <w:rsid w:val="7DDF2F52"/>
    <w:rsid w:val="7E020BB6"/>
    <w:rsid w:val="7E2B6614"/>
    <w:rsid w:val="7F4A2FA1"/>
    <w:rsid w:val="7F78540D"/>
    <w:rsid w:val="7F7F0940"/>
    <w:rsid w:val="7F961D37"/>
    <w:rsid w:val="7FAA09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spacing w:after="120"/>
    </w:pPr>
  </w:style>
  <w:style w:type="paragraph" w:styleId="3">
    <w:name w:val="Block Text"/>
    <w:basedOn w:val="1"/>
    <w:next w:val="4"/>
    <w:autoRedefine/>
    <w:qFormat/>
    <w:uiPriority w:val="0"/>
    <w:pPr>
      <w:adjustRightInd w:val="0"/>
      <w:ind w:left="420" w:right="33"/>
      <w:textAlignment w:val="baseline"/>
    </w:pPr>
    <w:rPr>
      <w:sz w:val="24"/>
    </w:rPr>
  </w:style>
  <w:style w:type="paragraph" w:styleId="4">
    <w:name w:val="Plain Text"/>
    <w:basedOn w:val="1"/>
    <w:autoRedefine/>
    <w:qFormat/>
    <w:uiPriority w:val="0"/>
    <w:rPr>
      <w:rFonts w:ascii="宋体" w:hAnsi="Courier New" w:cs="Courier New"/>
      <w:szCs w:val="21"/>
    </w:rPr>
  </w:style>
  <w:style w:type="paragraph" w:styleId="5">
    <w:name w:val="footer"/>
    <w:basedOn w:val="1"/>
    <w:link w:val="12"/>
    <w:autoRedefine/>
    <w:qFormat/>
    <w:uiPriority w:val="0"/>
    <w:pPr>
      <w:tabs>
        <w:tab w:val="center" w:pos="4153"/>
        <w:tab w:val="right" w:pos="8306"/>
      </w:tabs>
      <w:snapToGrid w:val="0"/>
      <w:jc w:val="left"/>
    </w:pPr>
    <w:rPr>
      <w:sz w:val="18"/>
      <w:szCs w:val="18"/>
    </w:rPr>
  </w:style>
  <w:style w:type="paragraph" w:styleId="6">
    <w:name w:val="header"/>
    <w:basedOn w:val="1"/>
    <w:link w:val="11"/>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qFormat/>
    <w:uiPriority w:val="0"/>
    <w:pPr>
      <w:spacing w:beforeAutospacing="1" w:afterAutospacing="1"/>
      <w:jc w:val="left"/>
    </w:pPr>
    <w:rPr>
      <w:rFonts w:cs="Times New Roman"/>
      <w:kern w:val="0"/>
      <w:sz w:val="24"/>
    </w:rPr>
  </w:style>
  <w:style w:type="paragraph" w:styleId="10">
    <w:name w:val="List Paragraph"/>
    <w:basedOn w:val="1"/>
    <w:autoRedefine/>
    <w:qFormat/>
    <w:uiPriority w:val="99"/>
    <w:pPr>
      <w:ind w:firstLine="420" w:firstLineChars="200"/>
    </w:pPr>
  </w:style>
  <w:style w:type="character" w:customStyle="1" w:styleId="11">
    <w:name w:val="页眉 字符"/>
    <w:basedOn w:val="9"/>
    <w:link w:val="6"/>
    <w:autoRedefine/>
    <w:qFormat/>
    <w:uiPriority w:val="0"/>
    <w:rPr>
      <w:rFonts w:asciiTheme="minorHAnsi" w:hAnsiTheme="minorHAnsi" w:eastAsiaTheme="minorEastAsia" w:cstheme="minorBidi"/>
      <w:kern w:val="2"/>
      <w:sz w:val="18"/>
      <w:szCs w:val="18"/>
    </w:rPr>
  </w:style>
  <w:style w:type="character" w:customStyle="1" w:styleId="12">
    <w:name w:val="页脚 字符"/>
    <w:basedOn w:val="9"/>
    <w:link w:val="5"/>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icafeba.com</Company>
  <Pages>4</Pages>
  <Words>1087</Words>
  <Characters>1198</Characters>
  <Lines>12</Lines>
  <Paragraphs>3</Paragraphs>
  <TotalTime>0</TotalTime>
  <ScaleCrop>false</ScaleCrop>
  <LinksUpToDate>false</LinksUpToDate>
  <CharactersWithSpaces>1201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2024-04-08T09:57:00Z</dcterms:created>
  <dc:creator>Administrator</dc:creator>
  <cp:lastModifiedBy>无语</cp:lastModifiedBy>
  <dcterms:modified xsi:type="dcterms:W3CDTF">2025-12-08T02:53:39Z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479C7370367743638819464A410EA68C_13</vt:lpwstr>
  </property>
  <property fmtid="{D5CDD505-2E9C-101B-9397-08002B2CF9AE}" pid="4" name="KSOTemplateDocerSaveRecord">
    <vt:lpwstr>eyJoZGlkIjoiYzE5ZGY1Yjg1OTk5M2FkMzIwYzZkMjMxZmQ3MjJjNjUiLCJ1c2VySWQiOiIzMjQ4MDAzMTAifQ==</vt:lpwstr>
  </property>
</Properties>
</file>