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版本号：TWZB2025-02320250210001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陕西省数字政府运维管理中枢服务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TWZB2025-023</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陕西省数字政府运维管理中枢服务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陕西省数字政府运维管理中枢服务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运营服务：具体包括应用资产管理服务和应用运维管理服务。2.信息技术咨询服务，常态化咨询服务、运维人员管理办法规范、常态化运维管理规范、系统转维管理规范、运维服务应急管理规范、应用开发监测规范等服务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采购包1（陕西省数字政府运维管理中枢服务）：属于专门面向中小企业采购。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3、说明及承诺：具备履行合同所必须的设备和专业技术能力的说明及承诺</w:t>
      </w:r>
    </w:p>
    <w:p>
      <w:pPr>
        <w:pStyle w:val="null3"/>
      </w:pPr>
      <w:r>
        <w:rPr>
          <w:rFonts w:ascii="仿宋_GB2312" w:hAnsi="仿宋_GB2312" w:cs="仿宋_GB2312" w:eastAsia="仿宋_GB2312"/>
        </w:rPr>
        <w:t>4、声明：供应商在近三年经营活动中没有重大违法记录的声明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2023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6、税收缴纳证明：税收缴纳证明：供应商提供已缴纳的2024年2月至今至少一个月的纳税证明或完税证明（任意税种）；依法免税的单位应提供相关文件证明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2024年2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10、中小企业声明函：本项目专门面向中小企业采购，非中小企业单位（监狱企业、残疾人福利单位除外）不得参与（提供中小企业声明函）</w:t>
      </w:r>
    </w:p>
    <w:p>
      <w:pPr>
        <w:pStyle w:val="null3"/>
      </w:pPr>
      <w:r>
        <w:rPr>
          <w:rFonts w:ascii="仿宋_GB2312" w:hAnsi="仿宋_GB2312" w:cs="仿宋_GB2312" w:eastAsia="仿宋_GB2312"/>
        </w:rPr>
        <w:t>11、供应商企业关系关联承诺书：单位负责人为同一人或者存在控股、管理关系的不同单位不得同时投标（提供供应商企业关系关联承诺书）</w:t>
      </w:r>
    </w:p>
    <w:p>
      <w:pPr>
        <w:pStyle w:val="null3"/>
      </w:pPr>
      <w:r>
        <w:rPr>
          <w:rFonts w:ascii="仿宋_GB2312" w:hAnsi="仿宋_GB2312" w:cs="仿宋_GB2312" w:eastAsia="仿宋_GB2312"/>
        </w:rPr>
        <w:t>12、投标保证金交纳凭证：投标保证金交纳凭证（附开户许可证或基本账户存款信息）</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陕西省西安市新城区新城大院45号楼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采购包1：4,355,600.00元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满足招标文件和采购人规范标准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运营服务：具体包括应用资产管理服务和应用运维管理服务。2.信息技术咨询服务，常态化咨询服务、运维人员管理办法规范、常态化运维管理规范、系统转维管理规范、运维服务应急管理规范、应用开发监测规范等服务内；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4,355,600.00</w:t>
      </w:r>
    </w:p>
    <w:p>
      <w:pPr>
        <w:pStyle w:val="null3"/>
      </w:pPr>
      <w:r>
        <w:rPr>
          <w:rFonts w:ascii="仿宋_GB2312" w:hAnsi="仿宋_GB2312" w:cs="仿宋_GB2312" w:eastAsia="仿宋_GB2312"/>
        </w:rPr>
        <w:t>采购包最高限价（元）: 4,355,600.00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平台运营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4,355,600.00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标的名称：平台运营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w:t>
            </w:r>
          </w:p>
        </w:tc>
        <w:tc>
          <w:tcPr>
            <w:tcW w:type="dxa" w:w="2076"/>
          </w:tcPr>
          <w:p>
            <w:pPr>
              <w:pStyle w:val="null3"/>
            </w:pPr>
            <w:r>
              <w:rPr>
                <w:rFonts w:ascii="仿宋_GB2312" w:hAnsi="仿宋_GB2312" w:cs="仿宋_GB2312" w:eastAsia="仿宋_GB2312"/>
              </w:rPr>
              <w:t xml:space="preserve">一、采购内容 </w:t>
            </w:r>
            <w:r>
              <w:br/>
            </w:r>
            <w:r>
              <w:rPr>
                <w:rFonts w:ascii="仿宋_GB2312" w:hAnsi="仿宋_GB2312" w:cs="仿宋_GB2312" w:eastAsia="仿宋_GB2312"/>
              </w:rPr>
              <w:t xml:space="preserve"> 1、项目背景</w:t>
            </w:r>
            <w:r>
              <w:br/>
            </w:r>
            <w:r>
              <w:rPr>
                <w:rFonts w:ascii="仿宋_GB2312" w:hAnsi="仿宋_GB2312" w:cs="仿宋_GB2312" w:eastAsia="仿宋_GB2312"/>
              </w:rPr>
              <w:t xml:space="preserve"> 制度规范体系、运行保障体系和网络安全防护体系是数字政府建设“363”总体框架中三大运行保障，是贯穿数字政府建设全过程的基础性支撑工作。陕西先后编制印发《陕西省政务外网建设指南》《陕西省政务云建设指南》等管理规范，要求提升运维保障水平。《陕西省数字政府建设“十四五”规划》（陕政办发〔2021〕27号）指出，搭建大运维大安全服务体系建设组织架构，明确职责分工，建立完善制度规范和监督管理机制，提升三大运行保障能力；组建陕西省数字政府建设运营公司，负责我省数字政府基础建设、网络安全、技术支持、系统运维、数据统计等日常工作，提供系统管理、解决方案、容灾备份等专业化的技术服务和7×24小时服务响应，保障系统稳定运行，打造全息孪生的运行管理中心；建立运营管理一体化平台，实现集中运营、统一管理；建立统一的运营体系，制定包括运营管理制度、流程、组织、支撑系统及服务的运营标准规范；建立运营绩效管理机制，全面及时把握数字政府建设和运行情况，推动效能监督和考核评价机制的建立。</w:t>
            </w:r>
            <w:r>
              <w:br/>
            </w:r>
            <w:r>
              <w:rPr>
                <w:rFonts w:ascii="仿宋_GB2312" w:hAnsi="仿宋_GB2312" w:cs="仿宋_GB2312" w:eastAsia="仿宋_GB2312"/>
              </w:rPr>
              <w:t xml:space="preserve"> 2、技术要求</w:t>
            </w:r>
            <w:r>
              <w:br/>
            </w:r>
            <w:r>
              <w:rPr>
                <w:rFonts w:ascii="仿宋_GB2312" w:hAnsi="仿宋_GB2312" w:cs="仿宋_GB2312" w:eastAsia="仿宋_GB2312"/>
              </w:rPr>
              <w:t xml:space="preserve"> 2.1服务范围</w:t>
            </w:r>
            <w:r>
              <w:br/>
            </w:r>
            <w:r>
              <w:rPr>
                <w:rFonts w:ascii="仿宋_GB2312" w:hAnsi="仿宋_GB2312" w:cs="仿宋_GB2312" w:eastAsia="仿宋_GB2312"/>
              </w:rPr>
              <w:t xml:space="preserve"> 本项目服务范围主要包括：本次针对陕西省数据和政务服务局及陕西省数据和政务服务中心的60个应用进行纳管和覆盖。</w:t>
            </w:r>
            <w:r>
              <w:br/>
            </w:r>
            <w:r>
              <w:rPr>
                <w:rFonts w:ascii="仿宋_GB2312" w:hAnsi="仿宋_GB2312" w:cs="仿宋_GB2312" w:eastAsia="仿宋_GB2312"/>
              </w:rPr>
              <w:t xml:space="preserve"> 2.2运营服务地点及周期</w:t>
            </w:r>
            <w:r>
              <w:br/>
            </w:r>
            <w:r>
              <w:rPr>
                <w:rFonts w:ascii="仿宋_GB2312" w:hAnsi="仿宋_GB2312" w:cs="仿宋_GB2312" w:eastAsia="仿宋_GB2312"/>
              </w:rPr>
              <w:t xml:space="preserve"> 服务地点：采购人指定地点；</w:t>
            </w:r>
            <w:r>
              <w:br/>
            </w:r>
            <w:r>
              <w:rPr>
                <w:rFonts w:ascii="仿宋_GB2312" w:hAnsi="仿宋_GB2312" w:cs="仿宋_GB2312" w:eastAsia="仿宋_GB2312"/>
              </w:rPr>
              <w:t xml:space="preserve"> 运营服务周期：一年。</w:t>
            </w:r>
            <w:r>
              <w:br/>
            </w:r>
            <w:r>
              <w:rPr>
                <w:rFonts w:ascii="仿宋_GB2312" w:hAnsi="仿宋_GB2312" w:cs="仿宋_GB2312" w:eastAsia="仿宋_GB2312"/>
              </w:rPr>
              <w:t xml:space="preserve"> 2.3服务内容</w:t>
            </w:r>
            <w:r>
              <w:br/>
            </w:r>
            <w:r>
              <w:rPr>
                <w:rFonts w:ascii="仿宋_GB2312" w:hAnsi="仿宋_GB2312" w:cs="仿宋_GB2312" w:eastAsia="仿宋_GB2312"/>
              </w:rPr>
              <w:t xml:space="preserve"> 2.3.1运营服务</w:t>
            </w:r>
            <w:r>
              <w:br/>
            </w:r>
            <w:r>
              <w:rPr>
                <w:rFonts w:ascii="仿宋_GB2312" w:hAnsi="仿宋_GB2312" w:cs="仿宋_GB2312" w:eastAsia="仿宋_GB2312"/>
              </w:rPr>
              <w:t xml:space="preserve"> 2.3.1.1应用资产管理服务</w:t>
            </w:r>
            <w:r>
              <w:br/>
            </w:r>
            <w:r>
              <w:rPr>
                <w:rFonts w:ascii="仿宋_GB2312" w:hAnsi="仿宋_GB2312" w:cs="仿宋_GB2312" w:eastAsia="仿宋_GB2312"/>
              </w:rPr>
              <w:t xml:space="preserve"> 应用资产管理服务包括应用资产纳管服务、应用资产监测服务、运维知识管理服务等，服务内容包括以下方面：</w:t>
            </w:r>
            <w:r>
              <w:br/>
            </w:r>
            <w:r>
              <w:rPr>
                <w:rFonts w:ascii="仿宋_GB2312" w:hAnsi="仿宋_GB2312" w:cs="仿宋_GB2312" w:eastAsia="仿宋_GB2312"/>
              </w:rPr>
              <w:t xml:space="preserve"> 1.应用资产纳管服务</w:t>
            </w:r>
            <w:r>
              <w:br/>
            </w:r>
            <w:r>
              <w:rPr>
                <w:rFonts w:ascii="仿宋_GB2312" w:hAnsi="仿宋_GB2312" w:cs="仿宋_GB2312" w:eastAsia="仿宋_GB2312"/>
              </w:rPr>
              <w:t xml:space="preserve"> （1）组织用户管理</w:t>
            </w:r>
            <w:r>
              <w:br/>
            </w:r>
            <w:r>
              <w:rPr>
                <w:rFonts w:ascii="仿宋_GB2312" w:hAnsi="仿宋_GB2312" w:cs="仿宋_GB2312" w:eastAsia="仿宋_GB2312"/>
              </w:rPr>
              <w:t xml:space="preserve"> 对接数字资源管理服务中枢平台（具备能力后），将应用系统所属部门、开发厂商、运维厂商以及厂商对应负责人等信息同步到运维管理中枢，并对其是否有子系统、是否是唯一厂商、是否是实际运维厂商、是否是实际运维负责人等情况进行逐一梳理和确认，实现纳管应用系统组织在线。依托运维管理中枢系统用户管理中心模块，实现信息在线更新维护。包括应用建设信息、应用维护信息、组织信息维护等。</w:t>
            </w:r>
            <w:r>
              <w:br/>
            </w:r>
            <w:r>
              <w:rPr>
                <w:rFonts w:ascii="仿宋_GB2312" w:hAnsi="仿宋_GB2312" w:cs="仿宋_GB2312" w:eastAsia="仿宋_GB2312"/>
              </w:rPr>
              <w:t xml:space="preserve"> （2）组件服务管理</w:t>
            </w:r>
            <w:r>
              <w:br/>
            </w:r>
            <w:r>
              <w:rPr>
                <w:rFonts w:ascii="仿宋_GB2312" w:hAnsi="仿宋_GB2312" w:cs="仿宋_GB2312" w:eastAsia="仿宋_GB2312"/>
              </w:rPr>
              <w:t xml:space="preserve"> 协同应用系统开发单位梳理应用系统情况，将应用已录入资源管理系统的组件通过应用要素的关联维护，为组件服务状态实时监测提供基础。依托运维系统对象管理中心模块，实现信息在线关联和维护。包括组件定义、组件录入、流程方法等。</w:t>
            </w:r>
            <w:r>
              <w:br/>
            </w:r>
            <w:r>
              <w:rPr>
                <w:rFonts w:ascii="仿宋_GB2312" w:hAnsi="仿宋_GB2312" w:cs="仿宋_GB2312" w:eastAsia="仿宋_GB2312"/>
              </w:rPr>
              <w:t xml:space="preserve"> （3）数据任务管理服务</w:t>
            </w:r>
            <w:r>
              <w:br/>
            </w:r>
            <w:r>
              <w:rPr>
                <w:rFonts w:ascii="仿宋_GB2312" w:hAnsi="仿宋_GB2312" w:cs="仿宋_GB2312" w:eastAsia="仿宋_GB2312"/>
              </w:rPr>
              <w:t xml:space="preserve"> 确保应用系统能够高效利用数据资源，涵盖从数据的接入到应用关联和任务状态监测的全过程。协同应用系统承建单位对接入的各种数据进行有效管理和监测，提供一套完善的数据任务管理服务。</w:t>
            </w:r>
            <w:r>
              <w:br/>
            </w:r>
            <w:r>
              <w:rPr>
                <w:rFonts w:ascii="仿宋_GB2312" w:hAnsi="仿宋_GB2312" w:cs="仿宋_GB2312" w:eastAsia="仿宋_GB2312"/>
              </w:rPr>
              <w:t xml:space="preserve"> （4）页面管理服务：</w:t>
            </w:r>
            <w:r>
              <w:br/>
            </w:r>
            <w:r>
              <w:rPr>
                <w:rFonts w:ascii="仿宋_GB2312" w:hAnsi="仿宋_GB2312" w:cs="仿宋_GB2312" w:eastAsia="仿宋_GB2312"/>
              </w:rPr>
              <w:t xml:space="preserve"> 依托运维管理中枢系统对象管理中心模块页面管理功能，实现信息在线录入和维护。最终为各个应用用户提供高效、便捷、友好的页面访问体验。</w:t>
            </w:r>
            <w:r>
              <w:br/>
            </w:r>
            <w:r>
              <w:rPr>
                <w:rFonts w:ascii="仿宋_GB2312" w:hAnsi="仿宋_GB2312" w:cs="仿宋_GB2312" w:eastAsia="仿宋_GB2312"/>
              </w:rPr>
              <w:t xml:space="preserve"> 2.应用资产监测服务</w:t>
            </w:r>
            <w:r>
              <w:br/>
            </w:r>
            <w:r>
              <w:rPr>
                <w:rFonts w:ascii="仿宋_GB2312" w:hAnsi="仿宋_GB2312" w:cs="仿宋_GB2312" w:eastAsia="仿宋_GB2312"/>
              </w:rPr>
              <w:t xml:space="preserve"> （1）应用监测服务</w:t>
            </w:r>
            <w:r>
              <w:br/>
            </w:r>
            <w:r>
              <w:rPr>
                <w:rFonts w:ascii="仿宋_GB2312" w:hAnsi="仿宋_GB2312" w:cs="仿宋_GB2312" w:eastAsia="仿宋_GB2312"/>
              </w:rPr>
              <w:t xml:space="preserve"> 针对组件、数据任务以及页面健康状态进行细致且全面的监测配置，通过实施这、</w:t>
            </w:r>
            <w:r>
              <w:br/>
            </w:r>
            <w:r>
              <w:rPr>
                <w:rFonts w:ascii="仿宋_GB2312" w:hAnsi="仿宋_GB2312" w:cs="仿宋_GB2312" w:eastAsia="仿宋_GB2312"/>
              </w:rPr>
              <w:t xml:space="preserve"> 些监测服务，有效预防潜在的技术风险，提升系统的整体服务质量，为用户提供更加流畅和可靠的使用体验。</w:t>
            </w:r>
            <w:r>
              <w:br/>
            </w:r>
            <w:r>
              <w:rPr>
                <w:rFonts w:ascii="仿宋_GB2312" w:hAnsi="仿宋_GB2312" w:cs="仿宋_GB2312" w:eastAsia="仿宋_GB2312"/>
              </w:rPr>
              <w:t xml:space="preserve"> （2）云资源监测服务</w:t>
            </w:r>
            <w:r>
              <w:br/>
            </w:r>
            <w:r>
              <w:rPr>
                <w:rFonts w:ascii="仿宋_GB2312" w:hAnsi="仿宋_GB2312" w:cs="仿宋_GB2312" w:eastAsia="仿宋_GB2312"/>
              </w:rPr>
              <w:t xml:space="preserve"> 对接一体化资源监测与管理平台（具备能力后），通过设置合理的监测阈值，可以及时发现资源使用过度或者不足的情况，并采取相应措施进行优化或扩容，实现资源的高效利用，降低运维成本，提高系统的可靠性和安全性，最终达到提升业务连续性的目的。</w:t>
            </w:r>
            <w:r>
              <w:br/>
            </w:r>
            <w:r>
              <w:rPr>
                <w:rFonts w:ascii="仿宋_GB2312" w:hAnsi="仿宋_GB2312" w:cs="仿宋_GB2312" w:eastAsia="仿宋_GB2312"/>
              </w:rPr>
              <w:t xml:space="preserve"> （3）日志监测服务</w:t>
            </w:r>
            <w:r>
              <w:br/>
            </w:r>
            <w:r>
              <w:rPr>
                <w:rFonts w:ascii="仿宋_GB2312" w:hAnsi="仿宋_GB2312" w:cs="仿宋_GB2312" w:eastAsia="仿宋_GB2312"/>
              </w:rPr>
              <w:t xml:space="preserve"> 对接统一日志平台（具备能力后），协同应用系统承建单位，针对已接入日志的应用，提供全面的监测服务。这包括但不限于应用整体的访问情况监测，以及应用核心服务接口的响应情况监测。根据实际需求，灵活设置各类服务接口的成功率、响应时间等指标对应的报警阈值。一旦实际监测数据触发这些阈值，系统立即发出报警，确保运维团队能够迅速响应并处理潜在的问题。</w:t>
            </w:r>
            <w:r>
              <w:br/>
            </w:r>
            <w:r>
              <w:rPr>
                <w:rFonts w:ascii="仿宋_GB2312" w:hAnsi="仿宋_GB2312" w:cs="仿宋_GB2312" w:eastAsia="仿宋_GB2312"/>
              </w:rPr>
              <w:t xml:space="preserve"> 3.运维知识管理服务</w:t>
            </w:r>
            <w:r>
              <w:br/>
            </w:r>
            <w:r>
              <w:rPr>
                <w:rFonts w:ascii="仿宋_GB2312" w:hAnsi="仿宋_GB2312" w:cs="仿宋_GB2312" w:eastAsia="仿宋_GB2312"/>
              </w:rPr>
              <w:t xml:space="preserve"> （1）规则管理服务</w:t>
            </w:r>
            <w:r>
              <w:br/>
            </w:r>
            <w:r>
              <w:rPr>
                <w:rFonts w:ascii="仿宋_GB2312" w:hAnsi="仿宋_GB2312" w:cs="仿宋_GB2312" w:eastAsia="仿宋_GB2312"/>
              </w:rPr>
              <w:t xml:space="preserve"> 通过定义规则的基本信息、规则表达式、阈值、变量等属性进行规则的录入，同</w:t>
            </w:r>
            <w:r>
              <w:br/>
            </w:r>
            <w:r>
              <w:rPr>
                <w:rFonts w:ascii="仿宋_GB2312" w:hAnsi="仿宋_GB2312" w:cs="仿宋_GB2312" w:eastAsia="仿宋_GB2312"/>
              </w:rPr>
              <w:t xml:space="preserve"> 时对规则发生异常时的应急预案进行关联。规则根据对监测指标的检查形式不同分为波动监测、绝对量检查、百分比检查、主动探测。当运维规则信息需要变更时，按需对基本信息、规则表达式、阈值、变量信息、查询内容等进行信息的更新。运维规则创建完成后进行审核，审核通过的规则在监测配置时，可以进行选择使用，经过深入研究和精心设计的，提供一个科学、合理的运维对象监测配置参考值。创建运维规则包，同时按需对规则的基本信息、规则表达式、阈值、变量信息等进行更新。</w:t>
            </w:r>
            <w:r>
              <w:br/>
            </w:r>
            <w:r>
              <w:rPr>
                <w:rFonts w:ascii="仿宋_GB2312" w:hAnsi="仿宋_GB2312" w:cs="仿宋_GB2312" w:eastAsia="仿宋_GB2312"/>
              </w:rPr>
              <w:t xml:space="preserve"> （2）预案管理服务</w:t>
            </w:r>
            <w:r>
              <w:br/>
            </w:r>
            <w:r>
              <w:rPr>
                <w:rFonts w:ascii="仿宋_GB2312" w:hAnsi="仿宋_GB2312" w:cs="仿宋_GB2312" w:eastAsia="仿宋_GB2312"/>
              </w:rPr>
              <w:t xml:space="preserve"> 预案管理服务包含预案创建服务和预案审核服务。针对不同的应急处置操作类型，提供标准的问题确认步骤。为每种应急处置操作类型提供详细的处置执行步骤参考。这些步骤需清晰明了，易于理解，确保运维人员能够在紧急情况下快速响应，提供适用于多种情况的通用处置方法，便于运维人员在面对未知问题时也能有所借鉴。预案创建完成后，进行严格的审批流程。只有经过审批的预案才会被纳入监测系统中，供运维人员在配置监测时关联使用。确保每一个启用的预案都是经过精心制定和审查的，能够在关键时刻发挥应有的作用。</w:t>
            </w:r>
            <w:r>
              <w:br/>
            </w:r>
            <w:r>
              <w:rPr>
                <w:rFonts w:ascii="仿宋_GB2312" w:hAnsi="仿宋_GB2312" w:cs="仿宋_GB2312" w:eastAsia="仿宋_GB2312"/>
              </w:rPr>
              <w:t xml:space="preserve"> 2.3.1.2应用运维管理服务</w:t>
            </w:r>
            <w:r>
              <w:br/>
            </w:r>
            <w:r>
              <w:rPr>
                <w:rFonts w:ascii="仿宋_GB2312" w:hAnsi="仿宋_GB2312" w:cs="仿宋_GB2312" w:eastAsia="仿宋_GB2312"/>
              </w:rPr>
              <w:t xml:space="preserve"> 应用运维管理包括应用基础管理服务、应用监测审查服务、预警告警处置服务、应用故障处置管理服务、应用稳定性审查服务、实战演练指导服务、重保应用体检服务、应用监测值守服务等。</w:t>
            </w:r>
            <w:r>
              <w:br/>
            </w:r>
            <w:r>
              <w:rPr>
                <w:rFonts w:ascii="仿宋_GB2312" w:hAnsi="仿宋_GB2312" w:cs="仿宋_GB2312" w:eastAsia="仿宋_GB2312"/>
              </w:rPr>
              <w:t xml:space="preserve"> 1.应用基础管理服务</w:t>
            </w:r>
            <w:r>
              <w:br/>
            </w:r>
            <w:r>
              <w:rPr>
                <w:rFonts w:ascii="仿宋_GB2312" w:hAnsi="仿宋_GB2312" w:cs="仿宋_GB2312" w:eastAsia="仿宋_GB2312"/>
              </w:rPr>
              <w:t xml:space="preserve"> （1）应用分级定义服务</w:t>
            </w:r>
            <w:r>
              <w:br/>
            </w:r>
            <w:r>
              <w:rPr>
                <w:rFonts w:ascii="仿宋_GB2312" w:hAnsi="仿宋_GB2312" w:cs="仿宋_GB2312" w:eastAsia="仿宋_GB2312"/>
              </w:rPr>
              <w:t xml:space="preserve"> 根据陕西省数据和政务服务局、陕西省数据和政务服务中心现有的信息化应用系统情况，对应用按照运维的规范，进行系统等级分组定义。</w:t>
            </w:r>
            <w:r>
              <w:br/>
            </w:r>
            <w:r>
              <w:rPr>
                <w:rFonts w:ascii="仿宋_GB2312" w:hAnsi="仿宋_GB2312" w:cs="仿宋_GB2312" w:eastAsia="仿宋_GB2312"/>
              </w:rPr>
              <w:t xml:space="preserve"> （2）故障等级定义服务</w:t>
            </w:r>
            <w:r>
              <w:br/>
            </w:r>
            <w:r>
              <w:rPr>
                <w:rFonts w:ascii="仿宋_GB2312" w:hAnsi="仿宋_GB2312" w:cs="仿宋_GB2312" w:eastAsia="仿宋_GB2312"/>
              </w:rPr>
              <w:t xml:space="preserve"> 根据运维管理规范，制定故障的等级定义及故障判定规则，核心及非核心功能作说明，区分核心和非核心服务，用于故障发生时做故障的等级定义判断和责任划分依据。</w:t>
            </w:r>
            <w:r>
              <w:br/>
            </w:r>
            <w:r>
              <w:rPr>
                <w:rFonts w:ascii="仿宋_GB2312" w:hAnsi="仿宋_GB2312" w:cs="仿宋_GB2312" w:eastAsia="仿宋_GB2312"/>
              </w:rPr>
              <w:t xml:space="preserve"> （3）用户管理服务</w:t>
            </w:r>
            <w:r>
              <w:br/>
            </w:r>
            <w:r>
              <w:rPr>
                <w:rFonts w:ascii="仿宋_GB2312" w:hAnsi="仿宋_GB2312" w:cs="仿宋_GB2312" w:eastAsia="仿宋_GB2312"/>
              </w:rPr>
              <w:t xml:space="preserve"> 对不同运维服务的人员设定不同的权限管控，分级分权，按照特定的需求对特定的人群设定不同的权限规则，包括运维管理人员、开发单位项目运维人员等。</w:t>
            </w:r>
            <w:r>
              <w:br/>
            </w:r>
            <w:r>
              <w:rPr>
                <w:rFonts w:ascii="仿宋_GB2312" w:hAnsi="仿宋_GB2312" w:cs="仿宋_GB2312" w:eastAsia="仿宋_GB2312"/>
              </w:rPr>
              <w:t xml:space="preserve"> （4）人工检验服务</w:t>
            </w:r>
            <w:r>
              <w:br/>
            </w:r>
            <w:r>
              <w:rPr>
                <w:rFonts w:ascii="仿宋_GB2312" w:hAnsi="仿宋_GB2312" w:cs="仿宋_GB2312" w:eastAsia="仿宋_GB2312"/>
              </w:rPr>
              <w:t xml:space="preserve"> 对在线转维的核心应用的运维项目信息进行梳理维护，在线运维的项目添加维护厂家信息，业务域名信息，一线运维负责人，系统厂家运维负责人等信息，通过项目信息的认领后续可自动关联资产、变更、故障等信息，方便信息查询。</w:t>
            </w:r>
            <w:r>
              <w:br/>
            </w:r>
            <w:r>
              <w:rPr>
                <w:rFonts w:ascii="仿宋_GB2312" w:hAnsi="仿宋_GB2312" w:cs="仿宋_GB2312" w:eastAsia="仿宋_GB2312"/>
              </w:rPr>
              <w:t xml:space="preserve"> 2.应用监测审查服务</w:t>
            </w:r>
            <w:r>
              <w:br/>
            </w:r>
            <w:r>
              <w:rPr>
                <w:rFonts w:ascii="仿宋_GB2312" w:hAnsi="仿宋_GB2312" w:cs="仿宋_GB2312" w:eastAsia="仿宋_GB2312"/>
              </w:rPr>
              <w:t xml:space="preserve"> （1）应用监测审查服务</w:t>
            </w:r>
            <w:r>
              <w:br/>
            </w:r>
            <w:r>
              <w:rPr>
                <w:rFonts w:ascii="仿宋_GB2312" w:hAnsi="仿宋_GB2312" w:cs="仿宋_GB2312" w:eastAsia="仿宋_GB2312"/>
              </w:rPr>
              <w:t xml:space="preserve"> 监测审查是对生产业务系统核心指标的实时监测覆盖及监测的有效情况进行检查，包括告警监测项覆盖率、指标阈值的合理性、告警推送的及时性等。</w:t>
            </w:r>
            <w:r>
              <w:br/>
            </w:r>
            <w:r>
              <w:rPr>
                <w:rFonts w:ascii="仿宋_GB2312" w:hAnsi="仿宋_GB2312" w:cs="仿宋_GB2312" w:eastAsia="仿宋_GB2312"/>
              </w:rPr>
              <w:t xml:space="preserve"> （2）应用调用审查服务</w:t>
            </w:r>
            <w:r>
              <w:br/>
            </w:r>
            <w:r>
              <w:rPr>
                <w:rFonts w:ascii="仿宋_GB2312" w:hAnsi="仿宋_GB2312" w:cs="仿宋_GB2312" w:eastAsia="仿宋_GB2312"/>
              </w:rPr>
              <w:t xml:space="preserve"> 对应用间的服务调用关系进行整理，存在跨系统调用的服务进行监测报警的添加配置，对跨系统或跨部门间的三方调用关系进行整理和监测报警的添加配置，用于故障发生后的三方依赖异常的快速判断定位和恢复，用于故障发生后的问题快速判断定位和恢复。</w:t>
            </w:r>
            <w:r>
              <w:br/>
            </w:r>
            <w:r>
              <w:rPr>
                <w:rFonts w:ascii="仿宋_GB2312" w:hAnsi="仿宋_GB2312" w:cs="仿宋_GB2312" w:eastAsia="仿宋_GB2312"/>
              </w:rPr>
              <w:t xml:space="preserve"> （3）上下游关系审查服务</w:t>
            </w:r>
            <w:r>
              <w:br/>
            </w:r>
            <w:r>
              <w:rPr>
                <w:rFonts w:ascii="仿宋_GB2312" w:hAnsi="仿宋_GB2312" w:cs="仿宋_GB2312" w:eastAsia="仿宋_GB2312"/>
              </w:rPr>
              <w:t xml:space="preserve"> 上下游关系审查服务包括各网元对接关系、上下游接口关系及请求链路流程。并对它们进行全面的梳理和审查，同时对其风险项提出相关的优化意见和解决方案，从而降低系统的不稳定风险。</w:t>
            </w:r>
            <w:r>
              <w:br/>
            </w:r>
            <w:r>
              <w:rPr>
                <w:rFonts w:ascii="仿宋_GB2312" w:hAnsi="仿宋_GB2312" w:cs="仿宋_GB2312" w:eastAsia="仿宋_GB2312"/>
              </w:rPr>
              <w:t xml:space="preserve"> 3.预警告警处置服务</w:t>
            </w:r>
            <w:r>
              <w:br/>
            </w:r>
            <w:r>
              <w:rPr>
                <w:rFonts w:ascii="仿宋_GB2312" w:hAnsi="仿宋_GB2312" w:cs="仿宋_GB2312" w:eastAsia="仿宋_GB2312"/>
              </w:rPr>
              <w:t xml:space="preserve"> （1）预警告警处置</w:t>
            </w:r>
            <w:r>
              <w:br/>
            </w:r>
            <w:r>
              <w:rPr>
                <w:rFonts w:ascii="仿宋_GB2312" w:hAnsi="仿宋_GB2312" w:cs="仿宋_GB2312" w:eastAsia="仿宋_GB2312"/>
              </w:rPr>
              <w:t xml:space="preserve"> 预警告警处置可以帮助用户及时识别重要的告警，并采取相应的措施，确保系统的稳定性和安全性。同时，监测告警曲线图也可以帮助用户进行问题的跟踪和优化。对达到故障要求的告警升级为相应的故障。</w:t>
            </w:r>
            <w:r>
              <w:br/>
            </w:r>
            <w:r>
              <w:rPr>
                <w:rFonts w:ascii="仿宋_GB2312" w:hAnsi="仿宋_GB2312" w:cs="仿宋_GB2312" w:eastAsia="仿宋_GB2312"/>
              </w:rPr>
              <w:t xml:space="preserve"> （2）预警告警订阅</w:t>
            </w:r>
            <w:r>
              <w:br/>
            </w:r>
            <w:r>
              <w:rPr>
                <w:rFonts w:ascii="仿宋_GB2312" w:hAnsi="仿宋_GB2312" w:cs="仿宋_GB2312" w:eastAsia="仿宋_GB2312"/>
              </w:rPr>
              <w:t xml:space="preserve"> 创建预警告警通知群，包括群配置和群维护过程，进行有效的群管理，确保信息的准确传递和问题的及时处理。通过沟通平台创建告警群，将相关处理人、响应人拉入告警群，实现预警告警。</w:t>
            </w:r>
            <w:r>
              <w:br/>
            </w:r>
            <w:r>
              <w:rPr>
                <w:rFonts w:ascii="仿宋_GB2312" w:hAnsi="仿宋_GB2312" w:cs="仿宋_GB2312" w:eastAsia="仿宋_GB2312"/>
              </w:rPr>
              <w:t xml:space="preserve"> （3）预警告警通知</w:t>
            </w:r>
            <w:r>
              <w:br/>
            </w:r>
            <w:r>
              <w:rPr>
                <w:rFonts w:ascii="仿宋_GB2312" w:hAnsi="仿宋_GB2312" w:cs="仿宋_GB2312" w:eastAsia="仿宋_GB2312"/>
              </w:rPr>
              <w:t xml:space="preserve"> 预警告警发生时通过通知群进行风险推送，方便用户及时接收处置。通过消息通知预警告警通报消息推送到告警群。</w:t>
            </w:r>
            <w:r>
              <w:br/>
            </w:r>
            <w:r>
              <w:rPr>
                <w:rFonts w:ascii="仿宋_GB2312" w:hAnsi="仿宋_GB2312" w:cs="仿宋_GB2312" w:eastAsia="仿宋_GB2312"/>
              </w:rPr>
              <w:t xml:space="preserve"> 4.应用故障处置管理服务</w:t>
            </w:r>
            <w:r>
              <w:br/>
            </w:r>
            <w:r>
              <w:rPr>
                <w:rFonts w:ascii="仿宋_GB2312" w:hAnsi="仿宋_GB2312" w:cs="仿宋_GB2312" w:eastAsia="仿宋_GB2312"/>
              </w:rPr>
              <w:t xml:space="preserve"> （1）协同处置服务</w:t>
            </w:r>
            <w:r>
              <w:br/>
            </w:r>
            <w:r>
              <w:rPr>
                <w:rFonts w:ascii="仿宋_GB2312" w:hAnsi="仿宋_GB2312" w:cs="仿宋_GB2312" w:eastAsia="仿宋_GB2312"/>
              </w:rPr>
              <w:t xml:space="preserve"> 对应用中涉及多方厂家的故障处理，做好厂家运维人员、云平台等组织的拉通和协调，协调故障处置过程的有序进行和快速恢复。</w:t>
            </w:r>
            <w:r>
              <w:br/>
            </w:r>
            <w:r>
              <w:rPr>
                <w:rFonts w:ascii="仿宋_GB2312" w:hAnsi="仿宋_GB2312" w:cs="仿宋_GB2312" w:eastAsia="仿宋_GB2312"/>
              </w:rPr>
              <w:t xml:space="preserve"> （2）原因定位服务</w:t>
            </w:r>
            <w:r>
              <w:br/>
            </w:r>
            <w:r>
              <w:rPr>
                <w:rFonts w:ascii="仿宋_GB2312" w:hAnsi="仿宋_GB2312" w:cs="仿宋_GB2312" w:eastAsia="仿宋_GB2312"/>
              </w:rPr>
              <w:t xml:space="preserve"> 对应用中的故障协助进行原因分析定位和提供服务以及快速恢复建议。</w:t>
            </w:r>
            <w:r>
              <w:br/>
            </w:r>
            <w:r>
              <w:rPr>
                <w:rFonts w:ascii="仿宋_GB2312" w:hAnsi="仿宋_GB2312" w:cs="仿宋_GB2312" w:eastAsia="仿宋_GB2312"/>
              </w:rPr>
              <w:t xml:space="preserve"> （3）故障通告服务</w:t>
            </w:r>
            <w:r>
              <w:br/>
            </w:r>
            <w:r>
              <w:rPr>
                <w:rFonts w:ascii="仿宋_GB2312" w:hAnsi="仿宋_GB2312" w:cs="仿宋_GB2312" w:eastAsia="仿宋_GB2312"/>
              </w:rPr>
              <w:t xml:space="preserve"> 对应用中发生故障的系统在发现阶段及时告警信息同步、影响范围确认，故障处置过程进行定期的通知通告。</w:t>
            </w:r>
            <w:r>
              <w:br/>
            </w:r>
            <w:r>
              <w:rPr>
                <w:rFonts w:ascii="仿宋_GB2312" w:hAnsi="仿宋_GB2312" w:cs="仿宋_GB2312" w:eastAsia="仿宋_GB2312"/>
              </w:rPr>
              <w:t xml:space="preserve"> （4）组织复盘服务</w:t>
            </w:r>
            <w:r>
              <w:br/>
            </w:r>
            <w:r>
              <w:rPr>
                <w:rFonts w:ascii="仿宋_GB2312" w:hAnsi="仿宋_GB2312" w:cs="仿宋_GB2312" w:eastAsia="仿宋_GB2312"/>
              </w:rPr>
              <w:t xml:space="preserve"> 对应用中发生故障的系统，拉通涉及异常的厂家及相关人员，按照规定的时间要求组织故障复盘，且在后期可以支持对各部门核心应用系统进行组织复盘。</w:t>
            </w:r>
            <w:r>
              <w:br/>
            </w:r>
            <w:r>
              <w:rPr>
                <w:rFonts w:ascii="仿宋_GB2312" w:hAnsi="仿宋_GB2312" w:cs="仿宋_GB2312" w:eastAsia="仿宋_GB2312"/>
              </w:rPr>
              <w:t xml:space="preserve"> 5.应用稳定性审查服务</w:t>
            </w:r>
            <w:r>
              <w:br/>
            </w:r>
            <w:r>
              <w:rPr>
                <w:rFonts w:ascii="仿宋_GB2312" w:hAnsi="仿宋_GB2312" w:cs="仿宋_GB2312" w:eastAsia="仿宋_GB2312"/>
              </w:rPr>
              <w:t xml:space="preserve"> （1）网络拓扑梳理服务</w:t>
            </w:r>
            <w:r>
              <w:br/>
            </w:r>
            <w:r>
              <w:rPr>
                <w:rFonts w:ascii="仿宋_GB2312" w:hAnsi="仿宋_GB2312" w:cs="仿宋_GB2312" w:eastAsia="仿宋_GB2312"/>
              </w:rPr>
              <w:t xml:space="preserve"> 对应用进行从内到外的网络调用关系梳理，输出系统网络关系拓扑图。 </w:t>
            </w:r>
            <w:r>
              <w:br/>
            </w:r>
            <w:r>
              <w:rPr>
                <w:rFonts w:ascii="仿宋_GB2312" w:hAnsi="仿宋_GB2312" w:cs="仿宋_GB2312" w:eastAsia="仿宋_GB2312"/>
              </w:rPr>
              <w:t xml:space="preserve"> （2）架构审查服务</w:t>
            </w:r>
            <w:r>
              <w:br/>
            </w:r>
            <w:r>
              <w:rPr>
                <w:rFonts w:ascii="仿宋_GB2312" w:hAnsi="仿宋_GB2312" w:cs="仿宋_GB2312" w:eastAsia="仿宋_GB2312"/>
              </w:rPr>
              <w:t xml:space="preserve"> 对应用部署进行架构审查，提前对部署架构存在风险的系统进行排查评估，对重点项目出具整改方案。</w:t>
            </w:r>
            <w:r>
              <w:br/>
            </w:r>
            <w:r>
              <w:rPr>
                <w:rFonts w:ascii="仿宋_GB2312" w:hAnsi="仿宋_GB2312" w:cs="仿宋_GB2312" w:eastAsia="仿宋_GB2312"/>
              </w:rPr>
              <w:t xml:space="preserve"> （3）应用变更审查服务</w:t>
            </w:r>
            <w:r>
              <w:br/>
            </w:r>
            <w:r>
              <w:rPr>
                <w:rFonts w:ascii="仿宋_GB2312" w:hAnsi="仿宋_GB2312" w:cs="仿宋_GB2312" w:eastAsia="仿宋_GB2312"/>
              </w:rPr>
              <w:t xml:space="preserve"> 对应用核心日常业务服务及资源的变更按照等级划分日常变更、紧急变更，对提交的变更进行风险评估审查，规避因变更导致的故障和不合理资源的使用。</w:t>
            </w:r>
            <w:r>
              <w:br/>
            </w:r>
            <w:r>
              <w:rPr>
                <w:rFonts w:ascii="仿宋_GB2312" w:hAnsi="仿宋_GB2312" w:cs="仿宋_GB2312" w:eastAsia="仿宋_GB2312"/>
              </w:rPr>
              <w:t xml:space="preserve"> （4）配置审查服务</w:t>
            </w:r>
            <w:r>
              <w:br/>
            </w:r>
            <w:r>
              <w:rPr>
                <w:rFonts w:ascii="仿宋_GB2312" w:hAnsi="仿宋_GB2312" w:cs="仿宋_GB2312" w:eastAsia="仿宋_GB2312"/>
              </w:rPr>
              <w:t xml:space="preserve"> 对应用服务配置、内核参数等信息进行配置审查，提升系统的并发和稳定性。</w:t>
            </w:r>
            <w:r>
              <w:br/>
            </w:r>
            <w:r>
              <w:rPr>
                <w:rFonts w:ascii="仿宋_GB2312" w:hAnsi="仿宋_GB2312" w:cs="仿宋_GB2312" w:eastAsia="仿宋_GB2312"/>
              </w:rPr>
              <w:t xml:space="preserve"> （5）应用资源审查服务</w:t>
            </w:r>
            <w:r>
              <w:br/>
            </w:r>
            <w:r>
              <w:rPr>
                <w:rFonts w:ascii="仿宋_GB2312" w:hAnsi="仿宋_GB2312" w:cs="仿宋_GB2312" w:eastAsia="仿宋_GB2312"/>
              </w:rPr>
              <w:t xml:space="preserve"> 对应用的资源申请和使用进行合理评估评定，避免资源使用率不足。</w:t>
            </w:r>
            <w:r>
              <w:br/>
            </w:r>
            <w:r>
              <w:rPr>
                <w:rFonts w:ascii="仿宋_GB2312" w:hAnsi="仿宋_GB2312" w:cs="仿宋_GB2312" w:eastAsia="仿宋_GB2312"/>
              </w:rPr>
              <w:t xml:space="preserve"> （6）性能审查服务</w:t>
            </w:r>
            <w:r>
              <w:br/>
            </w:r>
            <w:r>
              <w:rPr>
                <w:rFonts w:ascii="仿宋_GB2312" w:hAnsi="仿宋_GB2312" w:cs="仿宋_GB2312" w:eastAsia="仿宋_GB2312"/>
              </w:rPr>
              <w:t xml:space="preserve"> 指导承建单位对应用开展线上压力测试，对测试结果开展审查，评估线上环境的真实可承载压力，提升系统稳定性。</w:t>
            </w:r>
            <w:r>
              <w:br/>
            </w:r>
            <w:r>
              <w:rPr>
                <w:rFonts w:ascii="仿宋_GB2312" w:hAnsi="仿宋_GB2312" w:cs="仿宋_GB2312" w:eastAsia="仿宋_GB2312"/>
              </w:rPr>
              <w:t xml:space="preserve"> （7）应急审查服务</w:t>
            </w:r>
            <w:r>
              <w:br/>
            </w:r>
            <w:r>
              <w:rPr>
                <w:rFonts w:ascii="仿宋_GB2312" w:hAnsi="仿宋_GB2312" w:cs="仿宋_GB2312" w:eastAsia="仿宋_GB2312"/>
              </w:rPr>
              <w:t xml:space="preserve"> 根据服务场景定义，制定相关的应急预案和应急操作执行手册。根据应急预案，定期执行演练，并根据演练结果和应用的变更及时更新应急预案 ，确保预案的时效性。</w:t>
            </w:r>
            <w:r>
              <w:br/>
            </w:r>
            <w:r>
              <w:rPr>
                <w:rFonts w:ascii="仿宋_GB2312" w:hAnsi="仿宋_GB2312" w:cs="仿宋_GB2312" w:eastAsia="仿宋_GB2312"/>
              </w:rPr>
              <w:t xml:space="preserve"> 6.实战演练指导服务</w:t>
            </w:r>
            <w:r>
              <w:br/>
            </w:r>
            <w:r>
              <w:rPr>
                <w:rFonts w:ascii="仿宋_GB2312" w:hAnsi="仿宋_GB2312" w:cs="仿宋_GB2312" w:eastAsia="仿宋_GB2312"/>
              </w:rPr>
              <w:t xml:space="preserve"> （1）演练组织</w:t>
            </w:r>
            <w:r>
              <w:br/>
            </w:r>
            <w:r>
              <w:rPr>
                <w:rFonts w:ascii="仿宋_GB2312" w:hAnsi="仿宋_GB2312" w:cs="仿宋_GB2312" w:eastAsia="仿宋_GB2312"/>
              </w:rPr>
              <w:t xml:space="preserve"> 通过制定实战演练工作方案，明确演练工作的目标、地点、演练时间、参与方和责任主体、演练效果的评价标准等，以此来保证实战演练工作的有序推进、高效落地，达到演练效果。</w:t>
            </w:r>
            <w:r>
              <w:br/>
            </w:r>
            <w:r>
              <w:rPr>
                <w:rFonts w:ascii="仿宋_GB2312" w:hAnsi="仿宋_GB2312" w:cs="仿宋_GB2312" w:eastAsia="仿宋_GB2312"/>
              </w:rPr>
              <w:t xml:space="preserve"> （2）演练实施</w:t>
            </w:r>
            <w:r>
              <w:br/>
            </w:r>
            <w:r>
              <w:rPr>
                <w:rFonts w:ascii="仿宋_GB2312" w:hAnsi="仿宋_GB2312" w:cs="仿宋_GB2312" w:eastAsia="仿宋_GB2312"/>
              </w:rPr>
              <w:t xml:space="preserve"> 协同应用系统承建单位，根据编制好的演练方案来制定具体的演练计划、启动演练工作，推动实战演练由方案阶段向实际落地阶段的推进。</w:t>
            </w:r>
            <w:r>
              <w:br/>
            </w:r>
            <w:r>
              <w:rPr>
                <w:rFonts w:ascii="仿宋_GB2312" w:hAnsi="仿宋_GB2312" w:cs="仿宋_GB2312" w:eastAsia="仿宋_GB2312"/>
              </w:rPr>
              <w:t xml:space="preserve"> （3）演练复盘</w:t>
            </w:r>
            <w:r>
              <w:br/>
            </w:r>
            <w:r>
              <w:rPr>
                <w:rFonts w:ascii="仿宋_GB2312" w:hAnsi="仿宋_GB2312" w:cs="仿宋_GB2312" w:eastAsia="仿宋_GB2312"/>
              </w:rPr>
              <w:t xml:space="preserve"> 根据规则有效性、预案有效性、演练时效进行演练效果统计分析；并对各演练进行排查。</w:t>
            </w:r>
            <w:r>
              <w:br/>
            </w:r>
            <w:r>
              <w:rPr>
                <w:rFonts w:ascii="仿宋_GB2312" w:hAnsi="仿宋_GB2312" w:cs="仿宋_GB2312" w:eastAsia="仿宋_GB2312"/>
              </w:rPr>
              <w:t xml:space="preserve"> 7.重保应用体检服务</w:t>
            </w:r>
            <w:r>
              <w:br/>
            </w:r>
            <w:r>
              <w:rPr>
                <w:rFonts w:ascii="仿宋_GB2312" w:hAnsi="仿宋_GB2312" w:cs="仿宋_GB2312" w:eastAsia="仿宋_GB2312"/>
              </w:rPr>
              <w:t xml:space="preserve"> 按照重保应用清单每天开展应用体检并形成巡检记录，实现风险早发现，故障快处置。同时通过测试点击应用入口主动发现问题，降低重保应用不可用风险。</w:t>
            </w:r>
            <w:r>
              <w:br/>
            </w:r>
            <w:r>
              <w:rPr>
                <w:rFonts w:ascii="仿宋_GB2312" w:hAnsi="仿宋_GB2312" w:cs="仿宋_GB2312" w:eastAsia="仿宋_GB2312"/>
              </w:rPr>
              <w:t xml:space="preserve"> 8.应用监测值守服务</w:t>
            </w:r>
            <w:r>
              <w:br/>
            </w:r>
            <w:r>
              <w:rPr>
                <w:rFonts w:ascii="仿宋_GB2312" w:hAnsi="仿宋_GB2312" w:cs="仿宋_GB2312" w:eastAsia="仿宋_GB2312"/>
              </w:rPr>
              <w:t xml:space="preserve"> （1）实时监测</w:t>
            </w:r>
            <w:r>
              <w:br/>
            </w:r>
            <w:r>
              <w:rPr>
                <w:rFonts w:ascii="仿宋_GB2312" w:hAnsi="仿宋_GB2312" w:cs="仿宋_GB2312" w:eastAsia="仿宋_GB2312"/>
              </w:rPr>
              <w:t xml:space="preserve"> 通过运维管理中枢系统全天候监测系统各项关键性能指标，确保能够在第一时间发现任何可能影响服务质量的异常现象。</w:t>
            </w:r>
            <w:r>
              <w:br/>
            </w:r>
            <w:r>
              <w:rPr>
                <w:rFonts w:ascii="仿宋_GB2312" w:hAnsi="仿宋_GB2312" w:cs="仿宋_GB2312" w:eastAsia="仿宋_GB2312"/>
              </w:rPr>
              <w:t xml:space="preserve"> （2）快速响应</w:t>
            </w:r>
            <w:r>
              <w:br/>
            </w:r>
            <w:r>
              <w:rPr>
                <w:rFonts w:ascii="仿宋_GB2312" w:hAnsi="仿宋_GB2312" w:cs="仿宋_GB2312" w:eastAsia="仿宋_GB2312"/>
              </w:rPr>
              <w:t xml:space="preserve"> 一旦确认到业务异常，立即启动快速响应流程，通过多种方式及时通知相关责任人，并同步提供初步判断结果及建议解决方案。</w:t>
            </w:r>
            <w:r>
              <w:br/>
            </w:r>
            <w:r>
              <w:rPr>
                <w:rFonts w:ascii="仿宋_GB2312" w:hAnsi="仿宋_GB2312" w:cs="仿宋_GB2312" w:eastAsia="仿宋_GB2312"/>
              </w:rPr>
              <w:t xml:space="preserve"> （3）协同处置</w:t>
            </w:r>
            <w:r>
              <w:br/>
            </w:r>
            <w:r>
              <w:rPr>
                <w:rFonts w:ascii="仿宋_GB2312" w:hAnsi="仿宋_GB2312" w:cs="仿宋_GB2312" w:eastAsia="仿宋_GB2312"/>
              </w:rPr>
              <w:t xml:space="preserve"> 出现系统报警信息后，不仅会通知一线运维人员，还会根据需要拉通研发、运营和其他相关部门共同参与问题解决过程，确保问题得到高效解决。</w:t>
            </w:r>
            <w:r>
              <w:br/>
            </w:r>
            <w:r>
              <w:rPr>
                <w:rFonts w:ascii="仿宋_GB2312" w:hAnsi="仿宋_GB2312" w:cs="仿宋_GB2312" w:eastAsia="仿宋_GB2312"/>
              </w:rPr>
              <w:t xml:space="preserve"> （4）闭环管理</w:t>
            </w:r>
            <w:r>
              <w:br/>
            </w:r>
            <w:r>
              <w:rPr>
                <w:rFonts w:ascii="仿宋_GB2312" w:hAnsi="仿宋_GB2312" w:cs="仿宋_GB2312" w:eastAsia="仿宋_GB2312"/>
              </w:rPr>
              <w:t xml:space="preserve"> 对于每一次异常事件，都会进行详细的记录和分析，包括事件发生的时间、原因、影响范围以及处理结果等，以此来持续改进监测策略和服务质量。</w:t>
            </w:r>
            <w:r>
              <w:br/>
            </w:r>
            <w:r>
              <w:rPr>
                <w:rFonts w:ascii="仿宋_GB2312" w:hAnsi="仿宋_GB2312" w:cs="仿宋_GB2312" w:eastAsia="仿宋_GB2312"/>
              </w:rPr>
              <w:t xml:space="preserve"> （5）定期检查</w:t>
            </w:r>
            <w:r>
              <w:br/>
            </w:r>
            <w:r>
              <w:rPr>
                <w:rFonts w:ascii="仿宋_GB2312" w:hAnsi="仿宋_GB2312" w:cs="仿宋_GB2312" w:eastAsia="仿宋_GB2312"/>
              </w:rPr>
              <w:t xml:space="preserve"> 除了日常监测盯屏外，还需回顾各个系统报警响应处置情况，已解决问题列表、复盘整改等内容，帮助各个系统更好地了解其系统的整体运行状态。</w:t>
            </w:r>
            <w:r>
              <w:br/>
            </w:r>
            <w:r>
              <w:rPr>
                <w:rFonts w:ascii="仿宋_GB2312" w:hAnsi="仿宋_GB2312" w:cs="仿宋_GB2312" w:eastAsia="仿宋_GB2312"/>
              </w:rPr>
              <w:t xml:space="preserve"> （6）节假日值守服务</w:t>
            </w:r>
            <w:r>
              <w:br/>
            </w:r>
            <w:r>
              <w:rPr>
                <w:rFonts w:ascii="仿宋_GB2312" w:hAnsi="仿宋_GB2312" w:cs="仿宋_GB2312" w:eastAsia="仿宋_GB2312"/>
              </w:rPr>
              <w:t xml:space="preserve"> 在节假日特别加强关键服务的监测频率，简化通知流程，根据运维知识库以加快问题识别和处理速度，并协调各系统远程支持维护能力及时接入处置。</w:t>
            </w:r>
            <w:r>
              <w:br/>
            </w:r>
            <w:r>
              <w:rPr>
                <w:rFonts w:ascii="仿宋_GB2312" w:hAnsi="仿宋_GB2312" w:cs="仿宋_GB2312" w:eastAsia="仿宋_GB2312"/>
              </w:rPr>
              <w:t xml:space="preserve"> 2.3.2信息技术咨询服务</w:t>
            </w:r>
            <w:r>
              <w:br/>
            </w:r>
            <w:r>
              <w:rPr>
                <w:rFonts w:ascii="仿宋_GB2312" w:hAnsi="仿宋_GB2312" w:cs="仿宋_GB2312" w:eastAsia="仿宋_GB2312"/>
              </w:rPr>
              <w:t xml:space="preserve"> 信息技术咨询服务包括常态化咨询服务、运维人员管理办法规范、常态化运维管理规范、系统转维管理规范、运维服务应急管理规范、应用开发监测规范等。</w:t>
            </w:r>
            <w:r>
              <w:br/>
            </w:r>
            <w:r>
              <w:rPr>
                <w:rFonts w:ascii="仿宋_GB2312" w:hAnsi="仿宋_GB2312" w:cs="仿宋_GB2312" w:eastAsia="仿宋_GB2312"/>
              </w:rPr>
              <w:t xml:space="preserve"> 2.4运营服务工具要求</w:t>
            </w:r>
            <w:r>
              <w:br/>
            </w:r>
            <w:r>
              <w:rPr>
                <w:rFonts w:ascii="仿宋_GB2312" w:hAnsi="仿宋_GB2312" w:cs="仿宋_GB2312" w:eastAsia="仿宋_GB2312"/>
              </w:rPr>
              <w:t xml:space="preserve"> 运营服务提供方应提供运营服务工具，需满足国产化要求，并具有如下能力要求、性能要求及安全要求。</w:t>
            </w:r>
            <w:r>
              <w:br/>
            </w:r>
            <w:r>
              <w:rPr>
                <w:rFonts w:ascii="仿宋_GB2312" w:hAnsi="仿宋_GB2312" w:cs="仿宋_GB2312" w:eastAsia="仿宋_GB2312"/>
              </w:rPr>
              <w:t xml:space="preserve"> 2.4.1能力要求</w:t>
            </w:r>
            <w:r>
              <w:br/>
            </w:r>
            <w:r>
              <w:rPr>
                <w:rFonts w:ascii="仿宋_GB2312" w:hAnsi="仿宋_GB2312" w:cs="仿宋_GB2312" w:eastAsia="仿宋_GB2312"/>
              </w:rPr>
              <w:t xml:space="preserve"> 包括组织管理能力、对象管理能力、运维管理能力、协同处置能力、指挥调度能力。</w:t>
            </w:r>
            <w:r>
              <w:br/>
            </w:r>
            <w:r>
              <w:rPr>
                <w:rFonts w:ascii="仿宋_GB2312" w:hAnsi="仿宋_GB2312" w:cs="仿宋_GB2312" w:eastAsia="仿宋_GB2312"/>
              </w:rPr>
              <w:t xml:space="preserve"> 2.4.2性能要求</w:t>
            </w:r>
            <w:r>
              <w:br/>
            </w:r>
            <w:r>
              <w:rPr>
                <w:rFonts w:ascii="仿宋_GB2312" w:hAnsi="仿宋_GB2312" w:cs="仿宋_GB2312" w:eastAsia="仿宋_GB2312"/>
              </w:rPr>
              <w:t xml:space="preserve"> 2.4.2.1基本性能指标要求</w:t>
            </w:r>
            <w:r>
              <w:br/>
            </w:r>
            <w:r>
              <w:rPr>
                <w:rFonts w:ascii="仿宋_GB2312" w:hAnsi="仿宋_GB2312" w:cs="仿宋_GB2312" w:eastAsia="仿宋_GB2312"/>
              </w:rPr>
              <w:t xml:space="preserve"> 1、登录系统响应时间≤2秒，响应成功率达99.9%。</w:t>
            </w:r>
            <w:r>
              <w:br/>
            </w:r>
            <w:r>
              <w:rPr>
                <w:rFonts w:ascii="仿宋_GB2312" w:hAnsi="仿宋_GB2312" w:cs="仿宋_GB2312" w:eastAsia="仿宋_GB2312"/>
              </w:rPr>
              <w:t xml:space="preserve"> 2、允许1500在线用户，150人并发访问流量。</w:t>
            </w:r>
            <w:r>
              <w:br/>
            </w:r>
            <w:r>
              <w:rPr>
                <w:rFonts w:ascii="仿宋_GB2312" w:hAnsi="仿宋_GB2312" w:cs="仿宋_GB2312" w:eastAsia="仿宋_GB2312"/>
              </w:rPr>
              <w:t xml:space="preserve"> 3、整个应用软件系统能够持续7×24小时不间断工作。</w:t>
            </w:r>
            <w:r>
              <w:br/>
            </w:r>
            <w:r>
              <w:rPr>
                <w:rFonts w:ascii="仿宋_GB2312" w:hAnsi="仿宋_GB2312" w:cs="仿宋_GB2312" w:eastAsia="仿宋_GB2312"/>
              </w:rPr>
              <w:t xml:space="preserve"> 4、系统能全年稳定连续运行，业务连续停止时间不超过3小时。</w:t>
            </w:r>
            <w:r>
              <w:br/>
            </w:r>
            <w:r>
              <w:rPr>
                <w:rFonts w:ascii="仿宋_GB2312" w:hAnsi="仿宋_GB2312" w:cs="仿宋_GB2312" w:eastAsia="仿宋_GB2312"/>
              </w:rPr>
              <w:t xml:space="preserve"> 2.4.2.2 数据查询性能要求</w:t>
            </w:r>
            <w:r>
              <w:br/>
            </w:r>
            <w:r>
              <w:rPr>
                <w:rFonts w:ascii="仿宋_GB2312" w:hAnsi="仿宋_GB2312" w:cs="仿宋_GB2312" w:eastAsia="仿宋_GB2312"/>
              </w:rPr>
              <w:t xml:space="preserve"> 1、非统计性查询响应时间≤3秒；</w:t>
            </w:r>
            <w:r>
              <w:br/>
            </w:r>
            <w:r>
              <w:rPr>
                <w:rFonts w:ascii="仿宋_GB2312" w:hAnsi="仿宋_GB2312" w:cs="仿宋_GB2312" w:eastAsia="仿宋_GB2312"/>
              </w:rPr>
              <w:t xml:space="preserve"> 2、统计性查询响应时间十万条记录响应时间≤15秒；</w:t>
            </w:r>
            <w:r>
              <w:br/>
            </w:r>
            <w:r>
              <w:rPr>
                <w:rFonts w:ascii="仿宋_GB2312" w:hAnsi="仿宋_GB2312" w:cs="仿宋_GB2312" w:eastAsia="仿宋_GB2312"/>
              </w:rPr>
              <w:t xml:space="preserve"> 3、系统页面平均显示响应时间≤2秒；高峰时≤4秒。</w:t>
            </w:r>
            <w:r>
              <w:br/>
            </w:r>
            <w:r>
              <w:rPr>
                <w:rFonts w:ascii="仿宋_GB2312" w:hAnsi="仿宋_GB2312" w:cs="仿宋_GB2312" w:eastAsia="仿宋_GB2312"/>
              </w:rPr>
              <w:t xml:space="preserve"> 2.5服务人员要求</w:t>
            </w:r>
            <w:r>
              <w:br/>
            </w:r>
            <w:r>
              <w:rPr>
                <w:rFonts w:ascii="仿宋_GB2312" w:hAnsi="仿宋_GB2312" w:cs="仿宋_GB2312" w:eastAsia="仿宋_GB2312"/>
              </w:rPr>
              <w:t xml:space="preserve"> 按照采购方要求在规定的时间内组建项目团队，建成组织架构和团队分工合理、岗位职责明确的服务团队。团队配置大于等于25人（要求项目经理1人，一线人员大于等于5人，二线人员大于等于19人），其中高级人员大于等于2人。提供7*24小时运营监管服务，及时发现告警信息，提供技术支持。</w:t>
            </w:r>
            <w:r>
              <w:br/>
            </w:r>
            <w:r>
              <w:rPr>
                <w:rFonts w:ascii="仿宋_GB2312" w:hAnsi="仿宋_GB2312" w:cs="仿宋_GB2312" w:eastAsia="仿宋_GB2312"/>
              </w:rPr>
              <w:t xml:space="preserve"> 2.6服务交付物</w:t>
            </w:r>
            <w:r>
              <w:br/>
            </w:r>
            <w:r>
              <w:rPr>
                <w:rFonts w:ascii="仿宋_GB2312" w:hAnsi="仿宋_GB2312" w:cs="仿宋_GB2312" w:eastAsia="仿宋_GB2312"/>
              </w:rPr>
              <w:t xml:space="preserve"> 1、应用资产管理服务和应用运维管理服务交付物</w:t>
            </w:r>
          </w:p>
          <w:tbl>
            <w:tblPr>
              <w:tblBorders>
                <w:top w:val="none" w:color="000000" w:sz="4"/>
                <w:left w:val="none" w:color="000000" w:sz="4"/>
                <w:bottom w:val="none" w:color="000000" w:sz="4"/>
                <w:right w:val="none" w:color="000000" w:sz="4"/>
                <w:insideH w:val="none"/>
                <w:insideV w:val="none"/>
              </w:tblBorders>
            </w:tblPr>
            <w:tblGrid>
              <w:gridCol w:w="165"/>
              <w:gridCol w:w="240"/>
              <w:gridCol w:w="328"/>
              <w:gridCol w:w="553"/>
              <w:gridCol w:w="574"/>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服务大类</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服务子类</w:t>
                  </w:r>
                </w:p>
              </w:tc>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服务项</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交付物及交付标准</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应用资产管理服务</w:t>
                  </w: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应用资产纳管服务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应用纳管服务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《应用纳管汇总表》</w:t>
                  </w: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云资源纳管服务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《云资源纳管汇总表》</w:t>
                  </w:r>
                </w:p>
              </w:tc>
            </w:tr>
            <w:tr>
              <w:tc>
                <w:tcPr>
                  <w:tcW w:type="dxa" w:w="165"/>
                  <w:vMerge/>
                  <w:tcBorders>
                    <w:top w:val="none" w:color="000000" w:sz="4"/>
                    <w:left w:val="single" w:color="000000" w:sz="4"/>
                    <w:bottom w:val="single" w:color="000000" w:sz="4"/>
                    <w:right w:val="single" w:color="000000" w:sz="4"/>
                  </w:tcBorders>
                </w:tcP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《应用拓扑图》</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日志纳管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《应用日志接入汇总表》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转维审核管理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《应用转维清单》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40"/>
                  <w:vMerge/>
                  <w:tcBorders>
                    <w:top w:val="none" w:color="000000" w:sz="4"/>
                    <w:left w:val="single" w:color="000000" w:sz="4"/>
                    <w:bottom w:val="single" w:color="000000" w:sz="4"/>
                    <w:right w:val="single" w:color="000000" w:sz="4"/>
                  </w:tcBorders>
                </w:tcP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应用资产监测服务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应用监测服务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《应用监测配置清单》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云资源监测服务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《云资源监测配置清单》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日志监测服务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《日志监测配置清单》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40"/>
                  <w:vMerge/>
                  <w:tcBorders>
                    <w:top w:val="none" w:color="000000" w:sz="4"/>
                    <w:left w:val="single" w:color="000000" w:sz="4"/>
                    <w:bottom w:val="single" w:color="000000" w:sz="4"/>
                    <w:right w:val="single" w:color="000000" w:sz="4"/>
                  </w:tcBorders>
                </w:tcP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运维知识管理服务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规则管理服务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《运维规则汇总表》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预案管理服务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《运维预案汇总表》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应用运维管理服务</w:t>
                  </w: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应用基础管理服务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应用分级定义服务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《应用分级定义清单》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故障等级定义服务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《应用故障等级定义清单》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用户管理服务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《用户管理清单》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人工检验服务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《应用巡检报告》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流程梳理服务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《应用运维流程规范》</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40"/>
                  <w:vMerge/>
                  <w:tcBorders>
                    <w:top w:val="none" w:color="000000" w:sz="4"/>
                    <w:left w:val="single" w:color="000000" w:sz="4"/>
                    <w:bottom w:val="single" w:color="000000" w:sz="4"/>
                    <w:right w:val="single" w:color="000000" w:sz="4"/>
                  </w:tcBorders>
                </w:tcP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应用监测审查服务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应用监测审查服务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《应用监测审查报告》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应用调用审查服务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《应用调用审查报告》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上下游关系审查服务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《应用上下游关系审查报告》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40"/>
                  <w:vMerge/>
                  <w:tcBorders>
                    <w:top w:val="none" w:color="000000" w:sz="4"/>
                    <w:left w:val="single" w:color="000000" w:sz="4"/>
                    <w:bottom w:val="single" w:color="000000" w:sz="4"/>
                    <w:right w:val="single" w:color="000000" w:sz="4"/>
                  </w:tcBorders>
                </w:tcP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预警告警处置服务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预警告警处置</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《预警告警处置报告》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预警告警订阅</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《预警告警订阅列表》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预警告警通知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《预警告警清单》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40"/>
                  <w:vMerge/>
                  <w:tcBorders>
                    <w:top w:val="none" w:color="000000" w:sz="4"/>
                    <w:left w:val="single" w:color="000000" w:sz="4"/>
                    <w:bottom w:val="single" w:color="000000" w:sz="4"/>
                    <w:right w:val="single" w:color="000000" w:sz="4"/>
                  </w:tcBorders>
                </w:tcP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应用故障处置管理服务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应用故障处置服务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《应用服务故障报告》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预案更新服务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《应用预案更新清单》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40"/>
                  <w:vMerge/>
                  <w:tcBorders>
                    <w:top w:val="none" w:color="000000" w:sz="4"/>
                    <w:left w:val="single" w:color="000000" w:sz="4"/>
                    <w:bottom w:val="single" w:color="000000" w:sz="4"/>
                    <w:right w:val="single" w:color="000000" w:sz="4"/>
                  </w:tcBorders>
                </w:tcP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应用稳定性审查服务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网络拓扑梳理服务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《应用网络拓扑梳理报告》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架构审查服务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《应用架构审查报告》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应用变更审查服务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《变更审批清单》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配置审查服务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《应用配置审查报告》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应用资源审查服务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《应用资源审查报告》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性能审查服务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《应用性能审查报告》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应急审查服务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《应用应急审查报告》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文档管理服务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《应用文档清单》</w:t>
                  </w: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40"/>
                  <w:vMerge/>
                  <w:tcBorders>
                    <w:top w:val="none" w:color="000000" w:sz="4"/>
                    <w:left w:val="single" w:color="000000" w:sz="4"/>
                    <w:bottom w:val="single" w:color="000000" w:sz="4"/>
                    <w:right w:val="single" w:color="000000" w:sz="4"/>
                  </w:tcBorders>
                </w:tcP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实战演练指导服务</w:t>
                  </w:r>
                </w:p>
              </w:tc>
              <w:tc>
                <w:tcPr>
                  <w:tcW w:type="dxa" w:w="5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实战演练指导服务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《应用演练方案》</w:t>
                  </w:r>
                </w:p>
              </w:tc>
            </w:tr>
            <w:tr>
              <w:tc>
                <w:tcPr>
                  <w:tcW w:type="dxa" w:w="165"/>
                  <w:vMerge/>
                  <w:tcBorders>
                    <w:top w:val="none" w:color="000000" w:sz="4"/>
                    <w:left w:val="single" w:color="000000" w:sz="4"/>
                    <w:bottom w:val="single" w:color="000000" w:sz="4"/>
                    <w:right w:val="single" w:color="000000" w:sz="4"/>
                  </w:tcBorders>
                </w:tcPr>
                <w:p/>
              </w:tc>
              <w:tc>
                <w:tcPr>
                  <w:tcW w:type="dxa" w:w="240"/>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553"/>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《应用演练报告》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40"/>
                  <w:vMerge/>
                  <w:tcBorders>
                    <w:top w:val="none" w:color="000000" w:sz="4"/>
                    <w:left w:val="single" w:color="000000" w:sz="4"/>
                    <w:bottom w:val="single" w:color="000000" w:sz="4"/>
                    <w:right w:val="single" w:color="000000" w:sz="4"/>
                  </w:tcBorders>
                </w:tcP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重保应用体检服务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重保应用体检服务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《重保应用体检报告》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240"/>
                  <w:vMerge/>
                  <w:tcBorders>
                    <w:top w:val="none" w:color="000000" w:sz="4"/>
                    <w:left w:val="single" w:color="000000" w:sz="4"/>
                    <w:bottom w:val="single" w:color="000000" w:sz="4"/>
                    <w:right w:val="single" w:color="000000" w:sz="4"/>
                  </w:tcBorders>
                </w:tcP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应用监测值守服务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应用监测值守服务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《系统报警处置跟踪记录及值班问题跟踪表》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56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服务支撑记录</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人员支撑服务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《运营服务值班表》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568"/>
                  <w:gridSpan w:val="2"/>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运营服务周报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《周报》</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568"/>
                  <w:gridSpan w:val="2"/>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运营服务月报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《月报》</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568"/>
                  <w:gridSpan w:val="2"/>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年度服务总结报告</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《年度服务总结报告》</w:t>
                  </w:r>
                </w:p>
              </w:tc>
            </w:tr>
          </w:tbl>
          <w:p>
            <w:pPr>
              <w:pStyle w:val="null3"/>
            </w:pPr>
            <w:r>
              <w:br/>
            </w:r>
            <w:r>
              <w:rPr>
                <w:rFonts w:ascii="仿宋_GB2312" w:hAnsi="仿宋_GB2312" w:cs="仿宋_GB2312" w:eastAsia="仿宋_GB2312"/>
              </w:rPr>
              <w:t xml:space="preserve"> 2、信息咨询服务交付物</w:t>
            </w:r>
          </w:p>
          <w:tbl>
            <w:tblPr>
              <w:tblBorders>
                <w:top w:val="none" w:color="000000" w:sz="4"/>
                <w:left w:val="none" w:color="000000" w:sz="4"/>
                <w:bottom w:val="none" w:color="000000" w:sz="4"/>
                <w:right w:val="none" w:color="000000" w:sz="4"/>
                <w:insideH w:val="none"/>
                <w:insideV w:val="none"/>
              </w:tblBorders>
            </w:tblPr>
            <w:tblGrid>
              <w:gridCol w:w="168"/>
              <w:gridCol w:w="265"/>
              <w:gridCol w:w="489"/>
              <w:gridCol w:w="938"/>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服务类别</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服务项</w:t>
                  </w:r>
                </w:p>
              </w:tc>
              <w:tc>
                <w:tcPr>
                  <w:tcW w:type="dxa" w:w="9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交付物</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信息技术咨询服务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常态化咨询服务</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《常态化咨询月报》</w:t>
                  </w:r>
                </w:p>
              </w:tc>
            </w:tr>
            <w:tr>
              <w:tc>
                <w:tcPr>
                  <w:tcW w:type="dxa" w:w="168"/>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运维人员管理办法规范</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《人员管理规范》、《红线管理制度》、《运维考核规范》</w:t>
                  </w:r>
                </w:p>
              </w:tc>
            </w:tr>
            <w:tr>
              <w:tc>
                <w:tcPr>
                  <w:tcW w:type="dxa" w:w="168"/>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常态化运维管理规范</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《资源管理规范》、《变更管理规范》、《巡检和监测管理规范》、《运维指标说明》、《运维流程规范》</w:t>
                  </w:r>
                </w:p>
              </w:tc>
            </w:tr>
            <w:tr>
              <w:tc>
                <w:tcPr>
                  <w:tcW w:type="dxa" w:w="168"/>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系统转维管理规范</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《系统转维规范》、《线上压测规范》、《网络常见风险检查清单》、《架构常见风险检查清单》、《配置管理规范》</w:t>
                  </w:r>
                </w:p>
              </w:tc>
            </w:tr>
            <w:tr>
              <w:tc>
                <w:tcPr>
                  <w:tcW w:type="dxa" w:w="168"/>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运维服务应急管理规范</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《应急处置预案制度》、《故障管理规范》、《重保管理规范》</w:t>
                  </w:r>
                </w:p>
              </w:tc>
            </w:tr>
            <w:tr>
              <w:tc>
                <w:tcPr>
                  <w:tcW w:type="dxa" w:w="168"/>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应用开发监测规范</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《性能报告规范》、《错误日志规范》《异常事件分析报告规范》</w:t>
                  </w:r>
                </w:p>
              </w:tc>
            </w:tr>
          </w:tbl>
          <w:p>
            <w:pPr>
              <w:pStyle w:val="null3"/>
            </w:pPr>
            <w:r>
              <w:br/>
            </w:r>
            <w:r>
              <w:rPr>
                <w:rFonts w:ascii="仿宋_GB2312" w:hAnsi="仿宋_GB2312" w:cs="仿宋_GB2312" w:eastAsia="仿宋_GB2312"/>
              </w:rPr>
              <w:t xml:space="preserve"> 2.7、交付验收标准</w:t>
            </w:r>
            <w:r>
              <w:br/>
            </w:r>
            <w:r>
              <w:rPr>
                <w:rFonts w:ascii="仿宋_GB2312" w:hAnsi="仿宋_GB2312" w:cs="仿宋_GB2312" w:eastAsia="仿宋_GB2312"/>
              </w:rPr>
              <w:t xml:space="preserve"> 1.服务工具部署完成并通过功能测试和安全测试。</w:t>
            </w:r>
            <w:r>
              <w:br/>
            </w:r>
            <w:r>
              <w:rPr>
                <w:rFonts w:ascii="仿宋_GB2312" w:hAnsi="仿宋_GB2312" w:cs="仿宋_GB2312" w:eastAsia="仿宋_GB2312"/>
              </w:rPr>
              <w:t xml:space="preserve"> 2.服务工具通过压力测试，符合各项性能要求。</w:t>
            </w:r>
            <w:r>
              <w:br/>
            </w:r>
            <w:r>
              <w:rPr>
                <w:rFonts w:ascii="仿宋_GB2312" w:hAnsi="仿宋_GB2312" w:cs="仿宋_GB2312" w:eastAsia="仿宋_GB2312"/>
              </w:rPr>
              <w:t xml:space="preserve"> 3.服务工具能支撑各项绩效指标分析，包括应用监测覆盖率、云资源监测覆盖率、日志监测覆盖率、已纳管应用平均告警响应时长、已纳管应用平均告警处置时长等。</w:t>
            </w:r>
            <w:r>
              <w:br/>
            </w:r>
            <w:r>
              <w:rPr>
                <w:rFonts w:ascii="仿宋_GB2312" w:hAnsi="仿宋_GB2312" w:cs="仿宋_GB2312" w:eastAsia="仿宋_GB2312"/>
              </w:rPr>
              <w:t xml:space="preserve"> 3.1应用监测覆盖率：系统支持分别按应用和类型统计和导出应用服务/组件的清单及其基本信息和监测状态；</w:t>
            </w:r>
            <w:r>
              <w:br/>
            </w:r>
            <w:r>
              <w:rPr>
                <w:rFonts w:ascii="仿宋_GB2312" w:hAnsi="仿宋_GB2312" w:cs="仿宋_GB2312" w:eastAsia="仿宋_GB2312"/>
              </w:rPr>
              <w:t xml:space="preserve"> 3.2云资源监测覆盖率：系统支持分别按应用和类型统计和导出应用相关的云资源的清单及其基本信息和监测状态；</w:t>
            </w:r>
            <w:r>
              <w:br/>
            </w:r>
            <w:r>
              <w:rPr>
                <w:rFonts w:ascii="仿宋_GB2312" w:hAnsi="仿宋_GB2312" w:cs="仿宋_GB2312" w:eastAsia="仿宋_GB2312"/>
              </w:rPr>
              <w:t xml:space="preserve"> 3.3日志监测覆盖率：系统支持分别按应用和类型统计和导出应用相关的日志库清单及其监测状态；</w:t>
            </w:r>
            <w:r>
              <w:br/>
            </w:r>
            <w:r>
              <w:rPr>
                <w:rFonts w:ascii="仿宋_GB2312" w:hAnsi="仿宋_GB2312" w:cs="仿宋_GB2312" w:eastAsia="仿宋_GB2312"/>
              </w:rPr>
              <w:t xml:space="preserve"> 3.4已纳管应用平均告警响应时长处置时长：系统支持分别按应用和类型统计和导出应用的预警、告警的记录清单，包括预警告警基本信息和响应时长、处置时长等。</w:t>
            </w:r>
            <w:r>
              <w:br/>
            </w:r>
            <w:r>
              <w:rPr>
                <w:rFonts w:ascii="仿宋_GB2312" w:hAnsi="仿宋_GB2312" w:cs="仿宋_GB2312" w:eastAsia="仿宋_GB2312"/>
              </w:rPr>
              <w:t xml:space="preserve"> 4.至少纳管两个应用</w:t>
            </w:r>
            <w:r>
              <w:br/>
            </w:r>
            <w:r>
              <w:rPr>
                <w:rFonts w:ascii="仿宋_GB2312" w:hAnsi="仿宋_GB2312" w:cs="仿宋_GB2312" w:eastAsia="仿宋_GB2312"/>
              </w:rPr>
              <w:t xml:space="preserve"> 2.8保密要求</w:t>
            </w:r>
            <w:r>
              <w:br/>
            </w:r>
            <w:r>
              <w:rPr>
                <w:rFonts w:ascii="仿宋_GB2312" w:hAnsi="仿宋_GB2312" w:cs="仿宋_GB2312" w:eastAsia="仿宋_GB2312"/>
              </w:rPr>
              <w:t xml:space="preserve"> 本项目服务提供方应提供保密承诺书（格式自拟），要求项目参与人员签署保密协议。</w:t>
            </w:r>
          </w:p>
          <w:p>
            <w:pPr>
              <w:pStyle w:val="null3"/>
            </w:pPr>
            <w:r>
              <w:rPr>
                <w:rFonts w:ascii="仿宋_GB2312" w:hAnsi="仿宋_GB2312" w:cs="仿宋_GB2312" w:eastAsia="仿宋_GB2312"/>
              </w:rPr>
              <w:t>二、商务及其他要求</w:t>
            </w:r>
          </w:p>
          <w:p>
            <w:pPr>
              <w:pStyle w:val="null3"/>
              <w:numPr>
                <w:ilvl w:val="0"/>
                <w:numId w:val="1"/>
              </w:numPr>
            </w:pPr>
            <w:r>
              <w:rPr>
                <w:rFonts w:ascii="仿宋_GB2312" w:hAnsi="仿宋_GB2312" w:cs="仿宋_GB2312" w:eastAsia="仿宋_GB2312"/>
              </w:rPr>
              <w:t>服务期及地点：</w:t>
            </w:r>
          </w:p>
          <w:p>
            <w:pPr>
              <w:pStyle w:val="null3"/>
            </w:pPr>
            <w:r>
              <w:rPr>
                <w:rFonts w:ascii="仿宋_GB2312" w:hAnsi="仿宋_GB2312" w:cs="仿宋_GB2312" w:eastAsia="仿宋_GB2312"/>
              </w:rPr>
              <w:t>1、服务期：一年</w:t>
            </w:r>
          </w:p>
          <w:p>
            <w:pPr>
              <w:pStyle w:val="null3"/>
            </w:pPr>
            <w:r>
              <w:rPr>
                <w:rFonts w:ascii="仿宋_GB2312" w:hAnsi="仿宋_GB2312" w:cs="仿宋_GB2312" w:eastAsia="仿宋_GB2312"/>
              </w:rPr>
              <w:t>2、项目地点：采购人指定地点。</w:t>
            </w:r>
          </w:p>
          <w:p>
            <w:pPr>
              <w:pStyle w:val="null3"/>
              <w:numPr>
                <w:ilvl w:val="0"/>
                <w:numId w:val="1"/>
              </w:numPr>
            </w:pPr>
            <w:r>
              <w:rPr>
                <w:rFonts w:ascii="仿宋_GB2312" w:hAnsi="仿宋_GB2312" w:cs="仿宋_GB2312" w:eastAsia="仿宋_GB2312"/>
              </w:rPr>
              <w:t>付款方式和程序：</w:t>
            </w:r>
          </w:p>
          <w:p>
            <w:pPr>
              <w:pStyle w:val="null3"/>
            </w:pPr>
            <w:r>
              <w:rPr>
                <w:rFonts w:ascii="仿宋_GB2312" w:hAnsi="仿宋_GB2312" w:cs="仿宋_GB2312" w:eastAsia="仿宋_GB2312"/>
              </w:rPr>
              <w:t>1、付款方式：合同签订后支付合同总额的40％ ，交付验收通过后支付合同总金额的 60%</w:t>
            </w:r>
          </w:p>
          <w:p>
            <w:pPr>
              <w:pStyle w:val="null3"/>
            </w:pPr>
            <w:r>
              <w:rPr>
                <w:rFonts w:ascii="仿宋_GB2312" w:hAnsi="仿宋_GB2312" w:cs="仿宋_GB2312" w:eastAsia="仿宋_GB2312"/>
              </w:rPr>
              <w:t>2、乙方承诺在甲方办理支付手续前，为甲方出具等额的符合国家规定的发票。</w:t>
            </w:r>
          </w:p>
          <w:p>
            <w:pPr>
              <w:pStyle w:val="null3"/>
            </w:pPr>
            <w:r>
              <w:rPr>
                <w:rFonts w:ascii="仿宋_GB2312" w:hAnsi="仿宋_GB2312" w:cs="仿宋_GB2312" w:eastAsia="仿宋_GB2312"/>
              </w:rPr>
              <w:t>3、上述时间不包括甲方正常办理支付报批手续的时间（办理银行担保所需的手续费、担保费等全部由中标人承担）。</w:t>
            </w:r>
          </w:p>
          <w:p>
            <w:pPr>
              <w:pStyle w:val="null3"/>
              <w:numPr>
                <w:ilvl w:val="0"/>
                <w:numId w:val="1"/>
              </w:numPr>
            </w:pPr>
            <w:r>
              <w:rPr>
                <w:rFonts w:ascii="仿宋_GB2312" w:hAnsi="仿宋_GB2312" w:cs="仿宋_GB2312" w:eastAsia="仿宋_GB2312"/>
              </w:rPr>
              <w:t>合同实施</w:t>
            </w:r>
          </w:p>
          <w:p>
            <w:pPr>
              <w:pStyle w:val="null3"/>
            </w:pPr>
            <w:r>
              <w:rPr>
                <w:rFonts w:ascii="仿宋_GB2312" w:hAnsi="仿宋_GB2312" w:cs="仿宋_GB2312" w:eastAsia="仿宋_GB2312"/>
              </w:rPr>
              <w:t>若未能在服务期内完成合同规定的义务，由此对采购人造成的延误和一切损失，由中标人承担和赔偿。</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满足招标文件和采购人规范标准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满足招标文件和采购人规范标准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2023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税收缴纳证明：供应商提供已缴纳的2024年2月至今至少一个月的纳税证明或完税证明（任意税种）；依法免税的单位应提供相关文件证明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社会保障资金缴纳证明：供应商提供已缴存的2024年2月至今至少一个月的社会保障资金缴存单据或社保机构开具的社会保险参保缴费情况证明，依法不需要缴纳社会保障资金的单位应提供相关证明材料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本项目专门面向中小企业采购，非中小企业单位（监狱企业、残疾人福利单位除外）不得参与（提供中小企业声明函）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投标保证金交纳凭证（附开户许可证或基本账户存款信息）</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投标供应商名称与获取招标文件的单位名称一致</w:t>
            </w:r>
          </w:p>
        </w:tc>
        <w:tc>
          <w:tcPr>
            <w:tcW w:type="dxa" w:w="1661"/>
          </w:tcPr>
          <w:p>
            <w:pPr>
              <w:pStyle w:val="null3"/>
            </w:pPr>
            <w:r>
              <w:rPr>
                <w:rFonts w:ascii="仿宋_GB2312" w:hAnsi="仿宋_GB2312" w:cs="仿宋_GB2312" w:eastAsia="仿宋_GB2312"/>
              </w:rPr>
              <w:t>开标一览表.docx 招标内容及要求应答表.docx 开标一览表 分项报价表.docx 投标函 标的清单 其他资料.docx 承诺文件.docx 投标文件封面 项目实施方案.docx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开标一览表.docx 招标内容及要求应答表.docx 开标一览表 分项报价表.docx 投标函 标的清单 其他资料.docx 投标文件封面 承诺文件.docx 项目实施方案.docx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具有有效的投标有效期</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开标一览表.docx 开标一览表 分项报价表.docx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投标文件未出现重大负偏离的</w:t>
            </w:r>
          </w:p>
        </w:tc>
        <w:tc>
          <w:tcPr>
            <w:tcW w:type="dxa" w:w="1661"/>
          </w:tcPr>
          <w:p>
            <w:pPr>
              <w:pStyle w:val="null3"/>
            </w:pPr>
            <w:r>
              <w:rPr>
                <w:rFonts w:ascii="仿宋_GB2312" w:hAnsi="仿宋_GB2312" w:cs="仿宋_GB2312" w:eastAsia="仿宋_GB2312"/>
              </w:rPr>
              <w:t>招标内容及要求应答表.docx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对本项目采购内容的理解、分析，根据理解是否透彻，分析是否全面赋分。项目分析深入、到位得2-4分，项目分析理解基本到位得1-2分，项目分析理解不深入得0-1分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应用资产管理服务方案：供应商提供应用资产管理服务方案，内容至少包括:1、应用资产纳管服务；2、应用资产监测服务；3、运维知识管理服务。(1)服务描述合理、全面清晰，目标定位准确，可行性强;具备科学合理性和良好的可管理性，交付物及标准清晰，具备可操作性得8-12分；(2)服务描述较为合理、全面，目标定位较为准确，可行性一般;较符合科学合理性和可管理性，具备交付物及标准，服务具有可操作性得4-8分；(3)服务描述不够合理、全面，目标定位不太准确，可行性较差;服务不太科学、不方便管理，交付物或标准缺失不具有可操作性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应用运维管理服务方案：供应商提供应用运维管理服务方案，内容至少包括:1、应用基础管理服务；2、应用监测审查服务；3、预警告警处置服务；4、应用故障处置管理服务；5、应用稳定性审查服务；6、实战演练指导服务；7、重保应用体检服务；8、应用监测值守服务。(1)服务描述合理、全面清晰，目标定位准确，可行性强;服务具备科学合理性和良好的可管理性，交付物及标准清晰，具备可操作性得8-12分；(2)服务描述较为合理、全面，目标定位较为准确，可行性一般;服务较符合科学合理性和可管理性，具备交付物及标准，具有可操作性得4-8分；(3)服务描述不够合理、全面，目标定位不太准确，可行性较差;服务不太科学、不方便管理，交付物或标准缺失不具有可操作性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信息技术咨询服务方案：供应商提供信息技术咨询服务方案，内容至少包括：1、常态化咨询服务；2、运维人员管理办法规范；3、常态化运维管理规范；4、系统转维管理规范；5、运维服务应急管理规范；6、应用开发监测规范等。(1)服务描述合理、全面清晰，目标定位准确，可行性强;服务制度规范设计完善、具备科学合理性和良好的可管理性，交付物及标准清晰，具备可操作性得8-12分；(2)服务描述较为合理、全面，目标定位较为准确，可行性一般;服务制度规范设计较为完善、较符合科学合理性和可管理性，具备交付物及标准，具有可操作性得4-8分；(3)服务描述不够合理、全面，目标定位不太准确，可行性较差;服务制度规范设计不完善、不太科学、不方便管理，交付物或标准缺失不具有可操作性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的应急方案包括：(1)针对服务工具出现故障，影响服务效果时，制定相应的应急方案能够处理各类紧急情况得2-4分；(2)针对服务工具出现故障，影响服务效果时，制定的应急方案能够较好处理各类紧急情况得1-2分；(3)针对服务工具出现故障，影响服务效果时，制定相应的应急方案不能处理各类紧急情况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提供针对本项目拟投入的工作组成员的情况说明。内容至少包含:1、工作组成员管理组织架构、人员分工；2、工作职责划分、业务管理流程等内容。(1)项目投入的工作组成员管理组织架构清晰，人员分工和工作职责划分明确、业务流程详细，能有效保障本项目实施得2-4分；(2)项目投入的工作组成员管理组织架构较为清晰，人员分工和工作职责划分较为明确、业务流程较为详细，能基本保障本项目实施得1-2分；(3)项目投入的工作组成员管理组织架构不清晰，人员分工和工作职责划分不明确、业务流程不详细，不能保障本项目实施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项目成员</w:t>
            </w:r>
          </w:p>
        </w:tc>
        <w:tc>
          <w:tcPr>
            <w:tcW w:type="dxa" w:w="2492"/>
          </w:tcPr>
          <w:p>
            <w:pPr>
              <w:pStyle w:val="null3"/>
            </w:pPr>
            <w:r>
              <w:rPr>
                <w:rFonts w:ascii="仿宋_GB2312" w:hAnsi="仿宋_GB2312" w:cs="仿宋_GB2312" w:eastAsia="仿宋_GB2312"/>
              </w:rPr>
              <w:t>提供满足招标文件要求的服务团队人员清单，其中关键核心人员专业技术证书得分情况如下： 1、具备信息技术类相关专业高级职称2人，得2分，每增加1人得1分，此项最高得4分。 2、具备信息技术服务标准ITSS或ITIL证书，每提供1个得1分，此项最高得2分； 3、具备注册信息安全工程师CISP证书，每提供1个得1分，此项最高得2分； 4、具备云计算相关认证证书，每提供1个得1分，此项最高得2分。 注：以上专业技术人员需提供社保，相同人员不重复计分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用户及管理人员培训方案，包括但不限于培训目标、培训内容及讲师、培训计划与课程安排、培训质量保障等，保证使用单位能熟练操作维护和正常使用，并进行简单故障排查处理。（1）培训方案精细化实施性强，得3-5分；（2）培训方案精细化及实施性较强，得1-3分；（3）培训方案未精细化可实施性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备云服务信息安全管理体系认证证书，得1分；2、供应商具备信息安全服务资质认证证书，得1分；3、供应商具备信息技术服务标准ITSS符合性证书，得1分。（提供有效期内的企业相关资质证书复印件加盖公章，要求证书清晰可辨，不提供或提供证书不满足要求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对后期服务绩效、服务时效、服务能力、服务满意度等进行承诺。服务承诺内容完整、清晰、承诺内容切实可行，得6-10分；服务承诺内容基本完整、清晰、承诺内容可行性较强，得3-6 分，服务承诺内容不完整、不清晰、承诺内容不可行，得0-3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提供运维服务质量保障措施内容至少包括:1、运营服务质量管理、沟通保障机制；2、运营技术管理、服务绩效考核指标及评价、风险管控、运营制度和流程。3、现场值守支持服务；4、远程技术支持服务。(1)保障措施科学合理、可行性强，具备良好的可管理性和可操作性得2-4分；(2)保障措施较为科学合理、可行性较强，可管理性和可操作性较强得1-2分；(3)保障措施不够科学合理、可行性差，可管理性和可操作性差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保密服务承诺</w:t>
            </w:r>
          </w:p>
        </w:tc>
        <w:tc>
          <w:tcPr>
            <w:tcW w:type="dxa" w:w="2492"/>
          </w:tcPr>
          <w:p>
            <w:pPr>
              <w:pStyle w:val="null3"/>
            </w:pPr>
            <w:r>
              <w:rPr>
                <w:rFonts w:ascii="仿宋_GB2312" w:hAnsi="仿宋_GB2312" w:cs="仿宋_GB2312" w:eastAsia="仿宋_GB2312"/>
              </w:rPr>
              <w:t>根据本项目提供保密措施。（1）保密措施考虑全面、内容完整、重点突出、具有针对性和可行性的得2-4分；（2）保密措施考虑较为全面、内容较为完整、重点内容体现、较有针对性和可行性的得1-2分；（3）保密措施考虑不够全面、内容不够完整、重点内容未体现、针对性和可行性的较差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承诺文件.docx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提供2021年1月1日至今类似项目业绩，每提供一个得1分，满分6分。以合同签订日期为准，提供采购合同复印件并加盖供应商公章。否则不得分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采用低价优先法计算，即满足招标文件要求且投标价格最低的投标报价为评标基准价，其价格为 10分。其他供应商的价格分按照下列公式计算：投标报价得分＝（评标基准价/投标报价）×10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详见附件：招标内容及要求应答表.docx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详见附件：承诺文件.docx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详见附件：合同格式与主要条款.docx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