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版本号：SDZC2025-01520250211001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陕西省2025年高致病性禽流感等强制免疫疫苗采购项目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SDZC2025-015</w:t>
      </w:r>
      <w:r>
        <w:br/>
      </w:r>
      <w:r>
        <w:br/>
      </w:r>
      <w:r>
        <w:br/>
      </w:r>
    </w:p>
    <w:p>
      <w:pPr>
        <w:pStyle w:val="null3"/>
        <w:jc w:val="center"/>
        <w:outlineLvl w:val="2"/>
      </w:pPr>
      <w:r>
        <w:rPr>
          <w:rFonts w:ascii="仿宋_GB2312" w:hAnsi="仿宋_GB2312" w:cs="仿宋_GB2312" w:eastAsia="仿宋_GB2312"/>
          <w:sz w:val="28"/>
          <w:b/>
        </w:rPr>
        <w:t>陕西省动物卫生与屠宰管理站</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陕西省动物卫生与屠宰管理站</w:t>
      </w:r>
      <w:r>
        <w:rPr>
          <w:rFonts w:ascii="仿宋_GB2312" w:hAnsi="仿宋_GB2312" w:cs="仿宋_GB2312" w:eastAsia="仿宋_GB2312"/>
        </w:rPr>
        <w:t>委托，拟对</w:t>
      </w:r>
      <w:r>
        <w:rPr>
          <w:rFonts w:ascii="仿宋_GB2312" w:hAnsi="仿宋_GB2312" w:cs="仿宋_GB2312" w:eastAsia="仿宋_GB2312"/>
        </w:rPr>
        <w:t>陕西省2025年高致病性禽流感等强制免疫疫苗采购项目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陕西省2025年高致病性禽流感等强制免疫疫苗采购项目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招标，确定陕西省高致病性禽流感等疫苗采购供应商及价格，各设区市及杨陵区春秋两季集中免疫时在中标企业中购进疫苗，以实际采购数量按中标价格实施疫苗购进结算。陕西省动物卫生与屠宰管理站按中标价格在50万元疫苗经费预算中采购疫苗作为应急储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采购包10（猪高致病性蓝耳病活疫苗（冻干苗）（安康、榆林、延安、汉中、杨陵））：属于专门面向中小企业采购。</w:t>
      </w:r>
    </w:p>
    <w:p>
      <w:pPr>
        <w:pStyle w:val="null3"/>
      </w:pPr>
      <w:r>
        <w:rPr>
          <w:rFonts w:ascii="仿宋_GB2312" w:hAnsi="仿宋_GB2312" w:cs="仿宋_GB2312" w:eastAsia="仿宋_GB2312"/>
        </w:rPr>
        <w:t>采购包11（猪高致病性蓝耳病活疫苗（冻干苗）（西安、宝鸡、咸阳、渭南、商洛））：属于专门面向中小企业采购。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8、提供有效的兽药生产许可证：提供有效的兽药生产许可证。</w:t>
      </w:r>
    </w:p>
    <w:p>
      <w:pPr>
        <w:pStyle w:val="null3"/>
      </w:pPr>
      <w:r>
        <w:rPr>
          <w:rFonts w:ascii="仿宋_GB2312" w:hAnsi="仿宋_GB2312" w:cs="仿宋_GB2312" w:eastAsia="仿宋_GB2312"/>
        </w:rPr>
        <w:t>9、提供有效的兽药GMP证书：提供有效的兽药GMP证书。</w:t>
      </w:r>
    </w:p>
    <w:p>
      <w:pPr>
        <w:pStyle w:val="null3"/>
      </w:pPr>
      <w:r>
        <w:rPr>
          <w:rFonts w:ascii="仿宋_GB2312" w:hAnsi="仿宋_GB2312" w:cs="仿宋_GB2312" w:eastAsia="仿宋_GB2312"/>
        </w:rPr>
        <w:t>10、投标人须是所投疫苗产品的制造商，并有农业农村部对该产品生产批准文号：投标人须是所投疫苗产品的制造商，并有农业农村部对该产品生产批准文号。</w:t>
      </w:r>
    </w:p>
    <w:p>
      <w:pPr>
        <w:pStyle w:val="null3"/>
      </w:pPr>
      <w:r>
        <w:rPr>
          <w:rFonts w:ascii="仿宋_GB2312" w:hAnsi="仿宋_GB2312" w:cs="仿宋_GB2312" w:eastAsia="仿宋_GB2312"/>
        </w:rPr>
        <w:t>11、投标保证金交纳凭证或担保函：投标保证金交纳凭证或担保函；（投标保证交纳金凭证为银行凭证及基本账户证明资料，担保函为财政部门认可的政府采购信用担保机构出具）。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12、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13、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陕西省动物卫生与屠宰管理站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陕西省动物卫生与屠宰管理站经办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029-86289356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金岩（1号工位）、赵倩茹（9号工位）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029-86673953、86518381、89299829、89293231转8001/8009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采购包1：0.25元</w:t>
            </w:r>
          </w:p>
          <w:p>
            <w:pPr>
              <w:pStyle w:val="null3"/>
            </w:pPr>
            <w:r>
              <w:rPr>
                <w:rFonts w:ascii="仿宋_GB2312" w:hAnsi="仿宋_GB2312" w:cs="仿宋_GB2312" w:eastAsia="仿宋_GB2312"/>
              </w:rPr>
              <w:t>采购包2：0.25元</w:t>
            </w:r>
          </w:p>
          <w:p>
            <w:pPr>
              <w:pStyle w:val="null3"/>
            </w:pPr>
            <w:r>
              <w:rPr>
                <w:rFonts w:ascii="仿宋_GB2312" w:hAnsi="仿宋_GB2312" w:cs="仿宋_GB2312" w:eastAsia="仿宋_GB2312"/>
              </w:rPr>
              <w:t>采购包3：0.25元</w:t>
            </w:r>
          </w:p>
          <w:p>
            <w:pPr>
              <w:pStyle w:val="null3"/>
            </w:pPr>
            <w:r>
              <w:rPr>
                <w:rFonts w:ascii="仿宋_GB2312" w:hAnsi="仿宋_GB2312" w:cs="仿宋_GB2312" w:eastAsia="仿宋_GB2312"/>
              </w:rPr>
              <w:t>采购包4：0.25元</w:t>
            </w:r>
          </w:p>
          <w:p>
            <w:pPr>
              <w:pStyle w:val="null3"/>
            </w:pPr>
            <w:r>
              <w:rPr>
                <w:rFonts w:ascii="仿宋_GB2312" w:hAnsi="仿宋_GB2312" w:cs="仿宋_GB2312" w:eastAsia="仿宋_GB2312"/>
              </w:rPr>
              <w:t>采购包5：0.25元</w:t>
            </w:r>
          </w:p>
          <w:p>
            <w:pPr>
              <w:pStyle w:val="null3"/>
            </w:pPr>
            <w:r>
              <w:rPr>
                <w:rFonts w:ascii="仿宋_GB2312" w:hAnsi="仿宋_GB2312" w:cs="仿宋_GB2312" w:eastAsia="仿宋_GB2312"/>
              </w:rPr>
              <w:t>采购包6：0.25元</w:t>
            </w:r>
          </w:p>
          <w:p>
            <w:pPr>
              <w:pStyle w:val="null3"/>
            </w:pPr>
            <w:r>
              <w:rPr>
                <w:rFonts w:ascii="仿宋_GB2312" w:hAnsi="仿宋_GB2312" w:cs="仿宋_GB2312" w:eastAsia="仿宋_GB2312"/>
              </w:rPr>
              <w:t>采购包7：0.25元</w:t>
            </w:r>
          </w:p>
          <w:p>
            <w:pPr>
              <w:pStyle w:val="null3"/>
            </w:pPr>
            <w:r>
              <w:rPr>
                <w:rFonts w:ascii="仿宋_GB2312" w:hAnsi="仿宋_GB2312" w:cs="仿宋_GB2312" w:eastAsia="仿宋_GB2312"/>
              </w:rPr>
              <w:t>采购包8：1.00元</w:t>
            </w:r>
          </w:p>
          <w:p>
            <w:pPr>
              <w:pStyle w:val="null3"/>
            </w:pPr>
            <w:r>
              <w:rPr>
                <w:rFonts w:ascii="仿宋_GB2312" w:hAnsi="仿宋_GB2312" w:cs="仿宋_GB2312" w:eastAsia="仿宋_GB2312"/>
              </w:rPr>
              <w:t>采购包9：1.00元</w:t>
            </w:r>
          </w:p>
          <w:p>
            <w:pPr>
              <w:pStyle w:val="null3"/>
            </w:pPr>
            <w:r>
              <w:rPr>
                <w:rFonts w:ascii="仿宋_GB2312" w:hAnsi="仿宋_GB2312" w:cs="仿宋_GB2312" w:eastAsia="仿宋_GB2312"/>
              </w:rPr>
              <w:t>采购包10：0.45元</w:t>
            </w:r>
          </w:p>
          <w:p>
            <w:pPr>
              <w:pStyle w:val="null3"/>
            </w:pPr>
            <w:r>
              <w:rPr>
                <w:rFonts w:ascii="仿宋_GB2312" w:hAnsi="仿宋_GB2312" w:cs="仿宋_GB2312" w:eastAsia="仿宋_GB2312"/>
              </w:rPr>
              <w:t>采购包11：0.45元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招标代理服务费采取预收，待采购周期结束后，按照采购合同进行结算多退少补，预收取代理服务费为第1-6包10000元；第7包5000元；第8包60000元；第9包7000元；第10包10000元；第11包8000元，在领取中标通知书前缴纳。 2.招标代理服务费应采用转账、刷卡、现金形式缴纳，不得用投标保证金冲抵。 3.中标人如未按上述第1条规定办理，采购代理机构将没收其投标保证金。提供投标担保的投标人将由专业担保机构先行偿付采购代理机构损失。</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陕西省动物卫生与屠宰管理站</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陕西省动物卫生与屠宰管理站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陕西省动物卫生与屠宰管理站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1.中标人收到中标通知书后，按招标文件、投标文件及有关澄清承诺书的要求与采购人联系供货事宜，签订除供货数量、货物总金额外的供货合同，在全部货物供应结束后签订供货数量及货物总金额补充合同。 2.中标人因不可抗力或者自身原因不能履行采购合同的，采购人可以与该品种疫苗其他中标人签订采购合同，以此类推。 3.中标人应在合同签订后7个日历日内安排人员（项目组成人员简历表所列）与使用单位就送货等工作进行安排、部署。 4.若未能在交货期内完成合同规定的义务，由此对采购人造成的延误和一切损失，由中标人承担和赔偿。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联系人：金岩（1号工位）、赵倩茹（9号工位）</w:t>
      </w:r>
    </w:p>
    <w:p>
      <w:pPr>
        <w:pStyle w:val="null3"/>
      </w:pPr>
      <w:r>
        <w:rPr>
          <w:rFonts w:ascii="仿宋_GB2312" w:hAnsi="仿宋_GB2312" w:cs="仿宋_GB2312" w:eastAsia="仿宋_GB2312"/>
        </w:rPr>
        <w:t>联系电话：029-86673953、86518381、89299829、89293231转8001/8009</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招标，确定陕西省高致病性禽流感等疫苗采购供应商及价格，各设区市及杨陵区春秋两季集中免疫时在中标企业中购进疫苗，以实际采购数量按中标价格实施疫苗购进结算。陕西省动物卫生与屠宰管理站按中标价格在50万元疫苗经费预算中采购疫苗作为应急储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0.25</w:t>
      </w:r>
    </w:p>
    <w:p>
      <w:pPr>
        <w:pStyle w:val="null3"/>
      </w:pPr>
      <w:r>
        <w:rPr>
          <w:rFonts w:ascii="仿宋_GB2312" w:hAnsi="仿宋_GB2312" w:cs="仿宋_GB2312" w:eastAsia="仿宋_GB2312"/>
        </w:rPr>
        <w:t>采购包最高限价（元）: 0.25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0.25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1.00</w:t>
      </w:r>
    </w:p>
    <w:p>
      <w:pPr>
        <w:pStyle w:val="null3"/>
      </w:pPr>
      <w:r>
        <w:rPr>
          <w:rFonts w:ascii="仿宋_GB2312" w:hAnsi="仿宋_GB2312" w:cs="仿宋_GB2312" w:eastAsia="仿宋_GB2312"/>
        </w:rPr>
        <w:t>采购包最高限价（元）: 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1.00</w:t>
      </w:r>
    </w:p>
    <w:p>
      <w:pPr>
        <w:pStyle w:val="null3"/>
      </w:pPr>
      <w:r>
        <w:rPr>
          <w:rFonts w:ascii="仿宋_GB2312" w:hAnsi="仿宋_GB2312" w:cs="仿宋_GB2312" w:eastAsia="仿宋_GB2312"/>
        </w:rPr>
        <w:t>采购包最高限价（元）: 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0.45</w:t>
      </w:r>
    </w:p>
    <w:p>
      <w:pPr>
        <w:pStyle w:val="null3"/>
      </w:pPr>
      <w:r>
        <w:rPr>
          <w:rFonts w:ascii="仿宋_GB2312" w:hAnsi="仿宋_GB2312" w:cs="仿宋_GB2312" w:eastAsia="仿宋_GB2312"/>
        </w:rPr>
        <w:t>采购包最高限价（元）: 0.45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0.45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0.45</w:t>
      </w:r>
    </w:p>
    <w:p>
      <w:pPr>
        <w:pStyle w:val="null3"/>
      </w:pPr>
      <w:r>
        <w:rPr>
          <w:rFonts w:ascii="仿宋_GB2312" w:hAnsi="仿宋_GB2312" w:cs="仿宋_GB2312" w:eastAsia="仿宋_GB2312"/>
        </w:rPr>
        <w:t>采购包最高限价（元）: 0.45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兽用疫苗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0.45</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渭南</w:t>
                  </w:r>
                  <w:r>
                    <w:rPr>
                      <w:rFonts w:ascii="仿宋_GB2312" w:hAnsi="仿宋_GB2312" w:cs="仿宋_GB2312" w:eastAsia="仿宋_GB2312"/>
                      <w:sz w:val="24"/>
                    </w:rPr>
                    <w:t xml:space="preserve"> </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榆林、延安</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咸阳</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汉中、安康</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宝鸡</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西安</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铜川</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重组禽流感病毒（H5+H7）三价灭活疫苗</w:t>
            </w:r>
          </w:p>
        </w:tc>
        <w:tc>
          <w:tcPr>
            <w:tcW w:type="dxa" w:w="2076"/>
          </w:tcPr>
          <w:p>
            <w:pPr>
              <w:pStyle w:val="null3"/>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商洛</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重组禽流感病毒（</w:t>
                  </w:r>
                  <w:r>
                    <w:rPr>
                      <w:rFonts w:ascii="仿宋_GB2312" w:hAnsi="仿宋_GB2312" w:cs="仿宋_GB2312" w:eastAsia="仿宋_GB2312"/>
                      <w:sz w:val="24"/>
                      <w:color w:val="000000"/>
                    </w:rPr>
                    <w:t>H5+H7）三价灭活疫苗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具有农业农村部疫苗生产批准文号，疫苗含灭活重组禽流感病毒（</w:t>
                  </w:r>
                  <w:r>
                    <w:rPr>
                      <w:rFonts w:ascii="仿宋_GB2312" w:hAnsi="仿宋_GB2312" w:cs="仿宋_GB2312" w:eastAsia="仿宋_GB2312"/>
                      <w:sz w:val="24"/>
                      <w:color w:val="000000"/>
                    </w:rPr>
                    <w:t>H5+H7）三价毒株，采用国际优质注射用白油佐剂生产，稳定性、无菌检验、安全检验、效力检验符合国家标准。规格 100ml/瓶或250mL/瓶。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after="165"/>
                    <w:jc w:val="center"/>
                  </w:pPr>
                  <w:r>
                    <w:rPr>
                      <w:rFonts w:ascii="仿宋_GB2312" w:hAnsi="仿宋_GB2312" w:cs="仿宋_GB2312" w:eastAsia="仿宋_GB2312"/>
                      <w:sz w:val="24"/>
                      <w:color w:val="000000"/>
                    </w:rPr>
                    <w:t>以毫升作为核算单位</w:t>
                  </w:r>
                </w:p>
              </w:tc>
            </w:tr>
          </w:tbl>
          <w:p>
            <w:pPr>
              <w:pStyle w:val="null3"/>
            </w:pP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猪口蹄疫 O 型合成肽疫苗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型合成肽疫苗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西安、宝鸡、咸阳、渭南、汉中、安康、商洛、榆林</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型合成肽疫苗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具有农业农村部疫苗生产批准文号，疫苗至少含有</w:t>
                  </w:r>
                  <w:r>
                    <w:rPr>
                      <w:rFonts w:ascii="仿宋_GB2312" w:hAnsi="仿宋_GB2312" w:cs="仿宋_GB2312" w:eastAsia="仿宋_GB2312"/>
                      <w:sz w:val="24"/>
                      <w:color w:val="000000"/>
                    </w:rPr>
                    <w:t>2个毒株。采用国际优质 50V 佐剂生产，成品苗安全检验、效力检验等检验项目全部符合国家标准。规格50ml/瓶或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猪口蹄疫 O 型合成肽疫苗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型合成肽疫苗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333333"/>
                    </w:rPr>
                    <w:t>铜川、延安、杨陵</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猪口蹄疫</w:t>
                  </w:r>
                  <w:r>
                    <w:rPr>
                      <w:rFonts w:ascii="仿宋_GB2312" w:hAnsi="仿宋_GB2312" w:cs="仿宋_GB2312" w:eastAsia="仿宋_GB2312"/>
                      <w:sz w:val="24"/>
                      <w:color w:val="000000"/>
                    </w:rPr>
                    <w:t>O 型合成肽疫苗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具有农业农村部疫苗生产批准文号，疫苗至少含有</w:t>
                  </w:r>
                  <w:r>
                    <w:rPr>
                      <w:rFonts w:ascii="仿宋_GB2312" w:hAnsi="仿宋_GB2312" w:cs="仿宋_GB2312" w:eastAsia="仿宋_GB2312"/>
                      <w:sz w:val="24"/>
                      <w:color w:val="000000"/>
                    </w:rPr>
                    <w:t>2个毒株。采用国际优质 50V 佐剂生产，成品苗安全检验、效力检验等检验项目全部符合国家标准。规格50ml/瓶或 100ml/瓶。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以毫升作为核算单位</w:t>
                  </w:r>
                </w:p>
              </w:tc>
            </w:tr>
          </w:tbl>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猪高致病性蓝耳病活疫苗（冻干苗）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猪高致病性蓝耳病活疫苗（冻干苗）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安康、榆林、延安、汉中、杨陵</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猪高致病性蓝耳病活疫苗（冻干苗）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具有农业农村部疫苗生产批准文号，疫苗稳定性、无菌检验、安全检验、效力检验符合国家标准。规格：</w:t>
                  </w:r>
                  <w:r>
                    <w:rPr>
                      <w:rFonts w:ascii="仿宋_GB2312" w:hAnsi="仿宋_GB2312" w:cs="仿宋_GB2312" w:eastAsia="仿宋_GB2312"/>
                      <w:sz w:val="24"/>
                      <w:color w:val="000000"/>
                    </w:rPr>
                    <w:t>10、20、50头份/瓶。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标的名称：兽用疫苗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猪高致病性蓝耳病活疫苗（冻干苗）</w:t>
            </w:r>
          </w:p>
        </w:tc>
        <w:tc>
          <w:tcPr>
            <w:tcW w:type="dxa" w:w="2076"/>
          </w:tcPr>
          <w:p>
            <w:pPr>
              <w:pStyle w:val="null3"/>
              <w:jc w:val="center"/>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86"/>
              <w:gridCol w:w="833"/>
              <w:gridCol w:w="833"/>
            </w:tblGrid>
            <w:tr>
              <w:tc>
                <w:tcPr>
                  <w:tcW w:type="dxa" w:w="186"/>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包号</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货物名称</w:t>
                  </w:r>
                </w:p>
              </w:tc>
              <w:tc>
                <w:tcPr>
                  <w:tcW w:type="dxa" w:w="83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服务范围</w:t>
                  </w:r>
                </w:p>
              </w:tc>
            </w:tr>
            <w:tr>
              <w:tc>
                <w:tcPr>
                  <w:tcW w:type="dxa" w:w="18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1</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猪高致病性蓝耳病活疫苗（冻干苗）</w:t>
                  </w:r>
                </w:p>
              </w:tc>
              <w:tc>
                <w:tcPr>
                  <w:tcW w:type="dxa" w:w="83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西安、宝鸡、咸阳、渭南</w:t>
                  </w:r>
                  <w:r>
                    <w:rPr>
                      <w:rFonts w:ascii="仿宋_GB2312" w:hAnsi="仿宋_GB2312" w:cs="仿宋_GB2312" w:eastAsia="仿宋_GB2312"/>
                      <w:sz w:val="24"/>
                      <w:color w:val="000000"/>
                    </w:rPr>
                    <w:t>、</w:t>
                  </w:r>
                  <w:r>
                    <w:rPr>
                      <w:rFonts w:ascii="仿宋_GB2312" w:hAnsi="仿宋_GB2312" w:cs="仿宋_GB2312" w:eastAsia="仿宋_GB2312"/>
                      <w:sz w:val="24"/>
                      <w:color w:val="000000"/>
                    </w:rPr>
                    <w:t>商洛</w:t>
                  </w:r>
                </w:p>
              </w:tc>
            </w:tr>
          </w:tbl>
          <w:p>
            <w:pPr>
              <w:pStyle w:val="null3"/>
              <w:jc w:val="center"/>
            </w:pPr>
            <w:r>
              <w:rPr>
                <w:rFonts w:ascii="仿宋_GB2312" w:hAnsi="仿宋_GB2312" w:cs="仿宋_GB2312" w:eastAsia="仿宋_GB2312"/>
                <w:sz w:val="24"/>
                <w:b/>
              </w:rPr>
              <w:t>采购项目技术参数及要求：</w:t>
            </w:r>
          </w:p>
          <w:tbl>
            <w:tblPr>
              <w:tblBorders>
                <w:top w:val="none" w:color="000000" w:sz="4"/>
                <w:left w:val="none" w:color="000000" w:sz="4"/>
                <w:bottom w:val="none" w:color="000000" w:sz="4"/>
                <w:right w:val="none" w:color="000000" w:sz="4"/>
                <w:insideH w:val="none"/>
                <w:insideV w:val="none"/>
              </w:tblBorders>
            </w:tblPr>
            <w:tblGrid>
              <w:gridCol w:w="421"/>
              <w:gridCol w:w="1099"/>
              <w:gridCol w:w="332"/>
            </w:tblGrid>
            <w:tr>
              <w:tc>
                <w:tcPr>
                  <w:tcW w:type="dxa" w:w="42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p>
              </w:tc>
              <w:tc>
                <w:tcPr>
                  <w:tcW w:type="dxa" w:w="109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技术参数</w:t>
                  </w:r>
                </w:p>
              </w:tc>
              <w:tc>
                <w:tcPr>
                  <w:tcW w:type="dxa" w:w="33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备</w:t>
                  </w:r>
                  <w:r>
                    <w:rPr>
                      <w:rFonts w:ascii="仿宋_GB2312" w:hAnsi="仿宋_GB2312" w:cs="仿宋_GB2312" w:eastAsia="仿宋_GB2312"/>
                      <w:sz w:val="24"/>
                      <w:color w:val="000000"/>
                    </w:rPr>
                    <w:t>注</w:t>
                  </w:r>
                </w:p>
              </w:tc>
            </w:tr>
            <w:tr>
              <w:tc>
                <w:tcPr>
                  <w:tcW w:type="dxa" w:w="421"/>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猪高致病性蓝耳病活疫苗（冻干苗）</w:t>
                  </w:r>
                </w:p>
              </w:tc>
              <w:tc>
                <w:tcPr>
                  <w:tcW w:type="dxa" w:w="109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具有农业农村部疫苗生产批准文号，疫苗稳定性、无菌检验、安全检验、效力检验符合国家标准。规格：</w:t>
                  </w:r>
                  <w:r>
                    <w:rPr>
                      <w:rFonts w:ascii="仿宋_GB2312" w:hAnsi="仿宋_GB2312" w:cs="仿宋_GB2312" w:eastAsia="仿宋_GB2312"/>
                      <w:sz w:val="24"/>
                      <w:color w:val="000000"/>
                    </w:rPr>
                    <w:t>10、20、50头份/瓶。</w:t>
                  </w:r>
                </w:p>
              </w:tc>
              <w:tc>
                <w:tcPr>
                  <w:tcW w:type="dxa" w:w="33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4"/>
                      <w:color w:val="000000"/>
                    </w:rPr>
                    <w:t>以头份作为核算单位</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收到采购人通知后，4日内送至指定地点;紧急情况下12小时内供货到指定地点。应急所需疫苗有特别时间要求的，按特别要求执行。</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本次采购各合同包所涉及的地点。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本次采购各合同包所涉及的地点。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供货结束后，中标人供货具体数量补充说明，经采购人确认后根据货物验收单、检验报告和发票，到陕西省动物卫生与屠宰管理站或中标人实际供应疫苗的市区行政区域相应机构申请付款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1.验收标准：符合《中华人民共和国兽用生物制品规程》，满足招标文件的要求。 2.供方提供疫苗清单一式二份（供需双方各一份）。 3.收货单位现场验收，签收单由收货单位经手人签字、单位盖章生效； 4.货物出现以下情况视为产品质量不合格： （1）货物无标签，没有标明产品名称、批准文号、批号、注册商标、防伪标签、规格、用法与用量、贮存条件、失效期、企业名称等； （2）包装箱（盒）无运输保管过程中注意事项，如防晒、防冻、防破碎等标志；或无使用说明书、没有注明货物名称、主要成分、作用与用途、用法与用量、注意事项等； （3）兽药监察机构按现行国家标准《中华人民共和国兽用生物制品规程》进行安检或效检，不符合《中华人民共和国兽用生物制品规程》标准的。 5.供方货物企业质量标准应高于国家标准。 6.货物包装要求： 货物包装、运输等严格按国家和农业农村部有关标准及招标文件有关要求执行。 外包装、瓶签美观耐用，且瓶签内容完整（包括货物名称、批准文号、生产批号、生产日期、有效期、失效时间、企业名称）。 7货物运输要求：疫苗应按规定要求全程冷藏运输（冷冻疫苗必须在-5℃以下），并根据用户需要将货物送达指定交货地点。运输过程中每隔2—3小时检查并记录温度，严防日光曝晒；没有按要求进行冷藏运输或没有按规定进行温度记录或没有提供温度记录的，拒绝签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中标人必须提供质量可靠的生物制品。货物在有关市、县、乡使用过程中，若发现质量问题或因注射疫苗造成畜禽异常死亡或经济损失的，经省、市联合调查确认通报，中标人在接到通知后应及时派人到现场核实，一经核实后应更换存在质量问题的疫苗，承担由此发生的一切费用。如不按时派人到场的视为认可。 2.疫苗应按时送达，提前或延期到货造成的损失由中标人承担责任。 3.如因免疫失败，导致疫情暴发，双方会同有关部门组成调查组查清原因，经权威部门确认是由货物质量原因造成的，中标人应承担扑疫经费，并赔偿相应的经济损失。 4.疫苗如发生质量问题，中标人应在接到通报后能立即做出响应，并在24小时内派专人到现场调查处理。 以上所有售后技术服务承诺，必须在中标后严格履约，并得到采购人的认可。</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（一）投标担保 1.担保方式：(任选其一) 1.1投标保证金：人民币壹万元整/每包。（如参与本项目多个包，投标保证金需按各包金额，分别转账） 1.2担保函（陕西省财政厅认可的政府采购信用担保机构出具的担保函）。 2.投标担保递交截止时间：投标截止时间前，若采购代理机构未在投标担保递交截止时间收到足额投标保证金或者有效担保函的，其投标将被拒绝。 3.投标担保应当按照法定形式提交。以电汇、转账等形式交纳保证金的投标人，投标保证金仅限于通过对公账户形式交纳，招标结束后以转账形式退至投标人对公账户内。投标保证金交纳凭证以银行凭证及基本账户证明资料为准。 4.财务部联系方式：029-86673953、029-86518381、029-89299829、029-89293231 转8033 备注：投标人在汇款时须注明项目编号+项目简称。 5.开户名称：陕西上德招标有限公司；开户银行：西安银行股份有限公司文景路支行； 银行账号：707011510000013522。 （二）其他事项 1.中标人在领取中标通知书时提供一正两副纸质投标文件 装订：纸质投标文件采用书籍（胶装）方式装订成册，与电子投 标文件一致的签字、盖章的完整版本。（可邮寄） 2.若同一单位同时参与相同疫苗的多个包，且在其中一包被推荐为第一中标候选人，则该单位在后续相同疫苗包评审中只参与打分，不再推荐为第一中标候选人，并顺延下一名为第一中标候选人；若投标人数量少于包数时，则按此规定循环，可累计中标。 3.投标报价应以人民币报价，报价为单价：“元/毫升”或“元/头份”。投标报价小数点后保留两位。 4.本项目采购标的对应的中小企业划分标准所属行业为（工业）。 5.特别声明：投标人相互串通投标、恶意抬高价格的，取消其二年内投标资格。对投标人提供的省内外动物防疫机构出具的有关售后服务、批签发材料、副反应状况和业绩等证明材料，采购人有权进行事后抽样核实，凡发现弄虚作假的中止合同并三年内取消其在陕西参加本项目招标采购的投标资格。 6.若2025年国家强制免疫政策及强制免疫疫苗品种有其他调整的，中标人按规定具备供应该被调整品种疫苗能力的，继续按计划合同供应；如不能按规定供货的，按中标排序，由其他能按规定供应该被调整品种疫苗的中标人供货。 7.省级应急储备疫苗（包括个别地市使用量很少的个别疫苗），由省动物卫生与屠宰管理站与该品种疫苗中标人联系，直接送至省动物卫生与屠宰管理站库房储存。杨陵区因每一品种疫苗数量均较少，中标人可将疫苗直接送达，也可将疫苗送达省库，由杨陵区自行去省库领取，疫苗费用由杨陵区与各中标人直接进行结算。 8.取得本次疫苗供应资格的中标人，具备供应陕西省非强制免疫常规疫苗的资格。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法定代表人授权书（格式）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提供有效的兽药生产许可证</w:t>
            </w:r>
          </w:p>
        </w:tc>
        <w:tc>
          <w:tcPr>
            <w:tcW w:type="dxa" w:w="3322"/>
          </w:tcPr>
          <w:p>
            <w:pPr>
              <w:pStyle w:val="null3"/>
            </w:pPr>
            <w:r>
              <w:rPr>
                <w:rFonts w:ascii="仿宋_GB2312" w:hAnsi="仿宋_GB2312" w:cs="仿宋_GB2312" w:eastAsia="仿宋_GB2312"/>
              </w:rPr>
              <w:t>提供有效的兽药生产许可证。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提供有效的兽药GMP证书</w:t>
            </w:r>
          </w:p>
        </w:tc>
        <w:tc>
          <w:tcPr>
            <w:tcW w:type="dxa" w:w="3322"/>
          </w:tcPr>
          <w:p>
            <w:pPr>
              <w:pStyle w:val="null3"/>
            </w:pPr>
            <w:r>
              <w:rPr>
                <w:rFonts w:ascii="仿宋_GB2312" w:hAnsi="仿宋_GB2312" w:cs="仿宋_GB2312" w:eastAsia="仿宋_GB2312"/>
              </w:rPr>
              <w:t>提供有效的兽药GMP证书。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投标人须是所投疫苗产品的制造商，并有农业农村部对该产品生产批准文号</w:t>
            </w:r>
          </w:p>
        </w:tc>
        <w:tc>
          <w:tcPr>
            <w:tcW w:type="dxa" w:w="3322"/>
          </w:tcPr>
          <w:p>
            <w:pPr>
              <w:pStyle w:val="null3"/>
            </w:pPr>
            <w:r>
              <w:rPr>
                <w:rFonts w:ascii="仿宋_GB2312" w:hAnsi="仿宋_GB2312" w:cs="仿宋_GB2312" w:eastAsia="仿宋_GB2312"/>
              </w:rPr>
              <w:t>投标人须是所投疫苗产品的制造商，并有农业农村部对该产品生产批准文号。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开标一览表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开标一览表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开标一览表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开标一览表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《拒绝政府采购领域商业贿赂承诺书》（格式） 开标一览表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投标函 残疾人福利性单位声明函 标的清单 技术指标 投标文件封面 法定代表人授权书（格式） 服务及信誉部分.docx 技术规格响应偏离表 监狱企业的证明文件 技术指标中须提供的产品佐证材料</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技术指标</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开标一览表 《拒绝政府采购领域商业贿赂承诺书》（格式） 节能环保、环境标志产品明细表（格式，若有） 投标函 中小企业声明函 残疾人福利性单位声明函 标的清单 投标文件封面 法定代表人授权书（格式） 技术规格响应偏离表 监狱企业的证明文件 商务条款响应偏离表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节能环保、环境标志产品明细表（格式，若有） 中小企业声明函 商务条款响应偏离表 《拒绝政府采购领域商业贿赂承诺书》（格式） 资格证明文件 投标函 残疾人福利性单位声明函 标的清单 投标文件封面 法定代表人授权书（格式） 技术规格响应偏离表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投标报价未超过采购预算</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技术规格响应偏离表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投标人认为有必要补充说明的事宜（若有</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开标一览表 节能环保、环境标志产品明细表（格式，若有） 中小企业声明函 投标人认为有必要补充说明的事宜（若有 商务条款响应偏离表 《拒绝政府采购领域商业贿赂承诺书》（格式） 资格证明文件 服务及信誉部分 投标函 残疾人福利性单位声明函 标的清单 技术指标 投标文件封面 法定代表人授权书（格式） 技术规格响应偏离表 监狱企业的证明文件 技术指标中须提供的产品佐证材料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5批次疫苗的批签发报告，每少一个批次疫苗的批签发报告，扣除4分，扣完17分为止。抗体平均滴度（GMT）算术平均值为评分依据， ≥1:128.00的得11分； ≥1:256.00的得14分； ≥1:512.00的得17分。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HI抗体平均滴度（GMT）离散度：离散度在±150以内得3分,在±200以内得1分。有一个及以上批次离散度在±250以外的不得分。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佐剂：提供使用国际优质注射用白油佐剂证明材料（2024年以来的有效进货合同）的得3分，未提供不得分。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设备及操作：提供应用抗原浓缩纯化技术生产工艺及相应的设备型号和本企业人员在现场操作图片得3分，否则不得分。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7分；生产工艺、生产设备先进，生产能力保障性较全面的得6分；生产工艺、生产设备较先进，生产能力保障性全面的得5分；生产工艺、生产设备较先进，生产能力保障性较好的得4分；生产工艺、生产设备较好，生产能力保障性一般的得3分；生产工艺、生产设备一般，生产能力有基本保障的得2分；生产工艺、生产设备较差，生产能力欠缺的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服务及信誉部分1产品稳定性、可靠性</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2024年以来连续5个批次的批签发报告，每少一个批次疫苗的批签发报告，扣除5分，扣完21分为止。以各组分多肽的PD50的平均值作为评分依据。 PD50值≥6.00得15分； PD50值≥8.00得18分； PD50值≥10.00得21分。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多肽等检测报告：以企业提供的上述批次多肽检测报告为依据：总肽分子量： 6717±140,符合的得1分；抗原浓度检测：7±2mg/ml，符合的得1分；环化度检测：硫醇基浓度高于87.5%得1分；三氟乙酸和冰乙酸含量检测：分别低于100ppm和1000ppm，符合的得1分；氨基酸水解浓度高于80%，符合的得1分。以上每一项不符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本企业上述批次内毒素检验报告单得1分。以上各项没有的不得分。报告中内毒素值≤20EU/ml加1分，≤10EU/ml加2分，≤5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佐剂：提供使用国际50V佐剂证明材料（2024年以来的有效进货合同）的得2分，没有使用的不得分。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w:t>
            </w:r>
          </w:p>
        </w:tc>
        <w:tc>
          <w:tcPr>
            <w:tcW w:type="dxa" w:w="2492"/>
          </w:tcPr>
          <w:p>
            <w:pPr>
              <w:pStyle w:val="null3"/>
            </w:pPr>
            <w:r>
              <w:rPr>
                <w:rFonts w:ascii="仿宋_GB2312" w:hAnsi="仿宋_GB2312" w:cs="仿宋_GB2312" w:eastAsia="仿宋_GB2312"/>
              </w:rPr>
              <w:t>产品稳定性、可靠性：所投标产品稳定性、可靠性强，在陕西省近一年内使用期间免疫无副反应或反应低证明的得4分,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服务及信誉部分.docx</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伪造技术参数或重要技术指标不满足招标文件要求的技术评分得0分。② 所投标产品满足招标文件技术参数并同时满足国家对该产品的技术生产要求，具有完整的产品说明书、使用范围、使用方法，注意事项等说明，并提供合格有效的连续批次批签发检验报告，批签发报告：提供2024年以来连续5个批次的批签发报告，每少一个批次疫苗的批签发报告，扣除5分，扣完21分为止。以各组分多肽的PD50的平均值作为评分依据。 PD50值≥6.00得15分； PD50值≥8.00得18分； PD50值≥10.00得21分。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多肽等检测报告：以企业提供的上述批次多肽检测报告为依据：总肽分子量： 6717±140,符合的得1分；抗原浓度检测：7±2mg/ml，符合的得1分；环化度检测：硫醇基浓度高于87.5%得1分；三氟乙酸和冰乙酸含量检测：分别低于100ppm和1000ppm，符合的得1分；氨基酸水解浓度高于80%，符合的得1分。以上每一项不符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检验：提供本企业签发使用的内毒素检验规程的得1分，提供本企业上述批次内毒素检验报告单得1分。以上各项没有的不得分。报告中内毒素值≤20EU/ml加1分，≤10EU/ml加2分，≤5EU/ml加3分。没有检验过内毒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佐剂：提供使用国际50V佐剂证明材料（2024年以来的有效进货合同）的得2分，没有使用的不得分。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节能环保：提供所投产品经国家确定的认证机构出具的、处于有效期内的节能产品认证证书得1分、环境标志产品认证证书得1分。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w:t>
            </w:r>
          </w:p>
        </w:tc>
        <w:tc>
          <w:tcPr>
            <w:tcW w:type="dxa" w:w="2492"/>
          </w:tcPr>
          <w:p>
            <w:pPr>
              <w:pStyle w:val="null3"/>
            </w:pPr>
            <w:r>
              <w:rPr>
                <w:rFonts w:ascii="仿宋_GB2312" w:hAnsi="仿宋_GB2312" w:cs="仿宋_GB2312" w:eastAsia="仿宋_GB2312"/>
              </w:rPr>
              <w:t>产品稳定性、可靠性：所投标产品稳定性、可靠性强，在陕西省近一年内使用期间免疫无副反应或反应低证明的得4分,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疫苗企业所投标产品近三年（2022年至今）的国内同类业绩（以合同形式提供）5个及5个以上省，得4分；4个省，得3分；3个省，得2分；1-2个省，得1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3个批次疫苗的批签发报告，每少一个批次疫苗的批签发报告，扣除7分，扣完18分为止。按算术平均值计算：JXA1-R株和TJM-F92株所投疫苗成品的 TCID50≥105.50得15分； TCID50≥105.67得16分； TCID50≥105.84得17分； TCID50达到106.00得18分 ； HuN4株所投疫苗成品的 TCID50≥105.00得15分； TCID50≥105.17得16分； TCID50≥105.34得17分； TCID50达到105.50得18分。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所投疫苗成品的TCID50离散度：离散度在±0.2以内的得2分，±0.3以内得1分，有一个批次及以上TCID50不在此范围不得分。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内毒素支原体检测：提供上述3批内毒素的检验报告的得2分，没有的不得分。内毒素含量＜50EU/ml加1分，＜30EU/ml加2分，＜20EU/ml加3分。批签发报告证明没有支原体污染的得2分，有一批及以上污染不得分。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胎牛血清使用情况：提供使用进口胎牛血清证明材料（2024年以来的有效进货合同和发票）的得1分；证明使用进口胎牛血清数量能满足生产需要的加1分。没有使用进口胎牛血清证明材料的本项得0分。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4分；生产工艺、生产设备先进，生产能力保障性较全面的得3.5分；生产工艺、生产设备较先进，生产能力保障性全面的得3分；生产工艺、生产设备较先进，生产能力保障性较好的得2.5分；生产工艺、生产设备较好，生产能力保障性一般的得2分；生产工艺、生产设备一般，生产能力有基本保障的得1.5分；生产工艺、生产设备较差，生产能力欠缺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节能环保2分：提供所投产品经国家确定的认证机构出具的、处于有效期内的节能产品认证证书得1分、环境标志产品认证证书得1分。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猪高致病蓝耳病疫苗3个及3个以上省份，得4分；2个省份，得3分；1个省份，得2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① 伪造技术参数或重要技术指标不满足招标文件要求的技术评分得0分。 ② 所投标产品满足招标文件技术参数并同时满足国家对该产品的技术生产要求，具有完整的产品说明书、使用范围、使用方法，注意事项等说明，并提供合格有效的连续批次批签发检验报告，批签发报告：提供2024年以来连续3个批次疫苗的批签发报告，每少一个批次疫苗的批签发报告，扣除7分，扣完18分为止。按算术平均值计算：JXA1-R株和TJM-F92株所投疫苗成品的 TCID50≥105.50得15分； TCID50≥105.67得16分； TCID50≥105.84得17分； TCID50达到106.00得18分 ； HuN4株所投疫苗成品的 TCID50≥105.00得15分； TCID50≥105.17得16分； TCID50≥105.34得17分； TCID50达到105.50得18分。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所投疫苗成品的TCID50离散度：离散度在±0.2以内的得2分，±0.3以内得1分，有一个批次及以上TCID50不在此范围不得分。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技术指标3</w:t>
            </w:r>
          </w:p>
        </w:tc>
        <w:tc>
          <w:tcPr>
            <w:tcW w:type="dxa" w:w="2492"/>
          </w:tcPr>
          <w:p>
            <w:pPr>
              <w:pStyle w:val="null3"/>
            </w:pPr>
            <w:r>
              <w:rPr>
                <w:rFonts w:ascii="仿宋_GB2312" w:hAnsi="仿宋_GB2312" w:cs="仿宋_GB2312" w:eastAsia="仿宋_GB2312"/>
              </w:rPr>
              <w:t>内毒素支原体检测：提供上述3批内毒素的检验报告的得2分，没有的不得分。内毒素含量＜50EU/ml加1分，＜30EU/ml加2分，＜20EU/ml加3分。批签发报告证明没有支原体污染的得2分，有一批及以上污染不得分。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技术指标4</w:t>
            </w:r>
          </w:p>
        </w:tc>
        <w:tc>
          <w:tcPr>
            <w:tcW w:type="dxa" w:w="2492"/>
          </w:tcPr>
          <w:p>
            <w:pPr>
              <w:pStyle w:val="null3"/>
            </w:pPr>
            <w:r>
              <w:rPr>
                <w:rFonts w:ascii="仿宋_GB2312" w:hAnsi="仿宋_GB2312" w:cs="仿宋_GB2312" w:eastAsia="仿宋_GB2312"/>
              </w:rPr>
              <w:t>胎牛血清使用情况：提供使用进口胎牛血清证明材料（2024年以来的有效进货合同和发票）的得1分；证明使用进口胎牛血清数量能满足生产需要的加1分。没有使用进口胎牛血清证明材料的本项得0分。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技术指标5</w:t>
            </w:r>
          </w:p>
        </w:tc>
        <w:tc>
          <w:tcPr>
            <w:tcW w:type="dxa" w:w="2492"/>
          </w:tcPr>
          <w:p>
            <w:pPr>
              <w:pStyle w:val="null3"/>
            </w:pPr>
            <w:r>
              <w:rPr>
                <w:rFonts w:ascii="仿宋_GB2312" w:hAnsi="仿宋_GB2312" w:cs="仿宋_GB2312" w:eastAsia="仿宋_GB2312"/>
              </w:rPr>
              <w:t>根据投标人的生产能力、生产工艺和生产设备情况赋分：生产工艺、生产设备先进，生产能力保障性全面的得4分；生产工艺、生产设备先进，生产能力保障性较全面的得3.5分；生产工艺、生产设备较先进，生产能力保障性全面的得3分；生产工艺、生产设备较先进，生产能力保障性较好的得2.5分；生产工艺、生产设备较好，生产能力保障性一般的得2分；生产工艺、生产设备一般，生产能力有基本保障的得1.5分；生产工艺、生产设备较差，生产能力欠缺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技术指标6</w:t>
            </w:r>
          </w:p>
        </w:tc>
        <w:tc>
          <w:tcPr>
            <w:tcW w:type="dxa" w:w="2492"/>
          </w:tcPr>
          <w:p>
            <w:pPr>
              <w:pStyle w:val="null3"/>
            </w:pPr>
            <w:r>
              <w:rPr>
                <w:rFonts w:ascii="仿宋_GB2312" w:hAnsi="仿宋_GB2312" w:cs="仿宋_GB2312" w:eastAsia="仿宋_GB2312"/>
              </w:rPr>
              <w:t>节能环保2分：提供所投产品经国家确定的认证机构出具的、处于有效期内的节能产品认证证书得1分、环境标志产品认证证书得1分。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w:t>
            </w:r>
          </w:p>
        </w:tc>
      </w:tr>
      <w:tr>
        <w:tc>
          <w:tcPr>
            <w:tcW w:type="dxa" w:w="831"/>
            <w:vMerge/>
          </w:tcPr>
          <w:p/>
        </w:tc>
        <w:tc>
          <w:tcPr>
            <w:tcW w:type="dxa" w:w="1661"/>
          </w:tcPr>
          <w:p>
            <w:pPr>
              <w:pStyle w:val="null3"/>
            </w:pPr>
            <w:r>
              <w:rPr>
                <w:rFonts w:ascii="仿宋_GB2312" w:hAnsi="仿宋_GB2312" w:cs="仿宋_GB2312" w:eastAsia="仿宋_GB2312"/>
              </w:rPr>
              <w:t>服务及信誉部分1</w:t>
            </w:r>
          </w:p>
        </w:tc>
        <w:tc>
          <w:tcPr>
            <w:tcW w:type="dxa" w:w="2492"/>
          </w:tcPr>
          <w:p>
            <w:pPr>
              <w:pStyle w:val="null3"/>
            </w:pPr>
            <w:r>
              <w:rPr>
                <w:rFonts w:ascii="仿宋_GB2312" w:hAnsi="仿宋_GB2312" w:cs="仿宋_GB2312" w:eastAsia="仿宋_GB2312"/>
              </w:rPr>
              <w:t>产品稳定性、可靠性： 所投标产品稳定性、可靠性强，在陕西省近一年内使用期间免疫无副反应或反应低证明的得4分, 反应比例较低的得3分，一般的2分,反应比例高、死亡率低的得1分，反应比例高、死亡率高的不得分，不能提供证明的不得分； 所投标产品未在陕西省使用过的但能够提供省外市级动物防疫机构相关反应率低或无副反应证明3份以上的得3分，提供2份得2分，提供1份得1分，不能提供证明的不得分； 投标人所投产品为2024年以来新获得产品批准文号（老产品到期续证换证除外）并参加本项目投标的，无疫苗反应证明的，此项得分为所有其他的投标人得分的平均分。 注：投标产品在陕西省内使用发生免疫副反应情况由各投标人向各市级及以上动物防疫机构征求书面反馈意见并附在投标文件中。</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服务及信誉部分2售后服务内容、措施及承诺（1）</w:t>
            </w:r>
          </w:p>
        </w:tc>
        <w:tc>
          <w:tcPr>
            <w:tcW w:type="dxa" w:w="2492"/>
          </w:tcPr>
          <w:p>
            <w:pPr>
              <w:pStyle w:val="null3"/>
            </w:pPr>
            <w:r>
              <w:rPr>
                <w:rFonts w:ascii="仿宋_GB2312" w:hAnsi="仿宋_GB2312" w:cs="仿宋_GB2312" w:eastAsia="仿宋_GB2312"/>
              </w:rPr>
              <w:t>冷藏运输：投标人有较好的售后服务承诺，保障措施完善可行性强，货物冷藏运输（疫苗用专用冷藏车运输不超过72小时或航空运输不超过24小时，且航空运输落地后用冷藏车将疫苗送达收货单位），有全程温控记录设备和数据的得分3分，可行性一般（疫苗用冷藏车运输超过72小时、但不超过96小时或航空运输超过24小时、但不超过48小时的，且航空运输落地后用冷藏车将疫苗送达收货单位），无全程温控记录设备和数据的得2分,可行性差（冷藏车运输超过96小时或航空运输超过48小时，或航空运输落地后未用冷藏车将疫苗送达收货单位）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服务及信誉部分2售后服务内容、措施及承诺（2）</w:t>
            </w:r>
          </w:p>
        </w:tc>
        <w:tc>
          <w:tcPr>
            <w:tcW w:type="dxa" w:w="2492"/>
          </w:tcPr>
          <w:p>
            <w:pPr>
              <w:pStyle w:val="null3"/>
            </w:pPr>
            <w:r>
              <w:rPr>
                <w:rFonts w:ascii="仿宋_GB2312" w:hAnsi="仿宋_GB2312" w:cs="仿宋_GB2312" w:eastAsia="仿宋_GB2312"/>
              </w:rPr>
              <w:t>紧急情况下交货时间：投标人交货期短且保证措施较完善可行，在紧急情况下能在12小时供货到指定地点，得2分；在紧急情况下能在24小时供货到指定地点，得1分；紧急情况供货到指定地点时间超出24小时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服务及信誉部分2售后服务内容、措施及承诺（3）</w:t>
            </w:r>
          </w:p>
        </w:tc>
        <w:tc>
          <w:tcPr>
            <w:tcW w:type="dxa" w:w="2492"/>
          </w:tcPr>
          <w:p>
            <w:pPr>
              <w:pStyle w:val="null3"/>
            </w:pPr>
            <w:r>
              <w:rPr>
                <w:rFonts w:ascii="仿宋_GB2312" w:hAnsi="仿宋_GB2312" w:cs="仿宋_GB2312" w:eastAsia="仿宋_GB2312"/>
              </w:rPr>
              <w:t>投标人其他售后服务内容、措施及承诺：售后方案全面、可行性强，得4分，售后方案全面、可行性较强的计3.5分，售后方案较全面、可行性强的计3分，售后方案较全面、可行性较强的计2分，售后方案片面、可操作性不强的计1分，售后方案差、可操作性不强的计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服务及信誉部分3质量保证及措施（1）</w:t>
            </w:r>
          </w:p>
        </w:tc>
        <w:tc>
          <w:tcPr>
            <w:tcW w:type="dxa" w:w="2492"/>
          </w:tcPr>
          <w:p>
            <w:pPr>
              <w:pStyle w:val="null3"/>
            </w:pPr>
            <w:r>
              <w:rPr>
                <w:rFonts w:ascii="仿宋_GB2312" w:hAnsi="仿宋_GB2312" w:cs="仿宋_GB2312" w:eastAsia="仿宋_GB2312"/>
              </w:rPr>
              <w:t>疫苗效期：投标人疫苗到达采购人指定地点时效期在8个月以上的得2分；疫苗到达采购人指定地点时效期达不到8个月的，不得分。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服务及信誉部分3质量保证及措施（2）</w:t>
            </w:r>
          </w:p>
        </w:tc>
        <w:tc>
          <w:tcPr>
            <w:tcW w:type="dxa" w:w="2492"/>
          </w:tcPr>
          <w:p>
            <w:pPr>
              <w:pStyle w:val="null3"/>
            </w:pPr>
            <w:r>
              <w:rPr>
                <w:rFonts w:ascii="仿宋_GB2312" w:hAnsi="仿宋_GB2312" w:cs="仿宋_GB2312" w:eastAsia="仿宋_GB2312"/>
              </w:rPr>
              <w:t>货物包装：投标人货物包装（附包装材料说明及式样图片）严密、结实、保温性能好、规格统一、方便运输及储存的得2分；包装结实、保温性能好，但货物包装松散且不便运输及储存的得1分，否则不得分。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服务及信誉部分3质量保证及措施（3）</w:t>
            </w:r>
          </w:p>
        </w:tc>
        <w:tc>
          <w:tcPr>
            <w:tcW w:type="dxa" w:w="2492"/>
          </w:tcPr>
          <w:p>
            <w:pPr>
              <w:pStyle w:val="null3"/>
            </w:pPr>
            <w:r>
              <w:rPr>
                <w:rFonts w:ascii="仿宋_GB2312" w:hAnsi="仿宋_GB2312" w:cs="仿宋_GB2312" w:eastAsia="仿宋_GB2312"/>
              </w:rPr>
              <w:t>产品使用、技术保障：投标人在产品使用、技术保障有较好的承诺和保证措施、响应程度全面计2分，投标人在产品使用、技术保障有较好的承诺和保证措施、响应程度全面计1.5分，投标人在产品使用、技术保障的承诺和保证措施一般的计1分，承诺和保证措施差的计0.5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服务及信誉部分4疫苗免疫副反应处置响应时间、措施及承诺（1）</w:t>
            </w:r>
          </w:p>
        </w:tc>
        <w:tc>
          <w:tcPr>
            <w:tcW w:type="dxa" w:w="2492"/>
          </w:tcPr>
          <w:p>
            <w:pPr>
              <w:pStyle w:val="null3"/>
            </w:pPr>
            <w:r>
              <w:rPr>
                <w:rFonts w:ascii="仿宋_GB2312" w:hAnsi="仿宋_GB2312" w:cs="仿宋_GB2312" w:eastAsia="仿宋_GB2312"/>
              </w:rPr>
              <w:t>投标人的响应措施全面可行性强，反应死亡赔偿费及时兑付的，对疫苗免疫严重副反应现场处置响应时间12小时以内的，得3分,超过12小时、在48小时内相应的得2分, 超过48小时、在72小时内相应的得1分,超过72小时响应及无响应的不得分。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服务及信誉部分4疫苗免疫副反应处置响应时间、措施及承诺（2）</w:t>
            </w:r>
          </w:p>
        </w:tc>
        <w:tc>
          <w:tcPr>
            <w:tcW w:type="dxa" w:w="2492"/>
          </w:tcPr>
          <w:p>
            <w:pPr>
              <w:pStyle w:val="null3"/>
            </w:pPr>
            <w:r>
              <w:rPr>
                <w:rFonts w:ascii="仿宋_GB2312" w:hAnsi="仿宋_GB2312" w:cs="仿宋_GB2312" w:eastAsia="仿宋_GB2312"/>
              </w:rPr>
              <w:t>投标人其他疫苗免疫副反应措施及承诺比较。响应措施全面、可行性强的得3分，响应措施较全面、可行性较强的得2分，相应措施简单、可操作性不强的得1分，未提供的不得分。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服务及信誉部分5业绩</w:t>
            </w:r>
          </w:p>
        </w:tc>
        <w:tc>
          <w:tcPr>
            <w:tcW w:type="dxa" w:w="2492"/>
          </w:tcPr>
          <w:p>
            <w:pPr>
              <w:pStyle w:val="null3"/>
            </w:pPr>
            <w:r>
              <w:rPr>
                <w:rFonts w:ascii="仿宋_GB2312" w:hAnsi="仿宋_GB2312" w:cs="仿宋_GB2312" w:eastAsia="仿宋_GB2312"/>
              </w:rPr>
              <w:t>业绩：猪高致病蓝耳病疫苗3个及3个以上省份，得4分；2个省份，得3分；1个省份，得2分，未提供不得分。投标人所投产品为2024年以来新获得产品批准文号（老产品到期续证换证除外）并参加本项目投标的，无业绩证明，此项得分为所有其他的投标人得分的平均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服务及信誉部分</w:t>
            </w:r>
          </w:p>
        </w:tc>
      </w:tr>
      <w:tr>
        <w:tc>
          <w:tcPr>
            <w:tcW w:type="dxa" w:w="831"/>
            <w:vMerge/>
          </w:tcPr>
          <w:p/>
        </w:tc>
        <w:tc>
          <w:tcPr>
            <w:tcW w:type="dxa" w:w="1661"/>
          </w:tcPr>
          <w:p>
            <w:pPr>
              <w:pStyle w:val="null3"/>
            </w:pPr>
            <w:r>
              <w:rPr>
                <w:rFonts w:ascii="仿宋_GB2312" w:hAnsi="仿宋_GB2312" w:cs="仿宋_GB2312" w:eastAsia="仿宋_GB2312"/>
              </w:rPr>
              <w:t>服务及信誉部分6信誉</w:t>
            </w:r>
          </w:p>
        </w:tc>
        <w:tc>
          <w:tcPr>
            <w:tcW w:type="dxa" w:w="2492"/>
          </w:tcPr>
          <w:p>
            <w:pPr>
              <w:pStyle w:val="null3"/>
            </w:pPr>
            <w:r>
              <w:rPr>
                <w:rFonts w:ascii="仿宋_GB2312" w:hAnsi="仿宋_GB2312" w:cs="仿宋_GB2312" w:eastAsia="仿宋_GB2312"/>
              </w:rPr>
              <w:t>（一）所投标产品在国内除陕西省外其他省区用户评价意见满意且信誉好的得3分，较好的得2分，一般的得1分，其他省区无评价意见或不满意的不得分。（二）所投标产品近一年内在陕西省内用户评价意见满意且信誉好的得3分，较好的得2分，一般的得1分，陕西省内无评价意见或不满意的不得分。 投标人所投产品为2024年以来新获得产品批准文号（老产品到期续证换证除外）并参加本项目投标的，无用户评价的，此项得分为所有其他的投标人得分的平均分。 投标人同类产品使用、经营环节一个批次被农业农村部抽检为不合格的，扣5分，每增加一个批次扣0.5分，信誉分扣完为止。注：国内用户评价意见等复印件应附在投标文件中。陕西省内用户评价意见由投标人向各市级及以上动物防疫机构征求书面意见附在投标文件中。企业同类产品使用环节被农业农村部抽检为不合格的以2024年以来农业农村部文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服务及信誉部分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详见附件：服务及信誉部分.docx</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详见附件：节能环保、环境标志产品明细表（格式，若有）</w:t>
      </w:r>
    </w:p>
    <w:p>
      <w:pPr>
        <w:pStyle w:val="null3"/>
        <w:ind w:firstLine="960"/>
      </w:pPr>
      <w:r>
        <w:rPr>
          <w:rFonts w:ascii="仿宋_GB2312" w:hAnsi="仿宋_GB2312" w:cs="仿宋_GB2312" w:eastAsia="仿宋_GB2312"/>
        </w:rPr>
        <w:t>详见附件：技术规格响应偏离表</w:t>
      </w:r>
    </w:p>
    <w:p>
      <w:pPr>
        <w:pStyle w:val="null3"/>
        <w:ind w:firstLine="960"/>
      </w:pPr>
      <w:r>
        <w:rPr>
          <w:rFonts w:ascii="仿宋_GB2312" w:hAnsi="仿宋_GB2312" w:cs="仿宋_GB2312" w:eastAsia="仿宋_GB2312"/>
        </w:rPr>
        <w:t>详见附件：技术指标中须提供的产品佐证材料</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详见附件：技术指标</w:t>
      </w:r>
    </w:p>
    <w:p>
      <w:pPr>
        <w:pStyle w:val="null3"/>
        <w:ind w:firstLine="960"/>
      </w:pPr>
      <w:r>
        <w:rPr>
          <w:rFonts w:ascii="仿宋_GB2312" w:hAnsi="仿宋_GB2312" w:cs="仿宋_GB2312" w:eastAsia="仿宋_GB2312"/>
        </w:rPr>
        <w:t>详见附件：服务及信誉部分</w:t>
      </w:r>
    </w:p>
    <w:p>
      <w:pPr>
        <w:pStyle w:val="null3"/>
        <w:ind w:firstLine="960"/>
      </w:pPr>
      <w:r>
        <w:rPr>
          <w:rFonts w:ascii="仿宋_GB2312" w:hAnsi="仿宋_GB2312" w:cs="仿宋_GB2312" w:eastAsia="仿宋_GB2312"/>
        </w:rPr>
        <w:t>详见附件：投标人认为有必要补充说明的事宜（若有</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