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版本号：ZCBN-2025-0006320250219001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陕西省统一通知消息平台建设项目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ZCBN-2025-00063</w:t>
      </w:r>
      <w:r>
        <w:br/>
      </w:r>
      <w:r>
        <w:br/>
      </w:r>
      <w:r>
        <w:br/>
      </w:r>
    </w:p>
    <w:p>
      <w:pPr>
        <w:pStyle w:val="null3"/>
        <w:jc w:val="center"/>
        <w:outlineLvl w:val="2"/>
      </w:pPr>
      <w:r>
        <w:rPr>
          <w:rFonts w:ascii="仿宋_GB2312" w:hAnsi="仿宋_GB2312" w:cs="仿宋_GB2312" w:eastAsia="仿宋_GB2312"/>
          <w:sz w:val="28"/>
          <w:b/>
        </w:rPr>
        <w:t>陕西省数据和政务服务局</w:t>
      </w:r>
    </w:p>
    <w:p>
      <w:pPr>
        <w:pStyle w:val="null3"/>
        <w:jc w:val="center"/>
        <w:outlineLvl w:val="2"/>
      </w:pPr>
      <w:r>
        <w:rPr>
          <w:rFonts w:ascii="仿宋_GB2312" w:hAnsi="仿宋_GB2312" w:cs="仿宋_GB2312" w:eastAsia="仿宋_GB2312"/>
          <w:sz w:val="28"/>
          <w:b/>
        </w:rPr>
        <w:t>陕西教育招标有限责任公司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陕西教育招标有限责任公司</w:t>
      </w:r>
      <w:r>
        <w:rPr>
          <w:rFonts w:ascii="仿宋_GB2312" w:hAnsi="仿宋_GB2312" w:cs="仿宋_GB2312" w:eastAsia="仿宋_GB2312"/>
        </w:rPr>
        <w:t>（以下简称“代理机构”）受</w:t>
      </w:r>
      <w:r>
        <w:rPr>
          <w:rFonts w:ascii="仿宋_GB2312" w:hAnsi="仿宋_GB2312" w:cs="仿宋_GB2312" w:eastAsia="仿宋_GB2312"/>
        </w:rPr>
        <w:t>陕西省数据和政务服务局</w:t>
      </w:r>
      <w:r>
        <w:rPr>
          <w:rFonts w:ascii="仿宋_GB2312" w:hAnsi="仿宋_GB2312" w:cs="仿宋_GB2312" w:eastAsia="仿宋_GB2312"/>
        </w:rPr>
        <w:t>委托，拟对</w:t>
      </w:r>
      <w:r>
        <w:rPr>
          <w:rFonts w:ascii="仿宋_GB2312" w:hAnsi="仿宋_GB2312" w:cs="仿宋_GB2312" w:eastAsia="仿宋_GB2312"/>
        </w:rPr>
        <w:t>陕西省统一通知消息平台建设项目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ZCBN-2025-00063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陕西省统一通知消息平台建设项目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建设统一通知消息平台，满足多种能力，包括融合发送能力、统一消息接口、全渠道消息记录、统一管理管控能力等，开发首页、发送中心、业务中心、消息记录中心、统计分析、管控中心、审核中心、计费中心、通讯中心、资料管理、系统管理等功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采购包1（陕西省统一通知消息平台建设项目）：属于专门面向中小企业采购。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2、法人授权书 （证明书）：法定代表人参加磋商时，提供法定代表人证明书；授权代表参加磋商时，提供法定代表人授权书；非法人单位参照执行。</w:t>
      </w:r>
    </w:p>
    <w:p>
      <w:pPr>
        <w:pStyle w:val="null3"/>
      </w:pPr>
      <w:r>
        <w:rPr>
          <w:rFonts w:ascii="仿宋_GB2312" w:hAnsi="仿宋_GB2312" w:cs="仿宋_GB2312" w:eastAsia="仿宋_GB2312"/>
        </w:rPr>
        <w:t>3、财务状况报告：法人提供经审计的2023年度或2024年度的财务报告或提交响应文件递交截止时间前一年内银行出具的资信证明；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4、税收缴纳证明：提供响应文件提交截止时间前一年内至少一个月已缴纳的纳税凭据或完税证明，依法免税的供应商应提供相关文件证明。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响应文件截止时间前一年内已缴存的至少一个月的社会保障资金缴存单据，或社保机构出具的社会保险参保缴费情况证明，依法不需要缴纳社会保障资金的单位应提供相关证明材料。</w:t>
      </w:r>
    </w:p>
    <w:p>
      <w:pPr>
        <w:pStyle w:val="null3"/>
      </w:pPr>
      <w:r>
        <w:rPr>
          <w:rFonts w:ascii="仿宋_GB2312" w:hAnsi="仿宋_GB2312" w:cs="仿宋_GB2312" w:eastAsia="仿宋_GB2312"/>
        </w:rPr>
        <w:t>6、设备和专业技术能力承诺：提供具有履行本合同所必需的设备和专业技术能力的承诺。</w:t>
      </w:r>
    </w:p>
    <w:p>
      <w:pPr>
        <w:pStyle w:val="null3"/>
      </w:pPr>
      <w:r>
        <w:rPr>
          <w:rFonts w:ascii="仿宋_GB2312" w:hAnsi="仿宋_GB2312" w:cs="仿宋_GB2312" w:eastAsia="仿宋_GB2312"/>
        </w:rPr>
        <w:t>7、没有重大违法记录的书面声明：提供参加政府采购活动前三年内在经营活动中没有重大违法记录的书面声明。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陕西省数据和政务服务局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陕西省西安市新城区新城大院45号楼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029-63919566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陕西教育招标有限责任公司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西安市太白南路181号西部电子社区A座B区401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王力 程钰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029-88224929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采购包1：1,757,900.00元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开户名称：陕西教育招标有限责任公司</w:t>
            </w:r>
          </w:p>
          <w:p>
            <w:pPr>
              <w:pStyle w:val="null3"/>
            </w:pPr>
            <w:r>
              <w:rPr>
                <w:rFonts w:ascii="仿宋_GB2312" w:hAnsi="仿宋_GB2312" w:cs="仿宋_GB2312" w:eastAsia="仿宋_GB2312"/>
              </w:rPr>
              <w:t>开户银行：浙商银行西安长安路支行</w:t>
            </w:r>
          </w:p>
          <w:p>
            <w:pPr>
              <w:pStyle w:val="null3"/>
            </w:pPr>
            <w:r>
              <w:rPr>
                <w:rFonts w:ascii="仿宋_GB2312" w:hAnsi="仿宋_GB2312" w:cs="仿宋_GB2312" w:eastAsia="仿宋_GB2312"/>
              </w:rPr>
              <w:t>银行账号：7910000410120100071552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采购人在结果公告发布后，按照原国家计委《招标代理服务收费管理暂行办法》(计价格〔2002〕1980号)及发改办价格[2003]857号文件规定的收费标准向陕西教育招标有限责任公司支付招标代理服务费。 服务费交纳账户： 开户行：中国光大银行陕西自贸试验区西安唐延路支行； 开户名称：陕西教育招标有限责任公司；银行行号：303791000136；开户账号：78580188000058925；财务电话：029-88224928。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陕西省数据和政务服务局</w:t>
      </w:r>
      <w:r>
        <w:rPr>
          <w:rFonts w:ascii="仿宋_GB2312" w:hAnsi="仿宋_GB2312" w:cs="仿宋_GB2312" w:eastAsia="仿宋_GB2312"/>
        </w:rPr>
        <w:t>和</w:t>
      </w:r>
      <w:r>
        <w:rPr>
          <w:rFonts w:ascii="仿宋_GB2312" w:hAnsi="仿宋_GB2312" w:cs="仿宋_GB2312" w:eastAsia="仿宋_GB2312"/>
        </w:rPr>
        <w:t>陕西教育招标有限责任公司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陕西省数据和政务服务局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陕西教育招标有限责任公司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陕西省数据和政务服务局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陕西教育招标有限责任公司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（1）具体详见“技术参数与性能指标”（2）验收依据：合同文本、国家有关的验收标准及规范、磋商文件、响应文件。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联系人：王力</w:t>
      </w:r>
    </w:p>
    <w:p>
      <w:pPr>
        <w:pStyle w:val="null3"/>
      </w:pPr>
      <w:r>
        <w:rPr>
          <w:rFonts w:ascii="仿宋_GB2312" w:hAnsi="仿宋_GB2312" w:cs="仿宋_GB2312" w:eastAsia="仿宋_GB2312"/>
        </w:rPr>
        <w:t>联系电话：029-88224929</w:t>
      </w:r>
    </w:p>
    <w:p>
      <w:pPr>
        <w:pStyle w:val="null3"/>
      </w:pPr>
      <w:r>
        <w:rPr>
          <w:rFonts w:ascii="仿宋_GB2312" w:hAnsi="仿宋_GB2312" w:cs="仿宋_GB2312" w:eastAsia="仿宋_GB2312"/>
        </w:rPr>
        <w:t>地址：西安市太白南路181号西部电子社区A座B区401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建设统一通知消息平台，满足多种能力，包括融合发送能力、统一消息接口、全渠道消息记录、统一管理管控能力等，开发首页、发送中心、业务中心、消息记录中心、统计分析、管控中心、审核中心、计费中心、通讯中心、资料管理、系统管理等功能。</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1,757,900.00</w:t>
      </w:r>
    </w:p>
    <w:p>
      <w:pPr>
        <w:pStyle w:val="null3"/>
      </w:pPr>
      <w:r>
        <w:rPr>
          <w:rFonts w:ascii="仿宋_GB2312" w:hAnsi="仿宋_GB2312" w:cs="仿宋_GB2312" w:eastAsia="仿宋_GB2312"/>
        </w:rPr>
        <w:t>采购包最高限价（元）: 1,757,900.00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平台运营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1,757,900.00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标的名称：平台运营</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outlineLvl w:val="0"/>
            </w:pPr>
            <w:r>
              <w:rPr>
                <w:rFonts w:ascii="仿宋_GB2312" w:hAnsi="仿宋_GB2312" w:cs="仿宋_GB2312" w:eastAsia="仿宋_GB2312"/>
                <w:sz w:val="21"/>
                <w:b/>
                <w:color w:val="4874CB"/>
              </w:rPr>
              <w:t>一、</w:t>
            </w:r>
            <w:r>
              <w:rPr>
                <w:rFonts w:ascii="仿宋_GB2312" w:hAnsi="仿宋_GB2312" w:cs="仿宋_GB2312" w:eastAsia="仿宋_GB2312"/>
                <w:sz w:val="21"/>
                <w:b/>
                <w:color w:val="4874CB"/>
              </w:rPr>
              <w:t>采购项目名称</w:t>
            </w:r>
          </w:p>
          <w:p>
            <w:pPr>
              <w:pStyle w:val="null3"/>
              <w:ind w:firstLine="420"/>
              <w:jc w:val="both"/>
            </w:pPr>
            <w:r>
              <w:rPr>
                <w:rFonts w:ascii="仿宋_GB2312" w:hAnsi="仿宋_GB2312" w:cs="仿宋_GB2312" w:eastAsia="仿宋_GB2312"/>
                <w:sz w:val="21"/>
                <w:color w:val="4874CB"/>
              </w:rPr>
              <w:t>陕西省</w:t>
            </w:r>
            <w:r>
              <w:rPr>
                <w:rFonts w:ascii="仿宋_GB2312" w:hAnsi="仿宋_GB2312" w:cs="仿宋_GB2312" w:eastAsia="仿宋_GB2312"/>
                <w:sz w:val="21"/>
                <w:color w:val="4874CB"/>
              </w:rPr>
              <w:t>统一</w:t>
            </w:r>
            <w:r>
              <w:rPr>
                <w:rFonts w:ascii="仿宋_GB2312" w:hAnsi="仿宋_GB2312" w:cs="仿宋_GB2312" w:eastAsia="仿宋_GB2312"/>
                <w:sz w:val="21"/>
                <w:color w:val="4874CB"/>
              </w:rPr>
              <w:t>通知</w:t>
            </w:r>
            <w:r>
              <w:rPr>
                <w:rFonts w:ascii="仿宋_GB2312" w:hAnsi="仿宋_GB2312" w:cs="仿宋_GB2312" w:eastAsia="仿宋_GB2312"/>
                <w:sz w:val="21"/>
                <w:color w:val="4874CB"/>
              </w:rPr>
              <w:t>消息平台</w:t>
            </w:r>
            <w:r>
              <w:rPr>
                <w:rFonts w:ascii="仿宋_GB2312" w:hAnsi="仿宋_GB2312" w:cs="仿宋_GB2312" w:eastAsia="仿宋_GB2312"/>
                <w:sz w:val="21"/>
                <w:color w:val="4874CB"/>
              </w:rPr>
              <w:t>建设</w:t>
            </w:r>
            <w:r>
              <w:rPr>
                <w:rFonts w:ascii="仿宋_GB2312" w:hAnsi="仿宋_GB2312" w:cs="仿宋_GB2312" w:eastAsia="仿宋_GB2312"/>
                <w:sz w:val="21"/>
                <w:color w:val="4874CB"/>
              </w:rPr>
              <w:t>项目</w:t>
            </w:r>
          </w:p>
          <w:p>
            <w:pPr>
              <w:pStyle w:val="null3"/>
              <w:jc w:val="both"/>
              <w:outlineLvl w:val="0"/>
            </w:pPr>
            <w:r>
              <w:rPr>
                <w:rFonts w:ascii="仿宋_GB2312" w:hAnsi="仿宋_GB2312" w:cs="仿宋_GB2312" w:eastAsia="仿宋_GB2312"/>
                <w:sz w:val="21"/>
                <w:b/>
                <w:color w:val="4874CB"/>
              </w:rPr>
              <w:t>二、</w:t>
            </w:r>
            <w:r>
              <w:rPr>
                <w:rFonts w:ascii="仿宋_GB2312" w:hAnsi="仿宋_GB2312" w:cs="仿宋_GB2312" w:eastAsia="仿宋_GB2312"/>
                <w:sz w:val="21"/>
                <w:b/>
                <w:color w:val="4874CB"/>
              </w:rPr>
              <w:t>采购项目概况</w:t>
            </w:r>
          </w:p>
          <w:p>
            <w:pPr>
              <w:pStyle w:val="null3"/>
              <w:jc w:val="both"/>
              <w:outlineLvl w:val="1"/>
            </w:pPr>
            <w:r>
              <w:rPr>
                <w:rFonts w:ascii="仿宋_GB2312" w:hAnsi="仿宋_GB2312" w:cs="仿宋_GB2312" w:eastAsia="仿宋_GB2312"/>
                <w:sz w:val="21"/>
                <w:b/>
                <w:color w:val="4874CB"/>
              </w:rPr>
              <w:t>2.1 项目背景</w:t>
            </w:r>
          </w:p>
          <w:p>
            <w:pPr>
              <w:pStyle w:val="null3"/>
              <w:ind w:firstLine="420"/>
              <w:jc w:val="both"/>
            </w:pPr>
            <w:r>
              <w:rPr>
                <w:rFonts w:ascii="仿宋_GB2312" w:hAnsi="仿宋_GB2312" w:cs="仿宋_GB2312" w:eastAsia="仿宋_GB2312"/>
                <w:sz w:val="21"/>
                <w:color w:val="4874CB"/>
              </w:rPr>
              <w:t>为贯彻落实《陕西省数字政府建设</w:t>
            </w:r>
            <w:r>
              <w:rPr>
                <w:rFonts w:ascii="仿宋_GB2312" w:hAnsi="仿宋_GB2312" w:cs="仿宋_GB2312" w:eastAsia="仿宋_GB2312"/>
                <w:sz w:val="21"/>
                <w:color w:val="4874CB"/>
              </w:rPr>
              <w:t>“十四五”规划》（陕政办发〔2021〕27号）相关要求，按照“以用促建、共建共享”原则，加强重点共性应用支撑能力，推进数字化共性应用集约建设，整合构建结构合理、智能集约的平台支撑体系，特规划“陕西省统一通知消息平台建设项目”。</w:t>
            </w:r>
          </w:p>
          <w:p>
            <w:pPr>
              <w:pStyle w:val="null3"/>
              <w:ind w:firstLine="420"/>
              <w:jc w:val="both"/>
            </w:pPr>
            <w:r>
              <w:rPr>
                <w:rFonts w:ascii="仿宋_GB2312" w:hAnsi="仿宋_GB2312" w:cs="仿宋_GB2312" w:eastAsia="仿宋_GB2312"/>
                <w:sz w:val="21"/>
                <w:color w:val="4874CB"/>
              </w:rPr>
              <w:t>通过前期调研，根据目前公共支撑能力现状，按照</w:t>
            </w:r>
            <w:r>
              <w:rPr>
                <w:rFonts w:ascii="仿宋_GB2312" w:hAnsi="仿宋_GB2312" w:cs="仿宋_GB2312" w:eastAsia="仿宋_GB2312"/>
                <w:sz w:val="21"/>
                <w:color w:val="4874CB"/>
              </w:rPr>
              <w:t>“急用先行”“共建共享”的原则，结合我省实际，推进陕西省统一通知消息平台建设项目建设。</w:t>
            </w:r>
          </w:p>
          <w:p>
            <w:pPr>
              <w:pStyle w:val="null3"/>
              <w:jc w:val="both"/>
              <w:outlineLvl w:val="1"/>
            </w:pPr>
            <w:r>
              <w:rPr>
                <w:rFonts w:ascii="仿宋_GB2312" w:hAnsi="仿宋_GB2312" w:cs="仿宋_GB2312" w:eastAsia="仿宋_GB2312"/>
                <w:sz w:val="21"/>
                <w:b/>
                <w:color w:val="4874CB"/>
              </w:rPr>
              <w:t>2.2 项目目标</w:t>
            </w:r>
          </w:p>
          <w:p>
            <w:pPr>
              <w:pStyle w:val="null3"/>
              <w:ind w:firstLine="420"/>
              <w:jc w:val="both"/>
            </w:pPr>
            <w:r>
              <w:rPr>
                <w:rFonts w:ascii="仿宋_GB2312" w:hAnsi="仿宋_GB2312" w:cs="仿宋_GB2312" w:eastAsia="仿宋_GB2312"/>
                <w:sz w:val="21"/>
                <w:color w:val="4874CB"/>
              </w:rPr>
              <w:t>落实《陕西省数字政府建设</w:t>
            </w:r>
            <w:r>
              <w:rPr>
                <w:rFonts w:ascii="仿宋_GB2312" w:hAnsi="仿宋_GB2312" w:cs="仿宋_GB2312" w:eastAsia="仿宋_GB2312"/>
                <w:sz w:val="21"/>
                <w:color w:val="4874CB"/>
              </w:rPr>
              <w:t>“十四五”规划》要求，完善数字政府建设公共支撑体系，打造全省数字化转型统一底座，确保数字政府建设重大决策部署贯彻落实，加快推进政务消息集约化运营管理，推动完善集约高效的消息通知体系，为数字政府建设提供有力保障。</w:t>
            </w:r>
          </w:p>
          <w:p>
            <w:pPr>
              <w:pStyle w:val="null3"/>
              <w:ind w:firstLine="420"/>
              <w:jc w:val="both"/>
            </w:pPr>
            <w:r>
              <w:rPr>
                <w:rFonts w:ascii="仿宋_GB2312" w:hAnsi="仿宋_GB2312" w:cs="仿宋_GB2312" w:eastAsia="仿宋_GB2312"/>
                <w:sz w:val="21"/>
                <w:color w:val="4874CB"/>
              </w:rPr>
              <w:t>通过建设本项目满足多渠道推送需求，实现短信、邮件、微信、</w:t>
            </w:r>
            <w:r>
              <w:rPr>
                <w:rFonts w:ascii="仿宋_GB2312" w:hAnsi="仿宋_GB2312" w:cs="仿宋_GB2312" w:eastAsia="仿宋_GB2312"/>
                <w:sz w:val="21"/>
                <w:color w:val="4874CB"/>
              </w:rPr>
              <w:t>APP等多渠道融合消息发送，统一管理各业务系统的微信公众号的消息发送，协助统筹消息发送渠道。</w:t>
            </w:r>
          </w:p>
          <w:p>
            <w:pPr>
              <w:pStyle w:val="null3"/>
              <w:ind w:firstLine="420"/>
              <w:jc w:val="both"/>
            </w:pPr>
            <w:r>
              <w:rPr>
                <w:rFonts w:ascii="仿宋_GB2312" w:hAnsi="仿宋_GB2312" w:cs="仿宋_GB2312" w:eastAsia="仿宋_GB2312"/>
                <w:sz w:val="21"/>
                <w:color w:val="4874CB"/>
              </w:rPr>
              <w:t>建设统一通知消息平台，对接秦务员、秦政通，支撑省、市、县三级超过</w:t>
            </w:r>
            <w:r>
              <w:rPr>
                <w:rFonts w:ascii="仿宋_GB2312" w:hAnsi="仿宋_GB2312" w:cs="仿宋_GB2312" w:eastAsia="仿宋_GB2312"/>
                <w:sz w:val="21"/>
                <w:color w:val="4874CB"/>
              </w:rPr>
              <w:t>3000万人的消息发送，弥补现有单一短信通知渠道的局限性，实现多渠道消息一站发送，多账号一站运营，解决信息跨平台碎片化管理投入大，响应慢，管控难问题。</w:t>
            </w:r>
          </w:p>
          <w:p>
            <w:pPr>
              <w:pStyle w:val="null3"/>
              <w:jc w:val="both"/>
              <w:outlineLvl w:val="1"/>
            </w:pPr>
            <w:r>
              <w:rPr>
                <w:rFonts w:ascii="仿宋_GB2312" w:hAnsi="仿宋_GB2312" w:cs="仿宋_GB2312" w:eastAsia="仿宋_GB2312"/>
                <w:sz w:val="21"/>
                <w:b/>
                <w:color w:val="4874CB"/>
              </w:rPr>
              <w:t>2.3 建设内容</w:t>
            </w:r>
          </w:p>
          <w:p>
            <w:pPr>
              <w:pStyle w:val="null3"/>
              <w:ind w:firstLine="420"/>
              <w:jc w:val="both"/>
            </w:pPr>
            <w:r>
              <w:rPr>
                <w:rFonts w:ascii="仿宋_GB2312" w:hAnsi="仿宋_GB2312" w:cs="仿宋_GB2312" w:eastAsia="仿宋_GB2312"/>
                <w:sz w:val="21"/>
                <w:color w:val="4874CB"/>
              </w:rPr>
              <w:t>本项目主要建设内容包括：</w:t>
            </w:r>
          </w:p>
          <w:p>
            <w:pPr>
              <w:pStyle w:val="null3"/>
              <w:ind w:firstLine="420"/>
              <w:jc w:val="both"/>
            </w:pPr>
            <w:r>
              <w:rPr>
                <w:rFonts w:ascii="仿宋_GB2312" w:hAnsi="仿宋_GB2312" w:cs="仿宋_GB2312" w:eastAsia="仿宋_GB2312"/>
                <w:sz w:val="21"/>
                <w:color w:val="4874CB"/>
              </w:rPr>
              <w:t>1.</w:t>
            </w:r>
            <w:r>
              <w:rPr>
                <w:rFonts w:ascii="仿宋_GB2312" w:hAnsi="仿宋_GB2312" w:cs="仿宋_GB2312" w:eastAsia="仿宋_GB2312"/>
                <w:sz w:val="21"/>
                <w:color w:val="4874CB"/>
              </w:rPr>
              <w:t>统一通知消息平台：</w:t>
            </w:r>
          </w:p>
          <w:p>
            <w:pPr>
              <w:pStyle w:val="null3"/>
              <w:ind w:firstLine="420"/>
              <w:jc w:val="both"/>
            </w:pPr>
            <w:r>
              <w:rPr>
                <w:rFonts w:ascii="仿宋_GB2312" w:hAnsi="仿宋_GB2312" w:cs="仿宋_GB2312" w:eastAsia="仿宋_GB2312"/>
                <w:sz w:val="21"/>
                <w:color w:val="4874CB"/>
              </w:rPr>
              <w:t>通过建设</w:t>
            </w:r>
            <w:r>
              <w:rPr>
                <w:rFonts w:ascii="仿宋_GB2312" w:hAnsi="仿宋_GB2312" w:cs="仿宋_GB2312" w:eastAsia="仿宋_GB2312"/>
                <w:sz w:val="21"/>
                <w:color w:val="4874CB"/>
              </w:rPr>
              <w:t>统一通知消息平台</w:t>
            </w:r>
            <w:r>
              <w:rPr>
                <w:rFonts w:ascii="仿宋_GB2312" w:hAnsi="仿宋_GB2312" w:cs="仿宋_GB2312" w:eastAsia="仿宋_GB2312"/>
                <w:sz w:val="21"/>
                <w:color w:val="4874CB"/>
              </w:rPr>
              <w:t>，</w:t>
            </w:r>
            <w:r>
              <w:rPr>
                <w:rFonts w:ascii="仿宋_GB2312" w:hAnsi="仿宋_GB2312" w:cs="仿宋_GB2312" w:eastAsia="仿宋_GB2312"/>
                <w:sz w:val="21"/>
                <w:color w:val="4874CB"/>
              </w:rPr>
              <w:t>满足多种能力，包括</w:t>
            </w:r>
            <w:r>
              <w:rPr>
                <w:rFonts w:ascii="仿宋_GB2312" w:hAnsi="仿宋_GB2312" w:cs="仿宋_GB2312" w:eastAsia="仿宋_GB2312"/>
                <w:sz w:val="21"/>
                <w:color w:val="4874CB"/>
              </w:rPr>
              <w:t>融合发送能力、统一消息接口、</w:t>
            </w:r>
            <w:r>
              <w:rPr>
                <w:rFonts w:ascii="仿宋_GB2312" w:hAnsi="仿宋_GB2312" w:cs="仿宋_GB2312" w:eastAsia="仿宋_GB2312"/>
                <w:sz w:val="21"/>
                <w:color w:val="4874CB"/>
              </w:rPr>
              <w:t>全渠道</w:t>
            </w:r>
            <w:r>
              <w:rPr>
                <w:rFonts w:ascii="仿宋_GB2312" w:hAnsi="仿宋_GB2312" w:cs="仿宋_GB2312" w:eastAsia="仿宋_GB2312"/>
                <w:sz w:val="21"/>
                <w:color w:val="4874CB"/>
              </w:rPr>
              <w:t>消息记录</w:t>
            </w:r>
            <w:r>
              <w:rPr>
                <w:rFonts w:ascii="仿宋_GB2312" w:hAnsi="仿宋_GB2312" w:cs="仿宋_GB2312" w:eastAsia="仿宋_GB2312"/>
                <w:sz w:val="21"/>
                <w:color w:val="4874CB"/>
              </w:rPr>
              <w:t>、</w:t>
            </w:r>
            <w:r>
              <w:rPr>
                <w:rFonts w:ascii="仿宋_GB2312" w:hAnsi="仿宋_GB2312" w:cs="仿宋_GB2312" w:eastAsia="仿宋_GB2312"/>
                <w:sz w:val="21"/>
                <w:color w:val="4874CB"/>
              </w:rPr>
              <w:t>统一管理管控能力等，开发首页、发送中心、</w:t>
            </w:r>
            <w:r>
              <w:rPr>
                <w:rFonts w:ascii="仿宋_GB2312" w:hAnsi="仿宋_GB2312" w:cs="仿宋_GB2312" w:eastAsia="仿宋_GB2312"/>
                <w:sz w:val="21"/>
                <w:color w:val="4874CB"/>
              </w:rPr>
              <w:t>业务中心、</w:t>
            </w:r>
            <w:r>
              <w:rPr>
                <w:rFonts w:ascii="仿宋_GB2312" w:hAnsi="仿宋_GB2312" w:cs="仿宋_GB2312" w:eastAsia="仿宋_GB2312"/>
                <w:sz w:val="21"/>
                <w:color w:val="4874CB"/>
              </w:rPr>
              <w:t>消息记录中心、</w:t>
            </w:r>
            <w:r>
              <w:rPr>
                <w:rFonts w:ascii="仿宋_GB2312" w:hAnsi="仿宋_GB2312" w:cs="仿宋_GB2312" w:eastAsia="仿宋_GB2312"/>
                <w:sz w:val="21"/>
                <w:color w:val="4874CB"/>
              </w:rPr>
              <w:t>统计分析、管控中心、审核中心、计费中心、通讯中心、资料管理、系统管理等功能</w:t>
            </w:r>
            <w:r>
              <w:rPr>
                <w:rFonts w:ascii="仿宋_GB2312" w:hAnsi="仿宋_GB2312" w:cs="仿宋_GB2312" w:eastAsia="仿宋_GB2312"/>
                <w:sz w:val="21"/>
                <w:color w:val="4874CB"/>
              </w:rPr>
              <w:t>。</w:t>
            </w:r>
          </w:p>
          <w:p>
            <w:pPr>
              <w:pStyle w:val="null3"/>
              <w:ind w:firstLine="420"/>
              <w:jc w:val="both"/>
            </w:pPr>
            <w:r>
              <w:rPr>
                <w:rFonts w:ascii="仿宋_GB2312" w:hAnsi="仿宋_GB2312" w:cs="仿宋_GB2312" w:eastAsia="仿宋_GB2312"/>
                <w:sz w:val="21"/>
                <w:color w:val="4874CB"/>
              </w:rPr>
              <w:t>2.</w:t>
            </w:r>
            <w:r>
              <w:rPr>
                <w:rFonts w:ascii="仿宋_GB2312" w:hAnsi="仿宋_GB2312" w:cs="仿宋_GB2312" w:eastAsia="仿宋_GB2312"/>
                <w:sz w:val="21"/>
                <w:color w:val="4874CB"/>
              </w:rPr>
              <w:t>系统对接：</w:t>
            </w:r>
          </w:p>
          <w:p>
            <w:pPr>
              <w:pStyle w:val="null3"/>
              <w:ind w:firstLine="420"/>
              <w:jc w:val="both"/>
            </w:pPr>
            <w:r>
              <w:rPr>
                <w:rFonts w:ascii="仿宋_GB2312" w:hAnsi="仿宋_GB2312" w:cs="仿宋_GB2312" w:eastAsia="仿宋_GB2312"/>
                <w:sz w:val="21"/>
                <w:color w:val="4874CB"/>
              </w:rPr>
              <w:t>（</w:t>
            </w:r>
            <w:r>
              <w:rPr>
                <w:rFonts w:ascii="仿宋_GB2312" w:hAnsi="仿宋_GB2312" w:cs="仿宋_GB2312" w:eastAsia="仿宋_GB2312"/>
                <w:sz w:val="21"/>
                <w:color w:val="4874CB"/>
              </w:rPr>
              <w:t>1）</w:t>
            </w:r>
            <w:r>
              <w:rPr>
                <w:rFonts w:ascii="仿宋_GB2312" w:hAnsi="仿宋_GB2312" w:cs="仿宋_GB2312" w:eastAsia="仿宋_GB2312"/>
                <w:sz w:val="21"/>
                <w:color w:val="4874CB"/>
              </w:rPr>
              <w:t>系统功能开发完成后，将统一通知消息平台部署于信创云平台，完成与秦务员、秦政通对接；</w:t>
            </w:r>
          </w:p>
          <w:p>
            <w:pPr>
              <w:pStyle w:val="null3"/>
              <w:ind w:firstLine="420"/>
              <w:jc w:val="both"/>
            </w:pPr>
            <w:r>
              <w:rPr>
                <w:rFonts w:ascii="仿宋_GB2312" w:hAnsi="仿宋_GB2312" w:cs="仿宋_GB2312" w:eastAsia="仿宋_GB2312"/>
                <w:sz w:val="21"/>
                <w:color w:val="4874CB"/>
              </w:rPr>
              <w:t>（</w:t>
            </w:r>
            <w:r>
              <w:rPr>
                <w:rFonts w:ascii="仿宋_GB2312" w:hAnsi="仿宋_GB2312" w:cs="仿宋_GB2312" w:eastAsia="仿宋_GB2312"/>
                <w:sz w:val="21"/>
                <w:color w:val="4874CB"/>
              </w:rPr>
              <w:t>2）</w:t>
            </w:r>
            <w:r>
              <w:rPr>
                <w:rFonts w:ascii="仿宋_GB2312" w:hAnsi="仿宋_GB2312" w:cs="仿宋_GB2312" w:eastAsia="仿宋_GB2312"/>
                <w:sz w:val="21"/>
                <w:color w:val="4874CB"/>
              </w:rPr>
              <w:t>与秦务员、秦政通完成对接的业务系统无需再次对接消息平台，通过两端可直接调用消息平台的消息发送能力，未完成对接的系统需先与两端完成对接后才可调用消息发送能力；</w:t>
            </w:r>
          </w:p>
          <w:p>
            <w:pPr>
              <w:pStyle w:val="null3"/>
              <w:ind w:firstLine="420"/>
              <w:jc w:val="both"/>
            </w:pPr>
            <w:r>
              <w:rPr>
                <w:rFonts w:ascii="仿宋_GB2312" w:hAnsi="仿宋_GB2312" w:cs="仿宋_GB2312" w:eastAsia="仿宋_GB2312"/>
                <w:sz w:val="21"/>
                <w:color w:val="4874CB"/>
              </w:rPr>
              <w:t>（</w:t>
            </w:r>
            <w:r>
              <w:rPr>
                <w:rFonts w:ascii="仿宋_GB2312" w:hAnsi="仿宋_GB2312" w:cs="仿宋_GB2312" w:eastAsia="仿宋_GB2312"/>
                <w:sz w:val="21"/>
                <w:color w:val="4874CB"/>
              </w:rPr>
              <w:t>3）</w:t>
            </w:r>
            <w:r>
              <w:rPr>
                <w:rFonts w:ascii="仿宋_GB2312" w:hAnsi="仿宋_GB2312" w:cs="仿宋_GB2312" w:eastAsia="仿宋_GB2312"/>
                <w:sz w:val="21"/>
                <w:color w:val="4874CB"/>
              </w:rPr>
              <w:t>地市系统等无需与两端对接的应用可直接与统一通知消息平台对接；</w:t>
            </w:r>
          </w:p>
          <w:p>
            <w:pPr>
              <w:pStyle w:val="null3"/>
              <w:ind w:firstLine="420"/>
              <w:jc w:val="both"/>
            </w:pPr>
            <w:r>
              <w:rPr>
                <w:rFonts w:ascii="仿宋_GB2312" w:hAnsi="仿宋_GB2312" w:cs="仿宋_GB2312" w:eastAsia="仿宋_GB2312"/>
                <w:sz w:val="21"/>
                <w:color w:val="4874CB"/>
              </w:rPr>
              <w:t>（</w:t>
            </w:r>
            <w:r>
              <w:rPr>
                <w:rFonts w:ascii="仿宋_GB2312" w:hAnsi="仿宋_GB2312" w:cs="仿宋_GB2312" w:eastAsia="仿宋_GB2312"/>
                <w:sz w:val="21"/>
                <w:color w:val="4874CB"/>
              </w:rPr>
              <w:t>4）</w:t>
            </w:r>
            <w:r>
              <w:rPr>
                <w:rFonts w:ascii="仿宋_GB2312" w:hAnsi="仿宋_GB2312" w:cs="仿宋_GB2312" w:eastAsia="仿宋_GB2312"/>
                <w:sz w:val="21"/>
                <w:color w:val="4874CB"/>
              </w:rPr>
              <w:t>对接信创短信平台，调用短信发送渠道。</w:t>
            </w:r>
          </w:p>
          <w:p>
            <w:pPr>
              <w:pStyle w:val="null3"/>
              <w:jc w:val="both"/>
              <w:outlineLvl w:val="1"/>
            </w:pPr>
            <w:r>
              <w:rPr>
                <w:rFonts w:ascii="仿宋_GB2312" w:hAnsi="仿宋_GB2312" w:cs="仿宋_GB2312" w:eastAsia="仿宋_GB2312"/>
                <w:sz w:val="21"/>
                <w:b/>
                <w:color w:val="4874CB"/>
              </w:rPr>
              <w:t>2.4 建设规模</w:t>
            </w:r>
          </w:p>
          <w:p>
            <w:pPr>
              <w:pStyle w:val="null3"/>
              <w:ind w:firstLine="420"/>
              <w:jc w:val="both"/>
            </w:pPr>
            <w:r>
              <w:rPr>
                <w:rFonts w:ascii="仿宋_GB2312" w:hAnsi="仿宋_GB2312" w:cs="仿宋_GB2312" w:eastAsia="仿宋_GB2312"/>
                <w:sz w:val="21"/>
                <w:color w:val="4874CB"/>
              </w:rPr>
              <w:t>新建一套统一通知消息平台，实现</w:t>
            </w:r>
            <w:r>
              <w:rPr>
                <w:rFonts w:ascii="仿宋_GB2312" w:hAnsi="仿宋_GB2312" w:cs="仿宋_GB2312" w:eastAsia="仿宋_GB2312"/>
                <w:sz w:val="21"/>
                <w:color w:val="4874CB"/>
              </w:rPr>
              <w:t>包括短信、微信</w:t>
            </w:r>
            <w:r>
              <w:rPr>
                <w:rFonts w:ascii="仿宋_GB2312" w:hAnsi="仿宋_GB2312" w:cs="仿宋_GB2312" w:eastAsia="仿宋_GB2312"/>
                <w:sz w:val="21"/>
                <w:color w:val="4874CB"/>
              </w:rPr>
              <w:t>公众号和小程序</w:t>
            </w:r>
            <w:r>
              <w:rPr>
                <w:rFonts w:ascii="仿宋_GB2312" w:hAnsi="仿宋_GB2312" w:cs="仿宋_GB2312" w:eastAsia="仿宋_GB2312"/>
                <w:sz w:val="21"/>
                <w:color w:val="4874CB"/>
              </w:rPr>
              <w:t>、</w:t>
            </w:r>
            <w:r>
              <w:rPr>
                <w:rFonts w:ascii="仿宋_GB2312" w:hAnsi="仿宋_GB2312" w:cs="仿宋_GB2312" w:eastAsia="仿宋_GB2312"/>
                <w:sz w:val="21"/>
                <w:color w:val="4874CB"/>
              </w:rPr>
              <w:t>秦政通和秦务员</w:t>
            </w:r>
            <w:r>
              <w:rPr>
                <w:rFonts w:ascii="仿宋_GB2312" w:hAnsi="仿宋_GB2312" w:cs="仿宋_GB2312" w:eastAsia="仿宋_GB2312"/>
                <w:sz w:val="21"/>
                <w:color w:val="4874CB"/>
              </w:rPr>
              <w:t>APP</w:t>
            </w:r>
            <w:r>
              <w:rPr>
                <w:rFonts w:ascii="仿宋_GB2312" w:hAnsi="仿宋_GB2312" w:cs="仿宋_GB2312" w:eastAsia="仿宋_GB2312"/>
                <w:sz w:val="21"/>
                <w:color w:val="4874CB"/>
              </w:rPr>
              <w:t>、</w:t>
            </w:r>
            <w:r>
              <w:rPr>
                <w:rFonts w:ascii="仿宋_GB2312" w:hAnsi="仿宋_GB2312" w:cs="仿宋_GB2312" w:eastAsia="仿宋_GB2312"/>
                <w:sz w:val="21"/>
                <w:color w:val="4874CB"/>
              </w:rPr>
              <w:t>邮件、支付宝小程序</w:t>
            </w:r>
            <w:r>
              <w:rPr>
                <w:rFonts w:ascii="仿宋_GB2312" w:hAnsi="仿宋_GB2312" w:cs="仿宋_GB2312" w:eastAsia="仿宋_GB2312"/>
                <w:sz w:val="21"/>
                <w:color w:val="4874CB"/>
              </w:rPr>
              <w:t>、秦政通</w:t>
            </w:r>
            <w:r>
              <w:rPr>
                <w:rFonts w:ascii="仿宋_GB2312" w:hAnsi="仿宋_GB2312" w:cs="仿宋_GB2312" w:eastAsia="仿宋_GB2312"/>
                <w:sz w:val="21"/>
                <w:color w:val="4874CB"/>
              </w:rPr>
              <w:t>PC端、</w:t>
            </w:r>
            <w:r>
              <w:rPr>
                <w:rFonts w:ascii="仿宋_GB2312" w:hAnsi="仿宋_GB2312" w:cs="仿宋_GB2312" w:eastAsia="仿宋_GB2312"/>
                <w:sz w:val="21"/>
                <w:color w:val="4874CB"/>
              </w:rPr>
              <w:t>语音通知</w:t>
            </w:r>
            <w:r>
              <w:rPr>
                <w:rFonts w:ascii="仿宋_GB2312" w:hAnsi="仿宋_GB2312" w:cs="仿宋_GB2312" w:eastAsia="仿宋_GB2312"/>
                <w:sz w:val="21"/>
                <w:color w:val="4874CB"/>
              </w:rPr>
              <w:t>、</w:t>
            </w:r>
            <w:r>
              <w:rPr>
                <w:rFonts w:ascii="仿宋_GB2312" w:hAnsi="仿宋_GB2312" w:cs="仿宋_GB2312" w:eastAsia="仿宋_GB2312"/>
                <w:sz w:val="21"/>
                <w:color w:val="4874CB"/>
              </w:rPr>
              <w:t>大数据短信、智能消息</w:t>
            </w:r>
            <w:r>
              <w:rPr>
                <w:rFonts w:ascii="仿宋_GB2312" w:hAnsi="仿宋_GB2312" w:cs="仿宋_GB2312" w:eastAsia="仿宋_GB2312"/>
                <w:sz w:val="21"/>
                <w:color w:val="4874CB"/>
              </w:rPr>
              <w:t>等各类消息渠道的消息通知</w:t>
            </w:r>
            <w:r>
              <w:rPr>
                <w:rFonts w:ascii="仿宋_GB2312" w:hAnsi="仿宋_GB2312" w:cs="仿宋_GB2312" w:eastAsia="仿宋_GB2312"/>
                <w:sz w:val="21"/>
                <w:color w:val="4874CB"/>
              </w:rPr>
              <w:t>。</w:t>
            </w:r>
          </w:p>
          <w:p>
            <w:pPr>
              <w:pStyle w:val="null3"/>
              <w:ind w:firstLine="420"/>
              <w:jc w:val="both"/>
            </w:pPr>
            <w:r>
              <w:rPr>
                <w:rFonts w:ascii="仿宋_GB2312" w:hAnsi="仿宋_GB2312" w:cs="仿宋_GB2312" w:eastAsia="仿宋_GB2312"/>
                <w:sz w:val="21"/>
                <w:color w:val="4874CB"/>
              </w:rPr>
              <w:t>覆盖层级：省、市、县三级政府部门及社会公众。</w:t>
            </w:r>
          </w:p>
          <w:p>
            <w:pPr>
              <w:pStyle w:val="null3"/>
              <w:ind w:firstLine="420"/>
              <w:jc w:val="both"/>
            </w:pPr>
            <w:r>
              <w:rPr>
                <w:rFonts w:ascii="仿宋_GB2312" w:hAnsi="仿宋_GB2312" w:cs="仿宋_GB2312" w:eastAsia="仿宋_GB2312"/>
                <w:sz w:val="21"/>
                <w:color w:val="4874CB"/>
              </w:rPr>
              <w:t>用户规模：</w:t>
            </w:r>
            <w:r>
              <w:rPr>
                <w:rFonts w:ascii="仿宋_GB2312" w:hAnsi="仿宋_GB2312" w:cs="仿宋_GB2312" w:eastAsia="仿宋_GB2312"/>
                <w:sz w:val="21"/>
                <w:color w:val="4874CB"/>
              </w:rPr>
              <w:t>统一通知消息</w:t>
            </w:r>
            <w:r>
              <w:rPr>
                <w:rFonts w:ascii="仿宋_GB2312" w:hAnsi="仿宋_GB2312" w:cs="仿宋_GB2312" w:eastAsia="仿宋_GB2312"/>
                <w:sz w:val="21"/>
                <w:color w:val="4874CB"/>
              </w:rPr>
              <w:t>平台最大注册用户数为</w:t>
            </w:r>
            <w:r>
              <w:rPr>
                <w:rFonts w:ascii="仿宋_GB2312" w:hAnsi="仿宋_GB2312" w:cs="仿宋_GB2312" w:eastAsia="仿宋_GB2312"/>
                <w:sz w:val="21"/>
                <w:color w:val="4874CB"/>
              </w:rPr>
              <w:t>500，支撑全省不少于3000万人的消息发送，本期主要用户群体为秦务员、秦政通的注册用户。</w:t>
            </w:r>
          </w:p>
          <w:p>
            <w:pPr>
              <w:pStyle w:val="null3"/>
              <w:jc w:val="both"/>
              <w:outlineLvl w:val="1"/>
            </w:pPr>
            <w:r>
              <w:rPr>
                <w:rFonts w:ascii="仿宋_GB2312" w:hAnsi="仿宋_GB2312" w:cs="仿宋_GB2312" w:eastAsia="仿宋_GB2312"/>
                <w:sz w:val="21"/>
                <w:b/>
                <w:color w:val="4874CB"/>
              </w:rPr>
              <w:t>2.5 项目周期</w:t>
            </w:r>
          </w:p>
          <w:p>
            <w:pPr>
              <w:pStyle w:val="null3"/>
              <w:ind w:firstLine="420"/>
              <w:jc w:val="both"/>
            </w:pPr>
            <w:r>
              <w:rPr>
                <w:rFonts w:ascii="仿宋_GB2312" w:hAnsi="仿宋_GB2312" w:cs="仿宋_GB2312" w:eastAsia="仿宋_GB2312"/>
                <w:sz w:val="21"/>
                <w:color w:val="4874CB"/>
              </w:rPr>
              <w:t>项目建设周期为合同签订后不超过</w:t>
            </w:r>
            <w:r>
              <w:rPr>
                <w:rFonts w:ascii="仿宋_GB2312" w:hAnsi="仿宋_GB2312" w:cs="仿宋_GB2312" w:eastAsia="仿宋_GB2312"/>
                <w:sz w:val="21"/>
                <w:color w:val="4874CB"/>
              </w:rPr>
              <w:t>150日历日（其中90日历日完成系统上线并通过初验）。</w:t>
            </w:r>
          </w:p>
          <w:p>
            <w:pPr>
              <w:pStyle w:val="null3"/>
              <w:jc w:val="both"/>
              <w:outlineLvl w:val="0"/>
            </w:pPr>
            <w:r>
              <w:rPr>
                <w:rFonts w:ascii="仿宋_GB2312" w:hAnsi="仿宋_GB2312" w:cs="仿宋_GB2312" w:eastAsia="仿宋_GB2312"/>
                <w:sz w:val="21"/>
                <w:b/>
                <w:color w:val="4874CB"/>
              </w:rPr>
              <w:t>三、</w:t>
            </w:r>
            <w:r>
              <w:rPr>
                <w:rFonts w:ascii="仿宋_GB2312" w:hAnsi="仿宋_GB2312" w:cs="仿宋_GB2312" w:eastAsia="仿宋_GB2312"/>
                <w:sz w:val="21"/>
                <w:b/>
                <w:color w:val="4874CB"/>
              </w:rPr>
              <w:t>项目</w:t>
            </w:r>
            <w:r>
              <w:rPr>
                <w:rFonts w:ascii="仿宋_GB2312" w:hAnsi="仿宋_GB2312" w:cs="仿宋_GB2312" w:eastAsia="仿宋_GB2312"/>
                <w:sz w:val="21"/>
                <w:b/>
                <w:color w:val="4874CB"/>
              </w:rPr>
              <w:t>采购需求</w:t>
            </w:r>
          </w:p>
          <w:p>
            <w:pPr>
              <w:pStyle w:val="null3"/>
              <w:jc w:val="both"/>
              <w:outlineLvl w:val="1"/>
            </w:pPr>
            <w:r>
              <w:rPr>
                <w:rFonts w:ascii="仿宋_GB2312" w:hAnsi="仿宋_GB2312" w:cs="仿宋_GB2312" w:eastAsia="仿宋_GB2312"/>
                <w:sz w:val="21"/>
                <w:b/>
                <w:color w:val="4874CB"/>
              </w:rPr>
              <w:t>3.1 系统概述</w:t>
            </w:r>
          </w:p>
          <w:p>
            <w:pPr>
              <w:pStyle w:val="null3"/>
              <w:ind w:firstLine="420"/>
              <w:jc w:val="both"/>
            </w:pPr>
            <w:r>
              <w:rPr>
                <w:rFonts w:ascii="仿宋_GB2312" w:hAnsi="仿宋_GB2312" w:cs="仿宋_GB2312" w:eastAsia="仿宋_GB2312"/>
                <w:sz w:val="21"/>
                <w:color w:val="4874CB"/>
              </w:rPr>
              <w:t>统一通知消息平台的主要目标是支撑信创短信平台、秦务员</w:t>
            </w:r>
            <w:r>
              <w:rPr>
                <w:rFonts w:ascii="仿宋_GB2312" w:hAnsi="仿宋_GB2312" w:cs="仿宋_GB2312" w:eastAsia="仿宋_GB2312"/>
                <w:sz w:val="21"/>
                <w:color w:val="4874CB"/>
              </w:rPr>
              <w:t>APP、秦务员微信公众号、秦务员微信小程序、秦务员支付宝小程序、秦政通PC端、秦政通APP和OA邮件等各类消息渠道应用的统一消息发送，有效提升政务消息通知的效率和质量，打破信息孤岛，实现政府信息化服务能力的共治、共享，实现系统的安全可控，有效减少消息发送及平台的运维成本，提升政府的管理和服务效率。</w:t>
            </w:r>
          </w:p>
          <w:p>
            <w:pPr>
              <w:pStyle w:val="null3"/>
              <w:ind w:firstLine="420"/>
              <w:jc w:val="both"/>
            </w:pPr>
            <w:r>
              <w:rPr>
                <w:rFonts w:ascii="仿宋_GB2312" w:hAnsi="仿宋_GB2312" w:cs="仿宋_GB2312" w:eastAsia="仿宋_GB2312"/>
                <w:sz w:val="21"/>
                <w:color w:val="4874CB"/>
              </w:rPr>
              <w:t>统一通知消息平台的主要功能为：</w:t>
            </w:r>
          </w:p>
          <w:p>
            <w:pPr>
              <w:pStyle w:val="null3"/>
              <w:ind w:firstLine="420"/>
              <w:jc w:val="both"/>
            </w:pPr>
            <w:r>
              <w:rPr>
                <w:rFonts w:ascii="仿宋_GB2312" w:hAnsi="仿宋_GB2312" w:cs="仿宋_GB2312" w:eastAsia="仿宋_GB2312"/>
                <w:sz w:val="21"/>
                <w:color w:val="4874CB"/>
              </w:rPr>
              <w:t>1.管理配置功能模块，主要包括首页、系统管理和资料管理功能，主要支撑统一消息发送和管理业务需求。</w:t>
            </w:r>
          </w:p>
          <w:p>
            <w:pPr>
              <w:pStyle w:val="null3"/>
              <w:ind w:firstLine="420"/>
              <w:jc w:val="both"/>
            </w:pPr>
            <w:r>
              <w:rPr>
                <w:rFonts w:ascii="仿宋_GB2312" w:hAnsi="仿宋_GB2312" w:cs="仿宋_GB2312" w:eastAsia="仿宋_GB2312"/>
                <w:sz w:val="21"/>
                <w:color w:val="4874CB"/>
              </w:rPr>
              <w:t>2.发送功能模块，主要包括业务中心、发送中心和通讯中心功能，主要支撑统一消息发送和管理业务需求和消息个性化发送业务需求。</w:t>
            </w:r>
          </w:p>
          <w:p>
            <w:pPr>
              <w:pStyle w:val="null3"/>
              <w:ind w:firstLine="420"/>
              <w:jc w:val="both"/>
            </w:pPr>
            <w:r>
              <w:rPr>
                <w:rFonts w:ascii="仿宋_GB2312" w:hAnsi="仿宋_GB2312" w:cs="仿宋_GB2312" w:eastAsia="仿宋_GB2312"/>
                <w:sz w:val="21"/>
                <w:color w:val="4874CB"/>
              </w:rPr>
              <w:t>3.消息过滤功能模块，主要包括管控中心和审核中心功能，主要支撑消息管控业务需求。</w:t>
            </w:r>
          </w:p>
          <w:p>
            <w:pPr>
              <w:pStyle w:val="null3"/>
              <w:spacing w:after="120"/>
              <w:ind w:firstLine="420"/>
              <w:jc w:val="both"/>
            </w:pPr>
            <w:r>
              <w:rPr>
                <w:rFonts w:ascii="仿宋_GB2312" w:hAnsi="仿宋_GB2312" w:cs="仿宋_GB2312" w:eastAsia="仿宋_GB2312"/>
                <w:sz w:val="21"/>
                <w:color w:val="4874CB"/>
              </w:rPr>
              <w:t>4.消息记录与统计功能模块，主要包括消息记录中心、统计分析和计费中心，主要支撑决策支撑业务需求。</w:t>
            </w:r>
          </w:p>
          <w:p>
            <w:pPr>
              <w:pStyle w:val="null3"/>
              <w:jc w:val="both"/>
              <w:outlineLvl w:val="1"/>
            </w:pPr>
            <w:r>
              <w:rPr>
                <w:rFonts w:ascii="仿宋_GB2312" w:hAnsi="仿宋_GB2312" w:cs="仿宋_GB2312" w:eastAsia="仿宋_GB2312"/>
                <w:sz w:val="21"/>
                <w:b/>
                <w:color w:val="4874CB"/>
              </w:rPr>
              <w:t>3.2 系统功能需求</w:t>
            </w:r>
          </w:p>
          <w:p>
            <w:pPr>
              <w:pStyle w:val="null3"/>
              <w:jc w:val="center"/>
            </w:pPr>
            <w:r>
              <w:rPr>
                <w:rFonts w:ascii="仿宋_GB2312" w:hAnsi="仿宋_GB2312" w:cs="仿宋_GB2312" w:eastAsia="仿宋_GB2312"/>
                <w:sz w:val="21"/>
                <w:color w:val="4874CB"/>
              </w:rPr>
              <w:t>表</w:t>
            </w:r>
            <w:r>
              <w:rPr>
                <w:rFonts w:ascii="仿宋_GB2312" w:hAnsi="仿宋_GB2312" w:cs="仿宋_GB2312" w:eastAsia="仿宋_GB2312"/>
                <w:sz w:val="21"/>
                <w:color w:val="4874CB"/>
              </w:rPr>
              <w:t>3</w:t>
            </w:r>
            <w:r>
              <w:rPr>
                <w:rFonts w:ascii="仿宋_GB2312" w:hAnsi="仿宋_GB2312" w:cs="仿宋_GB2312" w:eastAsia="仿宋_GB2312"/>
                <w:sz w:val="21"/>
                <w:color w:val="4874CB"/>
              </w:rPr>
              <w:t>-</w:t>
            </w:r>
            <w:r>
              <w:rPr>
                <w:rFonts w:ascii="仿宋_GB2312" w:hAnsi="仿宋_GB2312" w:cs="仿宋_GB2312" w:eastAsia="仿宋_GB2312"/>
                <w:sz w:val="21"/>
                <w:color w:val="4874CB"/>
              </w:rPr>
              <w:t>1</w:t>
            </w:r>
            <w:r>
              <w:rPr>
                <w:rFonts w:ascii="仿宋_GB2312" w:hAnsi="仿宋_GB2312" w:cs="仿宋_GB2312" w:eastAsia="仿宋_GB2312"/>
                <w:sz w:val="21"/>
                <w:color w:val="4874CB"/>
              </w:rPr>
              <w:t xml:space="preserve"> </w:t>
            </w:r>
            <w:r>
              <w:rPr>
                <w:rFonts w:ascii="仿宋_GB2312" w:hAnsi="仿宋_GB2312" w:cs="仿宋_GB2312" w:eastAsia="仿宋_GB2312"/>
                <w:sz w:val="21"/>
                <w:color w:val="4874CB"/>
              </w:rPr>
              <w:t>需求与功能对照表</w:t>
            </w:r>
          </w:p>
          <w:tbl>
            <w:tblPr>
              <w:tblBorders>
                <w:top w:val="none" w:color="000000" w:sz="4"/>
                <w:left w:val="none" w:color="000000" w:sz="4"/>
                <w:bottom w:val="none" w:color="000000" w:sz="4"/>
                <w:right w:val="none" w:color="000000" w:sz="4"/>
                <w:insideH w:val="none"/>
                <w:insideV w:val="none"/>
              </w:tblBorders>
            </w:tblPr>
            <w:tblGrid>
              <w:gridCol w:w="202"/>
              <w:gridCol w:w="587"/>
              <w:gridCol w:w="1070"/>
            </w:tblGrid>
            <w:tr>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4874CB"/>
                    </w:rPr>
                    <w:t>序号</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4874CB"/>
                    </w:rPr>
                    <w:t>需求</w:t>
                  </w:r>
                </w:p>
              </w:tc>
              <w:tc>
                <w:tcPr>
                  <w:tcW w:type="dxa" w:w="10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4874CB"/>
                    </w:rPr>
                    <w:t>对应功能模块</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4874CB"/>
                    </w:rPr>
                    <w:t>统一消息发送和管理需求</w:t>
                  </w:r>
                </w:p>
              </w:tc>
              <w:tc>
                <w:tcPr>
                  <w:tcW w:type="dxa" w:w="1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4874CB"/>
                    </w:rPr>
                    <w:t>发送中心、通讯中心</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4874CB"/>
                    </w:rPr>
                    <w:t>消息个性化发送需求</w:t>
                  </w:r>
                </w:p>
              </w:tc>
              <w:tc>
                <w:tcPr>
                  <w:tcW w:type="dxa" w:w="1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4874CB"/>
                    </w:rPr>
                    <w:t>业务中心</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4874CB"/>
                    </w:rPr>
                    <w:t>消息管控需求</w:t>
                  </w:r>
                </w:p>
              </w:tc>
              <w:tc>
                <w:tcPr>
                  <w:tcW w:type="dxa" w:w="1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4874CB"/>
                    </w:rPr>
                    <w:t>首页</w:t>
                  </w:r>
                  <w:r>
                    <w:rPr>
                      <w:rFonts w:ascii="仿宋_GB2312" w:hAnsi="仿宋_GB2312" w:cs="仿宋_GB2312" w:eastAsia="仿宋_GB2312"/>
                      <w:sz w:val="21"/>
                      <w:color w:val="4874CB"/>
                    </w:rPr>
                    <w:t>、系统管理、管控中心、资料管理、审核中心</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w:t>
                  </w:r>
                </w:p>
              </w:tc>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4874CB"/>
                    </w:rPr>
                    <w:t>决策支撑需求</w:t>
                  </w:r>
                </w:p>
              </w:tc>
              <w:tc>
                <w:tcPr>
                  <w:tcW w:type="dxa" w:w="10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4874CB"/>
                    </w:rPr>
                    <w:t>消息记录中心、统计分析、计费中心</w:t>
                  </w:r>
                </w:p>
              </w:tc>
            </w:tr>
          </w:tbl>
          <w:p>
            <w:pPr>
              <w:pStyle w:val="null3"/>
              <w:jc w:val="both"/>
              <w:outlineLvl w:val="2"/>
            </w:pPr>
            <w:r>
              <w:rPr>
                <w:rFonts w:ascii="仿宋_GB2312" w:hAnsi="仿宋_GB2312" w:cs="仿宋_GB2312" w:eastAsia="仿宋_GB2312"/>
                <w:sz w:val="21"/>
                <w:b/>
                <w:color w:val="4874CB"/>
              </w:rPr>
              <w:t>3.2.1首页</w:t>
            </w:r>
          </w:p>
          <w:p>
            <w:pPr>
              <w:pStyle w:val="null3"/>
              <w:ind w:firstLine="420"/>
              <w:jc w:val="both"/>
            </w:pPr>
            <w:r>
              <w:rPr>
                <w:rFonts w:ascii="仿宋_GB2312" w:hAnsi="仿宋_GB2312" w:cs="仿宋_GB2312" w:eastAsia="仿宋_GB2312"/>
                <w:sz w:val="21"/>
                <w:color w:val="4874CB"/>
                <w:shd w:fill="FFFFFF" w:val="clear"/>
              </w:rPr>
              <w:t>提供平台多渠道运营情况概览及审核便捷入口。首页展示内容包括：账号最近登录时间、便捷审核入口、消息统计趋势图、</w:t>
            </w:r>
            <w:r>
              <w:rPr>
                <w:rFonts w:ascii="仿宋_GB2312" w:hAnsi="仿宋_GB2312" w:cs="仿宋_GB2312" w:eastAsia="仿宋_GB2312"/>
                <w:sz w:val="21"/>
                <w:color w:val="4874CB"/>
                <w:shd w:fill="FFFFFF" w:val="clear"/>
              </w:rPr>
              <w:t>业务类型</w:t>
            </w:r>
            <w:r>
              <w:rPr>
                <w:rFonts w:ascii="仿宋_GB2312" w:hAnsi="仿宋_GB2312" w:cs="仿宋_GB2312" w:eastAsia="仿宋_GB2312"/>
                <w:sz w:val="21"/>
                <w:color w:val="4874CB"/>
                <w:shd w:fill="FFFFFF" w:val="clear"/>
              </w:rPr>
              <w:t>TOP5</w:t>
            </w:r>
            <w:r>
              <w:rPr>
                <w:rFonts w:ascii="仿宋_GB2312" w:hAnsi="仿宋_GB2312" w:cs="仿宋_GB2312" w:eastAsia="仿宋_GB2312"/>
                <w:sz w:val="21"/>
                <w:color w:val="4874CB"/>
                <w:shd w:fill="FFFFFF" w:val="clear"/>
              </w:rPr>
              <w:t>、消息类型发送占比、消息类型上行占比、标签热词词频统计。首页还支持个人中心信息的编辑。</w:t>
            </w:r>
          </w:p>
          <w:p>
            <w:pPr>
              <w:pStyle w:val="null3"/>
              <w:jc w:val="both"/>
              <w:outlineLvl w:val="2"/>
            </w:pPr>
            <w:r>
              <w:rPr>
                <w:rFonts w:ascii="仿宋_GB2312" w:hAnsi="仿宋_GB2312" w:cs="仿宋_GB2312" w:eastAsia="仿宋_GB2312"/>
                <w:sz w:val="21"/>
                <w:b/>
                <w:color w:val="4874CB"/>
              </w:rPr>
              <w:t>3.2.2发送中心</w:t>
            </w:r>
          </w:p>
          <w:p>
            <w:pPr>
              <w:pStyle w:val="null3"/>
              <w:spacing w:after="120"/>
              <w:ind w:firstLine="420"/>
              <w:jc w:val="both"/>
            </w:pPr>
            <w:r>
              <w:rPr>
                <w:rFonts w:ascii="仿宋_GB2312" w:hAnsi="仿宋_GB2312" w:cs="仿宋_GB2312" w:eastAsia="仿宋_GB2312"/>
                <w:sz w:val="21"/>
                <w:color w:val="4874CB"/>
                <w:shd w:fill="FFFFFF" w:val="clear"/>
              </w:rPr>
              <w:t>多消息类型的统一发送。界面上支持对消息内容的编辑，可直接引用消息模板内容进行下发，消息内容也可根据收信人的标签信息实现消息智能匹配。可将当前批次选择关联业务下发，下发完成后即纳入活动进行数据统计分析。下发时，根据发送策略实现消息智能路由。在执行消息发送时，省心省力，实现信息精准推送。接入的渠道主要包括：短信、微信、语音通知、邮件、</w:t>
            </w:r>
            <w:r>
              <w:rPr>
                <w:rFonts w:ascii="仿宋_GB2312" w:hAnsi="仿宋_GB2312" w:cs="仿宋_GB2312" w:eastAsia="仿宋_GB2312"/>
                <w:sz w:val="21"/>
                <w:color w:val="4874CB"/>
                <w:shd w:fill="FFFFFF" w:val="clear"/>
              </w:rPr>
              <w:t>APP消息推送、支付宝小程序、秦政通、大数据短信共八种消息类型。短信分为普通消息和智能消息，选择为智能消息时，支持通过智能消息模板引用链接，直观展示下发内容。</w:t>
            </w:r>
          </w:p>
          <w:p>
            <w:pPr>
              <w:pStyle w:val="null3"/>
              <w:jc w:val="both"/>
              <w:outlineLvl w:val="2"/>
            </w:pPr>
            <w:r>
              <w:rPr>
                <w:rFonts w:ascii="仿宋_GB2312" w:hAnsi="仿宋_GB2312" w:cs="仿宋_GB2312" w:eastAsia="仿宋_GB2312"/>
                <w:sz w:val="21"/>
                <w:b/>
                <w:color w:val="4874CB"/>
              </w:rPr>
              <w:t>3.2.3业务中心</w:t>
            </w:r>
          </w:p>
          <w:p>
            <w:pPr>
              <w:pStyle w:val="null3"/>
              <w:spacing w:after="120"/>
              <w:ind w:firstLine="420"/>
              <w:jc w:val="both"/>
            </w:pPr>
            <w:r>
              <w:rPr>
                <w:rFonts w:ascii="仿宋_GB2312" w:hAnsi="仿宋_GB2312" w:cs="仿宋_GB2312" w:eastAsia="仿宋_GB2312"/>
                <w:sz w:val="21"/>
                <w:color w:val="4874CB"/>
                <w:shd w:fill="FFFFFF" w:val="clear"/>
              </w:rPr>
              <w:t>根据实际需求创建如动账、还款通知等模板，定义发送策略（串行</w:t>
            </w:r>
            <w:r>
              <w:rPr>
                <w:rFonts w:ascii="仿宋_GB2312" w:hAnsi="仿宋_GB2312" w:cs="仿宋_GB2312" w:eastAsia="仿宋_GB2312"/>
                <w:sz w:val="21"/>
                <w:color w:val="4874CB"/>
                <w:shd w:fill="FFFFFF" w:val="clear"/>
              </w:rPr>
              <w:t>/并行、时间段、优先级），并配置丰富内容（变量、短链、贴片、邮件附件），实现精准投放。数据业务则关注用户标签信息的获取与画像构建。消息盒子在APP中多层级展示消息，动态获取模板关系。链接管理涵盖长链、小程序、智能消息及短链域名管理，支持创建、审核及应用。模板库记录各类消息模板，支持快速引用。素材库统一管理公共及智能消息素材，提升消息编辑效率。接收配置区分关键字、渠道及默认接收账号，确保上行内容准确接收。整个系统旨在高效、精准地处理各类业务消息。</w:t>
            </w:r>
          </w:p>
          <w:p>
            <w:pPr>
              <w:pStyle w:val="null3"/>
              <w:spacing w:after="120"/>
              <w:ind w:firstLine="420"/>
              <w:jc w:val="both"/>
            </w:pPr>
            <w:r>
              <w:rPr>
                <w:rFonts w:ascii="仿宋_GB2312" w:hAnsi="仿宋_GB2312" w:cs="仿宋_GB2312" w:eastAsia="仿宋_GB2312"/>
                <w:sz w:val="21"/>
                <w:color w:val="4874CB"/>
                <w:shd w:fill="FFFFFF" w:val="clear"/>
              </w:rPr>
              <w:t>对于发送策略及模板，均可根据用户画像，配置对应的内容，使消息下发时，实现消息精准投放。对于相同</w:t>
            </w:r>
            <w:r>
              <w:rPr>
                <w:rFonts w:ascii="仿宋_GB2312" w:hAnsi="仿宋_GB2312" w:cs="仿宋_GB2312" w:eastAsia="仿宋_GB2312"/>
                <w:sz w:val="21"/>
                <w:color w:val="4874CB"/>
                <w:shd w:fill="FFFFFF" w:val="clear"/>
              </w:rPr>
              <w:t>/相似场景下的业务类型，可创建上层分类，进行集中管理。</w:t>
            </w:r>
          </w:p>
          <w:p>
            <w:pPr>
              <w:pStyle w:val="null3"/>
              <w:jc w:val="both"/>
              <w:outlineLvl w:val="2"/>
            </w:pPr>
            <w:r>
              <w:rPr>
                <w:rFonts w:ascii="仿宋_GB2312" w:hAnsi="仿宋_GB2312" w:cs="仿宋_GB2312" w:eastAsia="仿宋_GB2312"/>
                <w:sz w:val="21"/>
                <w:b/>
                <w:color w:val="4874CB"/>
              </w:rPr>
              <w:t>3.2.4消息记录中心</w:t>
            </w:r>
          </w:p>
          <w:p>
            <w:pPr>
              <w:pStyle w:val="null3"/>
              <w:spacing w:after="120"/>
              <w:ind w:firstLine="420"/>
              <w:jc w:val="both"/>
            </w:pPr>
            <w:r>
              <w:rPr>
                <w:rFonts w:ascii="仿宋_GB2312" w:hAnsi="仿宋_GB2312" w:cs="仿宋_GB2312" w:eastAsia="仿宋_GB2312"/>
                <w:sz w:val="21"/>
                <w:color w:val="4874CB"/>
                <w:shd w:fill="FFFFFF" w:val="clear"/>
              </w:rPr>
              <w:t>项目系统提供全面的通讯记录管理功能，包括批次维度的消息下发记录、发送详情、接收记录和消息交互时光轴。用户可以查看每个批次的发送情况，包括消息类型和具体用户的发送内容及结果，并能对失败消息进行重发。系统支持跨批次查看每个用户的发送内容和结果，以及用户上行内容的查看和回复。系统提供</w:t>
            </w:r>
            <w:r>
              <w:rPr>
                <w:rFonts w:ascii="仿宋_GB2312" w:hAnsi="仿宋_GB2312" w:cs="仿宋_GB2312" w:eastAsia="仿宋_GB2312"/>
                <w:sz w:val="21"/>
                <w:color w:val="4874CB"/>
                <w:shd w:fill="FFFFFF" w:val="clear"/>
              </w:rPr>
              <w:t>2年内用户与系统交互数据的对话形式时光轴，以及不同消息类型的自动应答功能，包括自动回复、自动上报和场景回复，实现高效的自动交互和业务转化。</w:t>
            </w:r>
          </w:p>
          <w:p>
            <w:pPr>
              <w:pStyle w:val="null3"/>
              <w:jc w:val="both"/>
              <w:outlineLvl w:val="2"/>
            </w:pPr>
            <w:r>
              <w:rPr>
                <w:rFonts w:ascii="仿宋_GB2312" w:hAnsi="仿宋_GB2312" w:cs="仿宋_GB2312" w:eastAsia="仿宋_GB2312"/>
                <w:sz w:val="21"/>
                <w:b/>
                <w:color w:val="4874CB"/>
              </w:rPr>
              <w:t>3.2.5统计分析</w:t>
            </w:r>
          </w:p>
          <w:p>
            <w:pPr>
              <w:pStyle w:val="null3"/>
              <w:ind w:firstLine="420"/>
              <w:jc w:val="both"/>
            </w:pPr>
            <w:r>
              <w:rPr>
                <w:rFonts w:ascii="仿宋_GB2312" w:hAnsi="仿宋_GB2312" w:cs="仿宋_GB2312" w:eastAsia="仿宋_GB2312"/>
                <w:sz w:val="21"/>
                <w:color w:val="4874CB"/>
                <w:shd w:fill="FFFFFF" w:val="clear"/>
              </w:rPr>
              <w:t>系统提供全面的社交运营和消息分析，帮助运营人员深入理解和优化微信、</w:t>
            </w:r>
            <w:r>
              <w:rPr>
                <w:rFonts w:ascii="仿宋_GB2312" w:hAnsi="仿宋_GB2312" w:cs="仿宋_GB2312" w:eastAsia="仿宋_GB2312"/>
                <w:sz w:val="21"/>
                <w:color w:val="4874CB"/>
                <w:shd w:fill="FFFFFF" w:val="clear"/>
              </w:rPr>
              <w:t>APP推送等渠道的运营效果。通过可视化图表，系统能够从多个维度展示运营数据，包括长链和短链的访问量、点击率和访问趋势，以及APP点击跟踪分析，深入了解用户行为。系统还提供智能消息解析分析、标签任务统计、归属机构统计等功能，监控和分析大数据标签任务的执行情况和费用结算。账号统计、业务模板统计和渠道统计功能支持发送趋势的跟踪与回溯，标签热词统计帮助分析用户画像标签的使用率。同时，系统能够自动生成运营周月报，通过邮件发送，使得定期查看和分析数据变得更加便捷。</w:t>
            </w:r>
          </w:p>
          <w:p>
            <w:pPr>
              <w:pStyle w:val="null3"/>
              <w:jc w:val="both"/>
              <w:outlineLvl w:val="2"/>
            </w:pPr>
            <w:r>
              <w:rPr>
                <w:rFonts w:ascii="仿宋_GB2312" w:hAnsi="仿宋_GB2312" w:cs="仿宋_GB2312" w:eastAsia="仿宋_GB2312"/>
                <w:sz w:val="21"/>
                <w:b/>
                <w:color w:val="4874CB"/>
              </w:rPr>
              <w:t>3.2.6计费中心</w:t>
            </w:r>
          </w:p>
          <w:p>
            <w:pPr>
              <w:pStyle w:val="null3"/>
              <w:spacing w:after="120"/>
              <w:ind w:firstLine="420"/>
              <w:jc w:val="both"/>
            </w:pPr>
            <w:r>
              <w:rPr>
                <w:rFonts w:ascii="仿宋_GB2312" w:hAnsi="仿宋_GB2312" w:cs="仿宋_GB2312" w:eastAsia="仿宋_GB2312"/>
                <w:sz w:val="21"/>
                <w:color w:val="4874CB"/>
                <w:shd w:fill="FFFFFF" w:val="clear"/>
              </w:rPr>
              <w:t>系统须提供精细化的费用管理功能，允许从归属机构、账号、业务模板和渠道等多个维度，结合各自的费率，对不同消息类型的费用和趋势进行统计分析。包括按机构级别统计归属机构费用、账号费用、业务模板费用，以及渠道费用，确保费用透明化，同时，系统还能统计智能消息解析费用，帮助管理者有效监控和优化成本。</w:t>
            </w:r>
          </w:p>
          <w:p>
            <w:pPr>
              <w:pStyle w:val="null3"/>
              <w:jc w:val="both"/>
              <w:outlineLvl w:val="2"/>
            </w:pPr>
            <w:r>
              <w:rPr>
                <w:rFonts w:ascii="仿宋_GB2312" w:hAnsi="仿宋_GB2312" w:cs="仿宋_GB2312" w:eastAsia="仿宋_GB2312"/>
                <w:sz w:val="21"/>
                <w:b/>
                <w:color w:val="4874CB"/>
              </w:rPr>
              <w:t>3.2.7管控中心</w:t>
            </w:r>
          </w:p>
          <w:p>
            <w:pPr>
              <w:pStyle w:val="null3"/>
              <w:spacing w:after="120"/>
              <w:ind w:firstLine="420"/>
              <w:jc w:val="both"/>
            </w:pPr>
            <w:r>
              <w:rPr>
                <w:rFonts w:ascii="仿宋_GB2312" w:hAnsi="仿宋_GB2312" w:cs="仿宋_GB2312" w:eastAsia="仿宋_GB2312"/>
                <w:sz w:val="21"/>
                <w:color w:val="4874CB"/>
                <w:shd w:fill="FFFFFF" w:val="clear"/>
              </w:rPr>
              <w:t>系统通过自动加黑配置、黑名单管控、敏感字管控、发送频次管控和脱敏规则管理等功能，确保消息发送的安全性和合规性。有效避免对用户的骚扰，提升客户信息安全性，同时，针对发送的消息当中的敏感内容进行脱敏处理，隐去隐私信息提升客户信息安全性。</w:t>
            </w:r>
          </w:p>
          <w:p>
            <w:pPr>
              <w:pStyle w:val="null3"/>
              <w:jc w:val="both"/>
              <w:outlineLvl w:val="2"/>
            </w:pPr>
            <w:r>
              <w:rPr>
                <w:rFonts w:ascii="仿宋_GB2312" w:hAnsi="仿宋_GB2312" w:cs="仿宋_GB2312" w:eastAsia="仿宋_GB2312"/>
                <w:sz w:val="21"/>
                <w:b/>
                <w:color w:val="4874CB"/>
              </w:rPr>
              <w:t>3.2.8通讯中心</w:t>
            </w:r>
          </w:p>
          <w:p>
            <w:pPr>
              <w:pStyle w:val="null3"/>
              <w:spacing w:after="120"/>
              <w:ind w:firstLine="420"/>
              <w:jc w:val="both"/>
            </w:pPr>
            <w:r>
              <w:rPr>
                <w:rFonts w:ascii="仿宋_GB2312" w:hAnsi="仿宋_GB2312" w:cs="仿宋_GB2312" w:eastAsia="仿宋_GB2312"/>
                <w:sz w:val="21"/>
                <w:color w:val="4874CB"/>
                <w:shd w:fill="FFFFFF" w:val="clear"/>
              </w:rPr>
              <w:t>系统支持客户通讯录和员工通讯录的维护，允许录入客户画像标签，通过</w:t>
            </w:r>
            <w:r>
              <w:rPr>
                <w:rFonts w:ascii="仿宋_GB2312" w:hAnsi="仿宋_GB2312" w:cs="仿宋_GB2312" w:eastAsia="仿宋_GB2312"/>
                <w:sz w:val="21"/>
                <w:color w:val="4874CB"/>
                <w:shd w:fill="FFFFFF" w:val="clear"/>
              </w:rPr>
              <w:t>regid和别名两种形式进行APP推送。系统具备智能客群功能，可根据用户偏好和属性等标签形成分组，实现消息的精准投放。同时，大数据客群功能可根据大数据标签库自动筛选实时更新符合条件的手机号码。粉丝中心则通过与多个渠道平台对接，获取并管理对应渠道的粉丝数据，提升数据管理和营销效果。</w:t>
            </w:r>
          </w:p>
          <w:p>
            <w:pPr>
              <w:pStyle w:val="null3"/>
              <w:jc w:val="both"/>
              <w:outlineLvl w:val="2"/>
            </w:pPr>
            <w:r>
              <w:rPr>
                <w:rFonts w:ascii="仿宋_GB2312" w:hAnsi="仿宋_GB2312" w:cs="仿宋_GB2312" w:eastAsia="仿宋_GB2312"/>
                <w:sz w:val="21"/>
                <w:b/>
                <w:color w:val="4874CB"/>
              </w:rPr>
              <w:t>3.2.9审核中心</w:t>
            </w:r>
          </w:p>
          <w:p>
            <w:pPr>
              <w:pStyle w:val="null3"/>
              <w:spacing w:after="120"/>
              <w:ind w:firstLine="420"/>
              <w:jc w:val="both"/>
            </w:pPr>
            <w:r>
              <w:rPr>
                <w:rFonts w:ascii="仿宋_GB2312" w:hAnsi="仿宋_GB2312" w:cs="仿宋_GB2312" w:eastAsia="仿宋_GB2312"/>
                <w:sz w:val="21"/>
                <w:color w:val="4874CB"/>
                <w:shd w:fill="FFFFFF" w:val="clear"/>
              </w:rPr>
              <w:t>系统须具备全面的审核机制确保消息发送的合规性和准确性。对单批次发送的消息，若其类型下发条数超出审核基数或包含敏感字，需经过平台管理员的审核，通过后消息方可正常下发。业务模板和业务分类在新增或修改时，均需经过管理员审核，审核页面通过不同颜色标识新增、删除和修改内容，便于管理员对比和判断。平台管理员需对创建的素材、小程序链接或长链接以及智能消息模板进行审核，确保素材和链接的合规性以及智能消息模板的准确性和适用性。通过所有审核流程，相关内容方可被正式应用，保障消息发送的准确性和用户的使用体验，共同构建系统的安全防线，为消息的合规发送提供有力保障。</w:t>
            </w:r>
          </w:p>
          <w:p>
            <w:pPr>
              <w:pStyle w:val="null3"/>
              <w:jc w:val="both"/>
              <w:outlineLvl w:val="2"/>
            </w:pPr>
            <w:r>
              <w:rPr>
                <w:rFonts w:ascii="仿宋_GB2312" w:hAnsi="仿宋_GB2312" w:cs="仿宋_GB2312" w:eastAsia="仿宋_GB2312"/>
                <w:sz w:val="21"/>
                <w:b/>
                <w:color w:val="4874CB"/>
              </w:rPr>
              <w:t>3.2.10资料管理</w:t>
            </w:r>
          </w:p>
          <w:p>
            <w:pPr>
              <w:pStyle w:val="null3"/>
              <w:spacing w:after="120"/>
              <w:ind w:firstLine="420"/>
              <w:jc w:val="both"/>
            </w:pPr>
            <w:r>
              <w:rPr>
                <w:rFonts w:ascii="仿宋_GB2312" w:hAnsi="仿宋_GB2312" w:cs="仿宋_GB2312" w:eastAsia="仿宋_GB2312"/>
                <w:sz w:val="21"/>
                <w:color w:val="4874CB"/>
                <w:shd w:fill="FFFFFF" w:val="clear"/>
              </w:rPr>
              <w:t>系统提供全面的渠道与数据管理功能。通过渠道商管理，可灵活新增、删除或修改渠道商信息。渠道管理功能则能区分不同消息类型，接入相应渠道，实现精准消息下发。系统内置标签库和业务变量库，支持用户画像定义和业务类型调用，助力个性化内容配置。针对携号转网用户，系统设有携号转网库，确保消息能准确送达新用户运营商。智能消息号码撞库功能可判断终端是否支持智能消息。微信模板规范同步微信公众号要求，保障模板消息合规下发。短信渠道支持自动切换，确保消息稳定送达，并记录切换历史。运营商号段和省份号段管理功能，能自动匹配收信人号码，选择合适渠道，实现消息高效下发。</w:t>
            </w:r>
          </w:p>
          <w:p>
            <w:pPr>
              <w:pStyle w:val="null3"/>
              <w:jc w:val="both"/>
              <w:outlineLvl w:val="2"/>
            </w:pPr>
            <w:r>
              <w:rPr>
                <w:rFonts w:ascii="仿宋_GB2312" w:hAnsi="仿宋_GB2312" w:cs="仿宋_GB2312" w:eastAsia="仿宋_GB2312"/>
                <w:sz w:val="21"/>
                <w:b/>
                <w:color w:val="4874CB"/>
              </w:rPr>
              <w:t>3.2.11系统管理</w:t>
            </w:r>
          </w:p>
          <w:p>
            <w:pPr>
              <w:pStyle w:val="null3"/>
              <w:spacing w:after="120"/>
              <w:ind w:firstLine="420"/>
              <w:jc w:val="both"/>
            </w:pPr>
            <w:r>
              <w:rPr>
                <w:rFonts w:ascii="仿宋_GB2312" w:hAnsi="仿宋_GB2312" w:cs="仿宋_GB2312" w:eastAsia="仿宋_GB2312"/>
                <w:sz w:val="21"/>
                <w:color w:val="4874CB"/>
                <w:shd w:fill="FFFFFF" w:val="clear"/>
              </w:rPr>
              <w:t>系统提供全面的账号与权限管理功能，支持多租户数据隔离，确保信息安全。通过统一管理各单位的账号，实现跨层级、跨地域、跨系统、跨部门、跨业务的数据整合，助力政府决策科学化和管理服务效率提升。系统支持角色管理，可灵活配置角色权限，确保系统安全。系统设置模块允许自定义参数配置，满足个性化需求。日志记录功能可追踪用户操作，保障数据安全。推送协议管理模块可将消息发送结果实时推送至业务系统，提高业务协同效率。系统提供导入导出管理功能，加速数据处理，确保操作有记录可查。公告管理功能则可在页面显著位置展示重点消息，确保信息及时传达。</w:t>
            </w:r>
          </w:p>
          <w:p>
            <w:pPr>
              <w:pStyle w:val="null3"/>
              <w:jc w:val="both"/>
              <w:outlineLvl w:val="1"/>
            </w:pPr>
            <w:r>
              <w:rPr>
                <w:rFonts w:ascii="仿宋_GB2312" w:hAnsi="仿宋_GB2312" w:cs="仿宋_GB2312" w:eastAsia="仿宋_GB2312"/>
                <w:sz w:val="21"/>
                <w:b/>
                <w:color w:val="4874CB"/>
              </w:rPr>
              <w:t>3.3 系统备份需求</w:t>
            </w:r>
          </w:p>
          <w:p>
            <w:pPr>
              <w:pStyle w:val="null3"/>
              <w:spacing w:after="120"/>
              <w:ind w:firstLine="420"/>
              <w:jc w:val="both"/>
            </w:pPr>
            <w:r>
              <w:rPr>
                <w:rFonts w:ascii="仿宋_GB2312" w:hAnsi="仿宋_GB2312" w:cs="仿宋_GB2312" w:eastAsia="仿宋_GB2312"/>
                <w:sz w:val="21"/>
                <w:color w:val="4874CB"/>
                <w:shd w:fill="FFFFFF" w:val="clear"/>
              </w:rPr>
              <w:t>主要备份的内容为应用程序、数据库、文件（发送文件、签约记录文件等）、系统日志。</w:t>
            </w:r>
          </w:p>
          <w:p>
            <w:pPr>
              <w:pStyle w:val="null3"/>
              <w:jc w:val="both"/>
              <w:outlineLvl w:val="2"/>
            </w:pPr>
            <w:r>
              <w:rPr>
                <w:rFonts w:ascii="仿宋_GB2312" w:hAnsi="仿宋_GB2312" w:cs="仿宋_GB2312" w:eastAsia="仿宋_GB2312"/>
                <w:sz w:val="21"/>
                <w:b/>
                <w:color w:val="4874CB"/>
              </w:rPr>
              <w:t>3.3.1</w:t>
            </w:r>
            <w:r>
              <w:rPr>
                <w:rFonts w:ascii="仿宋_GB2312" w:hAnsi="仿宋_GB2312" w:cs="仿宋_GB2312" w:eastAsia="仿宋_GB2312"/>
                <w:sz w:val="21"/>
                <w:b/>
                <w:color w:val="4874CB"/>
              </w:rPr>
              <w:t>备份策略</w:t>
            </w:r>
            <w:r>
              <w:rPr>
                <w:rFonts w:ascii="仿宋_GB2312" w:hAnsi="仿宋_GB2312" w:cs="仿宋_GB2312" w:eastAsia="仿宋_GB2312"/>
                <w:sz w:val="21"/>
                <w:b/>
                <w:color w:val="4874CB"/>
              </w:rPr>
              <w:t>需求</w:t>
            </w:r>
          </w:p>
          <w:p>
            <w:pPr>
              <w:pStyle w:val="null3"/>
              <w:spacing w:after="120"/>
              <w:ind w:firstLine="420"/>
              <w:jc w:val="both"/>
            </w:pPr>
            <w:r>
              <w:rPr>
                <w:rFonts w:ascii="仿宋_GB2312" w:hAnsi="仿宋_GB2312" w:cs="仿宋_GB2312" w:eastAsia="仿宋_GB2312"/>
                <w:sz w:val="21"/>
                <w:color w:val="4874CB"/>
                <w:shd w:fill="FFFFFF" w:val="clear"/>
              </w:rPr>
              <w:t>1.</w:t>
            </w:r>
            <w:r>
              <w:rPr>
                <w:rFonts w:ascii="仿宋_GB2312" w:hAnsi="仿宋_GB2312" w:cs="仿宋_GB2312" w:eastAsia="仿宋_GB2312"/>
                <w:sz w:val="21"/>
                <w:color w:val="4874CB"/>
                <w:shd w:fill="FFFFFF" w:val="clear"/>
              </w:rPr>
              <w:t>应用程序的备份</w:t>
            </w:r>
            <w:r>
              <w:rPr>
                <w:rFonts w:ascii="仿宋_GB2312" w:hAnsi="仿宋_GB2312" w:cs="仿宋_GB2312" w:eastAsia="仿宋_GB2312"/>
                <w:sz w:val="21"/>
                <w:color w:val="4874CB"/>
                <w:shd w:fill="FFFFFF" w:val="clear"/>
              </w:rPr>
              <w:t>：应用程序上线通过脚本方式进行备份，所有程序均保留在服务器相关备份目录，如果需要进行版本回退，通过脚本回退到对应日期版本。</w:t>
            </w:r>
          </w:p>
          <w:p>
            <w:pPr>
              <w:pStyle w:val="null3"/>
              <w:spacing w:after="120"/>
              <w:ind w:firstLine="420"/>
              <w:jc w:val="both"/>
            </w:pPr>
            <w:r>
              <w:rPr>
                <w:rFonts w:ascii="仿宋_GB2312" w:hAnsi="仿宋_GB2312" w:cs="仿宋_GB2312" w:eastAsia="仿宋_GB2312"/>
                <w:sz w:val="21"/>
                <w:color w:val="4874CB"/>
                <w:shd w:fill="FFFFFF" w:val="clear"/>
              </w:rPr>
              <w:t>2.</w:t>
            </w:r>
            <w:r>
              <w:rPr>
                <w:rFonts w:ascii="仿宋_GB2312" w:hAnsi="仿宋_GB2312" w:cs="仿宋_GB2312" w:eastAsia="仿宋_GB2312"/>
                <w:sz w:val="21"/>
                <w:color w:val="4874CB"/>
                <w:shd w:fill="FFFFFF" w:val="clear"/>
              </w:rPr>
              <w:t>数据库的备份</w:t>
            </w:r>
            <w:r>
              <w:rPr>
                <w:rFonts w:ascii="仿宋_GB2312" w:hAnsi="仿宋_GB2312" w:cs="仿宋_GB2312" w:eastAsia="仿宋_GB2312"/>
                <w:sz w:val="21"/>
                <w:color w:val="4874CB"/>
                <w:shd w:fill="FFFFFF" w:val="clear"/>
              </w:rPr>
              <w:t>：数据库备份由行内自动备份工具定时备份。</w:t>
            </w:r>
          </w:p>
          <w:p>
            <w:pPr>
              <w:pStyle w:val="null3"/>
              <w:spacing w:after="120"/>
              <w:ind w:firstLine="420"/>
              <w:jc w:val="both"/>
            </w:pPr>
            <w:r>
              <w:rPr>
                <w:rFonts w:ascii="仿宋_GB2312" w:hAnsi="仿宋_GB2312" w:cs="仿宋_GB2312" w:eastAsia="仿宋_GB2312"/>
                <w:sz w:val="21"/>
                <w:color w:val="4874CB"/>
                <w:shd w:fill="FFFFFF" w:val="clear"/>
              </w:rPr>
              <w:t>3.文件的备份</w:t>
            </w:r>
            <w:r>
              <w:rPr>
                <w:rFonts w:ascii="仿宋_GB2312" w:hAnsi="仿宋_GB2312" w:cs="仿宋_GB2312" w:eastAsia="仿宋_GB2312"/>
                <w:sz w:val="21"/>
                <w:color w:val="4874CB"/>
                <w:shd w:fill="FFFFFF" w:val="clear"/>
              </w:rPr>
              <w:t>：批量消息发送文件、签约记录文件等信息保留时间为</w:t>
            </w:r>
            <w:r>
              <w:rPr>
                <w:rFonts w:ascii="仿宋_GB2312" w:hAnsi="仿宋_GB2312" w:cs="仿宋_GB2312" w:eastAsia="仿宋_GB2312"/>
                <w:sz w:val="21"/>
                <w:color w:val="4874CB"/>
                <w:shd w:fill="FFFFFF" w:val="clear"/>
              </w:rPr>
              <w:t>3个月，过期后转存到其他备份目录中。</w:t>
            </w:r>
          </w:p>
          <w:p>
            <w:pPr>
              <w:pStyle w:val="null3"/>
              <w:spacing w:after="120"/>
              <w:ind w:firstLine="420"/>
              <w:jc w:val="both"/>
            </w:pPr>
            <w:r>
              <w:rPr>
                <w:rFonts w:ascii="仿宋_GB2312" w:hAnsi="仿宋_GB2312" w:cs="仿宋_GB2312" w:eastAsia="仿宋_GB2312"/>
                <w:sz w:val="21"/>
                <w:color w:val="4874CB"/>
                <w:shd w:fill="FFFFFF" w:val="clear"/>
              </w:rPr>
              <w:t>4.</w:t>
            </w:r>
            <w:r>
              <w:rPr>
                <w:rFonts w:ascii="仿宋_GB2312" w:hAnsi="仿宋_GB2312" w:cs="仿宋_GB2312" w:eastAsia="仿宋_GB2312"/>
                <w:sz w:val="21"/>
                <w:color w:val="4874CB"/>
                <w:shd w:fill="FFFFFF" w:val="clear"/>
              </w:rPr>
              <w:t>系统日志的备份</w:t>
            </w:r>
          </w:p>
          <w:p>
            <w:pPr>
              <w:pStyle w:val="null3"/>
              <w:ind w:firstLine="420"/>
            </w:pPr>
            <w:r>
              <w:rPr>
                <w:rFonts w:ascii="仿宋_GB2312" w:hAnsi="仿宋_GB2312" w:cs="仿宋_GB2312" w:eastAsia="仿宋_GB2312"/>
                <w:sz w:val="21"/>
                <w:color w:val="4874CB"/>
              </w:rPr>
              <w:t>管理日志：主要记录用户在管理端页面的各种操作，信息存储到数据库用户日志表中，日志记录支持分页和按条件查询。</w:t>
            </w:r>
          </w:p>
          <w:p>
            <w:pPr>
              <w:pStyle w:val="null3"/>
              <w:spacing w:after="120"/>
              <w:ind w:firstLine="420"/>
              <w:jc w:val="both"/>
            </w:pPr>
            <w:r>
              <w:rPr>
                <w:rFonts w:ascii="仿宋_GB2312" w:hAnsi="仿宋_GB2312" w:cs="仿宋_GB2312" w:eastAsia="仿宋_GB2312"/>
                <w:sz w:val="21"/>
                <w:color w:val="4874CB"/>
              </w:rPr>
              <w:t>业务日志：主要记录系统产生的业务信息及错误信息等，方便技术人员查看问题。错误日志记录错误详细描述、异常堆栈信息等。支持自动归档，通过配置文件设置归档日志的周期和日志类型等。</w:t>
            </w:r>
          </w:p>
          <w:p>
            <w:pPr>
              <w:pStyle w:val="null3"/>
              <w:jc w:val="both"/>
              <w:outlineLvl w:val="2"/>
            </w:pPr>
            <w:r>
              <w:rPr>
                <w:rFonts w:ascii="仿宋_GB2312" w:hAnsi="仿宋_GB2312" w:cs="仿宋_GB2312" w:eastAsia="仿宋_GB2312"/>
                <w:sz w:val="21"/>
                <w:b/>
                <w:color w:val="4874CB"/>
              </w:rPr>
              <w:t>3.3.2</w:t>
            </w:r>
            <w:r>
              <w:rPr>
                <w:rFonts w:ascii="仿宋_GB2312" w:hAnsi="仿宋_GB2312" w:cs="仿宋_GB2312" w:eastAsia="仿宋_GB2312"/>
                <w:sz w:val="21"/>
                <w:b/>
                <w:color w:val="4874CB"/>
              </w:rPr>
              <w:t>数据备份量</w:t>
            </w:r>
          </w:p>
          <w:p>
            <w:pPr>
              <w:pStyle w:val="null3"/>
              <w:ind w:firstLine="420"/>
              <w:jc w:val="both"/>
            </w:pPr>
            <w:r>
              <w:rPr>
                <w:rFonts w:ascii="仿宋_GB2312" w:hAnsi="仿宋_GB2312" w:cs="仿宋_GB2312" w:eastAsia="仿宋_GB2312"/>
                <w:sz w:val="21"/>
                <w:color w:val="4874CB"/>
              </w:rPr>
              <w:t>本次项目建设主要涉及通信数据与业务数据。</w:t>
            </w:r>
          </w:p>
          <w:p>
            <w:pPr>
              <w:pStyle w:val="null3"/>
              <w:ind w:firstLine="420"/>
            </w:pPr>
            <w:r>
              <w:rPr>
                <w:rFonts w:ascii="仿宋_GB2312" w:hAnsi="仿宋_GB2312" w:cs="仿宋_GB2312" w:eastAsia="仿宋_GB2312"/>
                <w:sz w:val="21"/>
                <w:color w:val="4874CB"/>
              </w:rPr>
              <w:t>系统用户量：账户总数约为</w:t>
            </w:r>
            <w:r>
              <w:rPr>
                <w:rFonts w:ascii="仿宋_GB2312" w:hAnsi="仿宋_GB2312" w:cs="仿宋_GB2312" w:eastAsia="仿宋_GB2312"/>
                <w:sz w:val="21"/>
                <w:color w:val="4874CB"/>
              </w:rPr>
              <w:t>500个，主要为消息发送、发送记录保存、操作记录保存等内容。单个用户每年产生数据约为1GB，系统每年约产生0.5TB备份数据。</w:t>
            </w:r>
          </w:p>
          <w:p>
            <w:pPr>
              <w:pStyle w:val="null3"/>
              <w:jc w:val="both"/>
              <w:outlineLvl w:val="2"/>
            </w:pPr>
            <w:r>
              <w:rPr>
                <w:rFonts w:ascii="仿宋_GB2312" w:hAnsi="仿宋_GB2312" w:cs="仿宋_GB2312" w:eastAsia="仿宋_GB2312"/>
                <w:sz w:val="21"/>
                <w:b/>
                <w:color w:val="4874CB"/>
              </w:rPr>
              <w:t>3.3.3</w:t>
            </w:r>
            <w:r>
              <w:rPr>
                <w:rFonts w:ascii="仿宋_GB2312" w:hAnsi="仿宋_GB2312" w:cs="仿宋_GB2312" w:eastAsia="仿宋_GB2312"/>
                <w:sz w:val="21"/>
                <w:b/>
                <w:color w:val="4874CB"/>
              </w:rPr>
              <w:t>系统迁移需求</w:t>
            </w:r>
          </w:p>
          <w:p>
            <w:pPr>
              <w:pStyle w:val="null3"/>
              <w:ind w:firstLine="420"/>
            </w:pPr>
            <w:r>
              <w:rPr>
                <w:rFonts w:ascii="仿宋_GB2312" w:hAnsi="仿宋_GB2312" w:cs="仿宋_GB2312" w:eastAsia="仿宋_GB2312"/>
                <w:sz w:val="21"/>
                <w:color w:val="4874CB"/>
              </w:rPr>
              <w:t>已与信创短信平台完成对接的业务系统，根据现有消息平台定制统一接口与统一通知消息平台完成对接，减少业务系统开发工作，使业务系统平滑切换。</w:t>
            </w:r>
          </w:p>
          <w:p>
            <w:pPr>
              <w:pStyle w:val="null3"/>
              <w:ind w:firstLine="420"/>
            </w:pPr>
            <w:r>
              <w:rPr>
                <w:rFonts w:ascii="仿宋_GB2312" w:hAnsi="仿宋_GB2312" w:cs="仿宋_GB2312" w:eastAsia="仿宋_GB2312"/>
                <w:sz w:val="21"/>
                <w:color w:val="4874CB"/>
              </w:rPr>
              <w:t>统一通知消息平台建成后，提供短信、语音通知并轨运行的渠道。</w:t>
            </w:r>
          </w:p>
          <w:p>
            <w:pPr>
              <w:pStyle w:val="null3"/>
              <w:ind w:firstLine="420"/>
            </w:pPr>
            <w:r>
              <w:rPr>
                <w:rFonts w:ascii="仿宋_GB2312" w:hAnsi="仿宋_GB2312" w:cs="仿宋_GB2312" w:eastAsia="仿宋_GB2312"/>
                <w:sz w:val="21"/>
                <w:color w:val="4874CB"/>
              </w:rPr>
              <w:t>对于微信，设计白名单机制，小范围验证后再批量迁移。</w:t>
            </w:r>
          </w:p>
          <w:p>
            <w:pPr>
              <w:pStyle w:val="null3"/>
              <w:ind w:firstLine="420"/>
            </w:pPr>
            <w:r>
              <w:rPr>
                <w:rFonts w:ascii="仿宋_GB2312" w:hAnsi="仿宋_GB2312" w:cs="仿宋_GB2312" w:eastAsia="仿宋_GB2312"/>
                <w:sz w:val="21"/>
                <w:color w:val="4874CB"/>
              </w:rPr>
              <w:t>对于</w:t>
            </w:r>
            <w:r>
              <w:rPr>
                <w:rFonts w:ascii="仿宋_GB2312" w:hAnsi="仿宋_GB2312" w:cs="仿宋_GB2312" w:eastAsia="仿宋_GB2312"/>
                <w:sz w:val="21"/>
                <w:color w:val="4874CB"/>
              </w:rPr>
              <w:t>APP，需要APP重新集成新的SDK，统一通知消息平台做相应的改造以兼容新旧APP同时运行。</w:t>
            </w:r>
          </w:p>
          <w:p>
            <w:pPr>
              <w:pStyle w:val="null3"/>
              <w:ind w:firstLine="420"/>
            </w:pPr>
            <w:r>
              <w:rPr>
                <w:rFonts w:ascii="仿宋_GB2312" w:hAnsi="仿宋_GB2312" w:cs="仿宋_GB2312" w:eastAsia="仿宋_GB2312"/>
                <w:sz w:val="21"/>
                <w:color w:val="4874CB"/>
              </w:rPr>
              <w:t>对于支付宝小程序、秦政通</w:t>
            </w:r>
            <w:r>
              <w:rPr>
                <w:rFonts w:ascii="仿宋_GB2312" w:hAnsi="仿宋_GB2312" w:cs="仿宋_GB2312" w:eastAsia="仿宋_GB2312"/>
                <w:sz w:val="21"/>
                <w:color w:val="4874CB"/>
              </w:rPr>
              <w:t>PC端，需要根据应用系统的接口要求进行集成，统一通知消息平台做相应的改造以兼容新旧应用同时运行。</w:t>
            </w:r>
          </w:p>
          <w:p>
            <w:pPr>
              <w:pStyle w:val="null3"/>
              <w:jc w:val="both"/>
              <w:outlineLvl w:val="2"/>
            </w:pPr>
            <w:r>
              <w:rPr>
                <w:rFonts w:ascii="仿宋_GB2312" w:hAnsi="仿宋_GB2312" w:cs="仿宋_GB2312" w:eastAsia="仿宋_GB2312"/>
                <w:sz w:val="21"/>
                <w:b/>
                <w:color w:val="4874CB"/>
              </w:rPr>
              <w:t>3.3.4</w:t>
            </w:r>
            <w:r>
              <w:rPr>
                <w:rFonts w:ascii="仿宋_GB2312" w:hAnsi="仿宋_GB2312" w:cs="仿宋_GB2312" w:eastAsia="仿宋_GB2312"/>
                <w:sz w:val="21"/>
                <w:b/>
                <w:color w:val="4874CB"/>
              </w:rPr>
              <w:t>消息队列</w:t>
            </w:r>
            <w:r>
              <w:rPr>
                <w:rFonts w:ascii="仿宋_GB2312" w:hAnsi="仿宋_GB2312" w:cs="仿宋_GB2312" w:eastAsia="仿宋_GB2312"/>
                <w:sz w:val="21"/>
                <w:b/>
                <w:color w:val="4874CB"/>
              </w:rPr>
              <w:t>需求</w:t>
            </w:r>
          </w:p>
          <w:p>
            <w:pPr>
              <w:pStyle w:val="null3"/>
              <w:ind w:firstLine="420"/>
            </w:pPr>
            <w:r>
              <w:rPr>
                <w:rFonts w:ascii="仿宋_GB2312" w:hAnsi="仿宋_GB2312" w:cs="仿宋_GB2312" w:eastAsia="仿宋_GB2312"/>
                <w:sz w:val="21"/>
                <w:color w:val="4874CB"/>
              </w:rPr>
              <w:t>消息队列支持双主双活的部署架构，一可以提高消息队列服务的可用性，另外利用主从机制可以做到消息队列的读写分离和数据备份，提供保证主从之间的数据同步的机制。</w:t>
            </w:r>
          </w:p>
          <w:p>
            <w:pPr>
              <w:pStyle w:val="null3"/>
              <w:jc w:val="both"/>
              <w:outlineLvl w:val="2"/>
            </w:pPr>
            <w:r>
              <w:rPr>
                <w:rFonts w:ascii="仿宋_GB2312" w:hAnsi="仿宋_GB2312" w:cs="仿宋_GB2312" w:eastAsia="仿宋_GB2312"/>
                <w:sz w:val="21"/>
                <w:b/>
                <w:color w:val="4874CB"/>
              </w:rPr>
              <w:t>3.3.5</w:t>
            </w:r>
            <w:r>
              <w:rPr>
                <w:rFonts w:ascii="仿宋_GB2312" w:hAnsi="仿宋_GB2312" w:cs="仿宋_GB2312" w:eastAsia="仿宋_GB2312"/>
                <w:sz w:val="21"/>
                <w:b/>
                <w:color w:val="4874CB"/>
              </w:rPr>
              <w:t>内存数据库</w:t>
            </w:r>
            <w:r>
              <w:rPr>
                <w:rFonts w:ascii="仿宋_GB2312" w:hAnsi="仿宋_GB2312" w:cs="仿宋_GB2312" w:eastAsia="仿宋_GB2312"/>
                <w:sz w:val="21"/>
                <w:b/>
                <w:color w:val="4874CB"/>
              </w:rPr>
              <w:t>需求</w:t>
            </w:r>
          </w:p>
          <w:p>
            <w:pPr>
              <w:pStyle w:val="null3"/>
              <w:ind w:firstLine="420"/>
              <w:jc w:val="both"/>
            </w:pPr>
            <w:r>
              <w:rPr>
                <w:rFonts w:ascii="仿宋_GB2312" w:hAnsi="仿宋_GB2312" w:cs="仿宋_GB2312" w:eastAsia="仿宋_GB2312"/>
                <w:sz w:val="21"/>
                <w:color w:val="4874CB"/>
              </w:rPr>
              <w:t>内存数据库须满足主从备份，从节点实时同步主节点数据，主节点数据丢失，可以将服务切换到从节点。</w:t>
            </w:r>
          </w:p>
          <w:p>
            <w:pPr>
              <w:pStyle w:val="null3"/>
              <w:jc w:val="both"/>
              <w:outlineLvl w:val="2"/>
            </w:pPr>
            <w:r>
              <w:rPr>
                <w:rFonts w:ascii="仿宋_GB2312" w:hAnsi="仿宋_GB2312" w:cs="仿宋_GB2312" w:eastAsia="仿宋_GB2312"/>
                <w:sz w:val="21"/>
                <w:b/>
                <w:color w:val="4874CB"/>
              </w:rPr>
              <w:t>3.3.6</w:t>
            </w:r>
            <w:r>
              <w:rPr>
                <w:rFonts w:ascii="仿宋_GB2312" w:hAnsi="仿宋_GB2312" w:cs="仿宋_GB2312" w:eastAsia="仿宋_GB2312"/>
                <w:sz w:val="21"/>
                <w:b/>
                <w:color w:val="4874CB"/>
              </w:rPr>
              <w:t>数据库需求</w:t>
            </w:r>
          </w:p>
          <w:p>
            <w:pPr>
              <w:pStyle w:val="null3"/>
              <w:ind w:firstLine="420"/>
              <w:jc w:val="both"/>
            </w:pPr>
            <w:r>
              <w:rPr>
                <w:rFonts w:ascii="仿宋_GB2312" w:hAnsi="仿宋_GB2312" w:cs="仿宋_GB2312" w:eastAsia="仿宋_GB2312"/>
                <w:sz w:val="21"/>
                <w:color w:val="4874CB"/>
              </w:rPr>
              <w:t>单机房部署模式：采用数据库集群方式，利用数据库主从同步，实现备份。并利用数据库的连接机制实现自动切换。</w:t>
            </w:r>
          </w:p>
          <w:p>
            <w:pPr>
              <w:pStyle w:val="null3"/>
              <w:ind w:firstLine="420"/>
              <w:jc w:val="both"/>
            </w:pPr>
            <w:r>
              <w:rPr>
                <w:rFonts w:ascii="仿宋_GB2312" w:hAnsi="仿宋_GB2312" w:cs="仿宋_GB2312" w:eastAsia="仿宋_GB2312"/>
                <w:sz w:val="21"/>
                <w:color w:val="4874CB"/>
              </w:rPr>
              <w:t>双机房部署模式：可考虑以主机房为主，备机房从库的方式，如果主机房出现故障，采用人工切换数据库方式恢复服务。</w:t>
            </w:r>
          </w:p>
          <w:p>
            <w:pPr>
              <w:pStyle w:val="null3"/>
              <w:ind w:firstLine="420"/>
              <w:jc w:val="both"/>
            </w:pPr>
            <w:r>
              <w:rPr>
                <w:rFonts w:ascii="仿宋_GB2312" w:hAnsi="仿宋_GB2312" w:cs="仿宋_GB2312" w:eastAsia="仿宋_GB2312"/>
                <w:sz w:val="21"/>
                <w:color w:val="4874CB"/>
              </w:rPr>
              <w:t>避免数据损坏导致不能提供服务，本地部署一台冷备的离线服务器，每天将在线的数据库基础数据导出，并导入到离线数据库。一旦出现数据库磁盘和数据异常，可通过冷备库快速恢复服务。</w:t>
            </w:r>
          </w:p>
          <w:p>
            <w:pPr>
              <w:pStyle w:val="null3"/>
              <w:ind w:firstLine="420"/>
              <w:jc w:val="both"/>
            </w:pPr>
            <w:r>
              <w:rPr>
                <w:rFonts w:ascii="仿宋_GB2312" w:hAnsi="仿宋_GB2312" w:cs="仿宋_GB2312" w:eastAsia="仿宋_GB2312"/>
                <w:sz w:val="21"/>
                <w:color w:val="4874CB"/>
              </w:rPr>
              <w:t>历史数据备份，可按要求定期导出历史发送记录，并用磁带或备份系统进行备份。导出的数据可删除。</w:t>
            </w:r>
          </w:p>
          <w:p>
            <w:pPr>
              <w:pStyle w:val="null3"/>
              <w:jc w:val="both"/>
              <w:outlineLvl w:val="1"/>
            </w:pPr>
            <w:r>
              <w:rPr>
                <w:rFonts w:ascii="仿宋_GB2312" w:hAnsi="仿宋_GB2312" w:cs="仿宋_GB2312" w:eastAsia="仿宋_GB2312"/>
                <w:sz w:val="21"/>
                <w:b/>
                <w:color w:val="4874CB"/>
              </w:rPr>
              <w:t>3.4 应用支撑要求</w:t>
            </w:r>
          </w:p>
          <w:p>
            <w:pPr>
              <w:pStyle w:val="null3"/>
              <w:ind w:firstLine="420"/>
              <w:jc w:val="both"/>
            </w:pPr>
            <w:r>
              <w:rPr>
                <w:rFonts w:ascii="仿宋_GB2312" w:hAnsi="仿宋_GB2312" w:cs="仿宋_GB2312" w:eastAsia="仿宋_GB2312"/>
                <w:sz w:val="21"/>
                <w:color w:val="4874CB"/>
              </w:rPr>
              <w:t>能够对接省级统一公共支撑平台服务，如密码平台等。</w:t>
            </w:r>
          </w:p>
          <w:p>
            <w:pPr>
              <w:pStyle w:val="null3"/>
              <w:jc w:val="both"/>
              <w:outlineLvl w:val="1"/>
            </w:pPr>
            <w:r>
              <w:rPr>
                <w:rFonts w:ascii="仿宋_GB2312" w:hAnsi="仿宋_GB2312" w:cs="仿宋_GB2312" w:eastAsia="仿宋_GB2312"/>
                <w:sz w:val="21"/>
                <w:b/>
                <w:color w:val="4874CB"/>
              </w:rPr>
              <w:t>3.5 数据资源要求</w:t>
            </w:r>
          </w:p>
          <w:p>
            <w:pPr>
              <w:pStyle w:val="null3"/>
              <w:ind w:firstLine="420"/>
              <w:jc w:val="both"/>
            </w:pPr>
            <w:r>
              <w:rPr>
                <w:rFonts w:ascii="仿宋_GB2312" w:hAnsi="仿宋_GB2312" w:cs="仿宋_GB2312" w:eastAsia="仿宋_GB2312"/>
                <w:sz w:val="21"/>
                <w:color w:val="4874CB"/>
              </w:rPr>
              <w:t>平台运行过程中应具备数据资源规划，数据治理，数据隔离，数据保护措施等能力。</w:t>
            </w:r>
          </w:p>
          <w:p>
            <w:pPr>
              <w:pStyle w:val="null3"/>
              <w:jc w:val="both"/>
              <w:outlineLvl w:val="1"/>
            </w:pPr>
            <w:r>
              <w:rPr>
                <w:rFonts w:ascii="仿宋_GB2312" w:hAnsi="仿宋_GB2312" w:cs="仿宋_GB2312" w:eastAsia="仿宋_GB2312"/>
                <w:sz w:val="21"/>
                <w:b/>
                <w:color w:val="4874CB"/>
              </w:rPr>
              <w:t xml:space="preserve">3.6 </w:t>
            </w:r>
            <w:r>
              <w:rPr>
                <w:rFonts w:ascii="仿宋_GB2312" w:hAnsi="仿宋_GB2312" w:cs="仿宋_GB2312" w:eastAsia="仿宋_GB2312"/>
                <w:sz w:val="21"/>
                <w:b/>
                <w:color w:val="4874CB"/>
              </w:rPr>
              <w:t>系统</w:t>
            </w:r>
            <w:r>
              <w:rPr>
                <w:rFonts w:ascii="仿宋_GB2312" w:hAnsi="仿宋_GB2312" w:cs="仿宋_GB2312" w:eastAsia="仿宋_GB2312"/>
                <w:sz w:val="21"/>
                <w:b/>
                <w:color w:val="4874CB"/>
              </w:rPr>
              <w:t>运行维护需求</w:t>
            </w:r>
          </w:p>
          <w:p>
            <w:pPr>
              <w:pStyle w:val="null3"/>
              <w:ind w:firstLine="420"/>
              <w:jc w:val="both"/>
            </w:pPr>
            <w:r>
              <w:rPr>
                <w:rFonts w:ascii="仿宋_GB2312" w:hAnsi="仿宋_GB2312" w:cs="仿宋_GB2312" w:eastAsia="仿宋_GB2312"/>
                <w:sz w:val="21"/>
                <w:color w:val="4874CB"/>
              </w:rPr>
              <w:t>★</w:t>
            </w:r>
            <w:r>
              <w:rPr>
                <w:rFonts w:ascii="仿宋_GB2312" w:hAnsi="仿宋_GB2312" w:cs="仿宋_GB2312" w:eastAsia="仿宋_GB2312"/>
                <w:sz w:val="21"/>
                <w:color w:val="4874CB"/>
              </w:rPr>
              <w:t>供应商针对本项目拟派驻场服务团队不少于</w:t>
            </w:r>
            <w:r>
              <w:rPr>
                <w:rFonts w:ascii="仿宋_GB2312" w:hAnsi="仿宋_GB2312" w:cs="仿宋_GB2312" w:eastAsia="仿宋_GB2312"/>
                <w:sz w:val="21"/>
                <w:color w:val="4874CB"/>
              </w:rPr>
              <w:t>3人（远程支撑人员不少于2人），并配备专职项目经理不低于5年工作经验。（提供加盖公章的证明材料）</w:t>
            </w:r>
          </w:p>
          <w:p>
            <w:pPr>
              <w:pStyle w:val="null3"/>
              <w:ind w:firstLine="420"/>
              <w:jc w:val="both"/>
            </w:pPr>
            <w:r>
              <w:rPr>
                <w:rFonts w:ascii="仿宋_GB2312" w:hAnsi="仿宋_GB2312" w:cs="仿宋_GB2312" w:eastAsia="仿宋_GB2312"/>
                <w:sz w:val="21"/>
                <w:color w:val="4874CB"/>
              </w:rPr>
              <w:t>支撑统一通知消息平台日常运行维护，平台配套监控平台，实现系统运行情况的全方位监控。</w:t>
            </w:r>
          </w:p>
          <w:p>
            <w:pPr>
              <w:pStyle w:val="null3"/>
              <w:ind w:firstLine="420"/>
              <w:jc w:val="both"/>
            </w:pPr>
            <w:r>
              <w:rPr>
                <w:rFonts w:ascii="仿宋_GB2312" w:hAnsi="仿宋_GB2312" w:cs="仿宋_GB2312" w:eastAsia="仿宋_GB2312"/>
                <w:sz w:val="21"/>
                <w:color w:val="4874CB"/>
              </w:rPr>
              <w:t>主要包括通信渠道连接状态、通信渠道状态、业务堆积量、消息发送速率、消息接收速率、通信成功率等业务监控，以及应用服务状态、中间件状态等监控。</w:t>
            </w:r>
          </w:p>
          <w:p>
            <w:pPr>
              <w:pStyle w:val="null3"/>
              <w:ind w:firstLine="420"/>
              <w:jc w:val="both"/>
            </w:pPr>
            <w:r>
              <w:rPr>
                <w:rFonts w:ascii="仿宋_GB2312" w:hAnsi="仿宋_GB2312" w:cs="仿宋_GB2312" w:eastAsia="仿宋_GB2312"/>
                <w:sz w:val="21"/>
                <w:color w:val="4874CB"/>
              </w:rPr>
              <w:t>须保障</w:t>
            </w:r>
            <w:r>
              <w:rPr>
                <w:rFonts w:ascii="仿宋_GB2312" w:hAnsi="仿宋_GB2312" w:cs="仿宋_GB2312" w:eastAsia="仿宋_GB2312"/>
                <w:sz w:val="21"/>
                <w:color w:val="4874CB"/>
              </w:rPr>
              <w:t>1年的运维期限，确保系统的安全性和稳定性，运维团队需要定期扫描和识别系统中存在的安全漏洞，并及时安装更新补丁或采取其他措施进行修复，以及产品本身出现的缺陷的优化。驻场服务团队提供7×24小时驻场服务。</w:t>
            </w:r>
          </w:p>
          <w:p>
            <w:pPr>
              <w:pStyle w:val="null3"/>
              <w:jc w:val="both"/>
              <w:outlineLvl w:val="1"/>
            </w:pPr>
            <w:r>
              <w:rPr>
                <w:rFonts w:ascii="仿宋_GB2312" w:hAnsi="仿宋_GB2312" w:cs="仿宋_GB2312" w:eastAsia="仿宋_GB2312"/>
                <w:sz w:val="21"/>
                <w:b/>
                <w:color w:val="4874CB"/>
              </w:rPr>
              <w:t xml:space="preserve">3.7 </w:t>
            </w:r>
            <w:r>
              <w:rPr>
                <w:rFonts w:ascii="仿宋_GB2312" w:hAnsi="仿宋_GB2312" w:cs="仿宋_GB2312" w:eastAsia="仿宋_GB2312"/>
                <w:sz w:val="21"/>
                <w:b/>
                <w:color w:val="4874CB"/>
              </w:rPr>
              <w:t>网络安全等级保护</w:t>
            </w:r>
            <w:r>
              <w:rPr>
                <w:rFonts w:ascii="仿宋_GB2312" w:hAnsi="仿宋_GB2312" w:cs="仿宋_GB2312" w:eastAsia="仿宋_GB2312"/>
                <w:sz w:val="21"/>
                <w:b/>
                <w:color w:val="4874CB"/>
              </w:rPr>
              <w:t>需求</w:t>
            </w:r>
          </w:p>
          <w:p>
            <w:pPr>
              <w:pStyle w:val="null3"/>
              <w:ind w:firstLine="420"/>
            </w:pPr>
            <w:r>
              <w:rPr>
                <w:rFonts w:ascii="仿宋_GB2312" w:hAnsi="仿宋_GB2312" w:cs="仿宋_GB2312" w:eastAsia="仿宋_GB2312"/>
                <w:sz w:val="21"/>
                <w:color w:val="4874CB"/>
              </w:rPr>
              <w:t>结合本项目所建设业务系统的实际情况，对统一通知消息平台建设项目进行了网络安全等级保护定级，具体情况如下：</w:t>
            </w:r>
          </w:p>
          <w:p>
            <w:pPr>
              <w:pStyle w:val="null3"/>
              <w:ind w:firstLine="420"/>
            </w:pPr>
            <w:r>
              <w:rPr>
                <w:rFonts w:ascii="仿宋_GB2312" w:hAnsi="仿宋_GB2312" w:cs="仿宋_GB2312" w:eastAsia="仿宋_GB2312"/>
                <w:sz w:val="21"/>
                <w:color w:val="4874CB"/>
              </w:rPr>
              <w:t>统一通知消息平台是为政务通知管理提供支撑的业务应用系统，其业务信息和系统服务一旦被破坏，会对社会秩序和公共利益造成一定损害，通过定级矩阵判定，统一通知消息平台的安全保护等级应该为三级。</w:t>
            </w:r>
          </w:p>
          <w:p>
            <w:pPr>
              <w:pStyle w:val="null3"/>
              <w:ind w:firstLine="420"/>
            </w:pPr>
            <w:r>
              <w:rPr>
                <w:rFonts w:ascii="仿宋_GB2312" w:hAnsi="仿宋_GB2312" w:cs="仿宋_GB2312" w:eastAsia="仿宋_GB2312"/>
                <w:sz w:val="21"/>
                <w:color w:val="4874CB"/>
              </w:rPr>
              <w:t>依据《中华人民共和国网络安全法》《国家政务信息化项目建设管理办法》以及《陕西省省级政务信息化项目建设管理办法（暂行）》等相关规定，要强化政务信息系统与数据资源的安全保密设施建设，定时</w:t>
            </w:r>
            <w:r>
              <w:rPr>
                <w:rFonts w:ascii="仿宋_GB2312" w:hAnsi="仿宋_GB2312" w:cs="仿宋_GB2312" w:eastAsia="仿宋_GB2312"/>
                <w:sz w:val="21"/>
                <w:color w:val="4874CB"/>
              </w:rPr>
              <w:t>开展</w:t>
            </w:r>
            <w:r>
              <w:rPr>
                <w:rFonts w:ascii="仿宋_GB2312" w:hAnsi="仿宋_GB2312" w:cs="仿宋_GB2312" w:eastAsia="仿宋_GB2312"/>
                <w:sz w:val="21"/>
                <w:color w:val="4874CB"/>
              </w:rPr>
              <w:t>网络安全检测以及风险评估，项目验收申请必须涵盖非涉密信息系统网络安全等级保护测评报告、密码应用安全性评估报告等内容。</w:t>
            </w:r>
          </w:p>
          <w:p>
            <w:pPr>
              <w:pStyle w:val="null3"/>
              <w:ind w:firstLine="420"/>
            </w:pPr>
            <w:r>
              <w:rPr>
                <w:rFonts w:ascii="仿宋_GB2312" w:hAnsi="仿宋_GB2312" w:cs="仿宋_GB2312" w:eastAsia="仿宋_GB2312"/>
                <w:sz w:val="21"/>
                <w:color w:val="4874CB"/>
              </w:rPr>
              <w:t>★</w:t>
            </w:r>
            <w:r>
              <w:rPr>
                <w:rFonts w:ascii="仿宋_GB2312" w:hAnsi="仿宋_GB2312" w:cs="仿宋_GB2312" w:eastAsia="仿宋_GB2312"/>
                <w:sz w:val="21"/>
                <w:color w:val="4874CB"/>
              </w:rPr>
              <w:t>本项目依照要求需进行网络安全等级保护测评。须</w:t>
            </w:r>
            <w:r>
              <w:rPr>
                <w:rFonts w:ascii="仿宋_GB2312" w:hAnsi="仿宋_GB2312" w:cs="仿宋_GB2312" w:eastAsia="仿宋_GB2312"/>
                <w:sz w:val="21"/>
                <w:color w:val="4874CB"/>
              </w:rPr>
              <w:t>具备通过</w:t>
            </w:r>
            <w:r>
              <w:rPr>
                <w:rFonts w:ascii="仿宋_GB2312" w:hAnsi="仿宋_GB2312" w:cs="仿宋_GB2312" w:eastAsia="仿宋_GB2312"/>
                <w:sz w:val="21"/>
                <w:color w:val="4874CB"/>
              </w:rPr>
              <w:t>公安部门认可的等保第三方评测机构针对本服务项目</w:t>
            </w:r>
            <w:r>
              <w:rPr>
                <w:rFonts w:ascii="仿宋_GB2312" w:hAnsi="仿宋_GB2312" w:cs="仿宋_GB2312" w:eastAsia="仿宋_GB2312"/>
                <w:sz w:val="21"/>
                <w:color w:val="4874CB"/>
              </w:rPr>
              <w:t>建设内容</w:t>
            </w:r>
            <w:r>
              <w:rPr>
                <w:rFonts w:ascii="仿宋_GB2312" w:hAnsi="仿宋_GB2312" w:cs="仿宋_GB2312" w:eastAsia="仿宋_GB2312"/>
                <w:sz w:val="21"/>
                <w:color w:val="4874CB"/>
              </w:rPr>
              <w:t>的网络安全等级保护第三级的测评报告</w:t>
            </w:r>
            <w:r>
              <w:rPr>
                <w:rFonts w:ascii="仿宋_GB2312" w:hAnsi="仿宋_GB2312" w:cs="仿宋_GB2312" w:eastAsia="仿宋_GB2312"/>
                <w:sz w:val="21"/>
                <w:color w:val="4874CB"/>
              </w:rPr>
              <w:t>的条件</w:t>
            </w:r>
            <w:r>
              <w:rPr>
                <w:rFonts w:ascii="仿宋_GB2312" w:hAnsi="仿宋_GB2312" w:cs="仿宋_GB2312" w:eastAsia="仿宋_GB2312"/>
                <w:sz w:val="21"/>
                <w:color w:val="4874CB"/>
              </w:rPr>
              <w:t>。</w:t>
            </w:r>
            <w:r>
              <w:rPr>
                <w:rFonts w:ascii="仿宋_GB2312" w:hAnsi="仿宋_GB2312" w:cs="仿宋_GB2312" w:eastAsia="仿宋_GB2312"/>
                <w:sz w:val="21"/>
                <w:color w:val="4874CB"/>
              </w:rPr>
              <w:t>（提供加盖公章的承诺函）</w:t>
            </w:r>
          </w:p>
          <w:p>
            <w:pPr>
              <w:pStyle w:val="null3"/>
              <w:jc w:val="both"/>
              <w:outlineLvl w:val="1"/>
            </w:pPr>
            <w:r>
              <w:rPr>
                <w:rFonts w:ascii="仿宋_GB2312" w:hAnsi="仿宋_GB2312" w:cs="仿宋_GB2312" w:eastAsia="仿宋_GB2312"/>
                <w:sz w:val="21"/>
                <w:b/>
                <w:color w:val="4874CB"/>
              </w:rPr>
              <w:t>3.8</w:t>
            </w:r>
            <w:r>
              <w:rPr>
                <w:rFonts w:ascii="仿宋_GB2312" w:hAnsi="仿宋_GB2312" w:cs="仿宋_GB2312" w:eastAsia="仿宋_GB2312"/>
                <w:sz w:val="21"/>
                <w:b/>
                <w:color w:val="4874CB"/>
              </w:rPr>
              <w:t>密码应用安全性评估需求</w:t>
            </w:r>
          </w:p>
          <w:p>
            <w:pPr>
              <w:pStyle w:val="null3"/>
              <w:ind w:firstLine="420"/>
              <w:jc w:val="both"/>
            </w:pPr>
            <w:r>
              <w:rPr>
                <w:rFonts w:ascii="仿宋_GB2312" w:hAnsi="仿宋_GB2312" w:cs="仿宋_GB2312" w:eastAsia="仿宋_GB2312"/>
                <w:sz w:val="21"/>
                <w:color w:val="4874CB"/>
              </w:rPr>
              <w:t>依据《中华人民共和国密码法》等国家相关法律法规，按照《信息安全技术信息系统密码应用基本要求》</w:t>
            </w:r>
            <w:r>
              <w:rPr>
                <w:rFonts w:ascii="仿宋_GB2312" w:hAnsi="仿宋_GB2312" w:cs="仿宋_GB2312" w:eastAsia="仿宋_GB2312"/>
                <w:sz w:val="21"/>
                <w:color w:val="4874CB"/>
              </w:rPr>
              <w:t>GB/T 39786-2021标准要求，统一通知消息平台建设的业务应用系统均为等级保护三级应用，统一通知消息平台建设按照【第三级】信息系统密码应用基本要求，从物理和环境安全、网络和通信安全、设备和计算安全、应用和数据安全、管理制度、人员管理、建设运行和应急处置等方面进行设计，在平台建设时同步按照密码应用方案进行建设，并同步上线运行，定期开展密码应用安全性评估，全面提升统一通知消息平台的整体安全性。</w:t>
            </w:r>
          </w:p>
          <w:p>
            <w:pPr>
              <w:pStyle w:val="null3"/>
              <w:ind w:firstLine="420"/>
              <w:jc w:val="both"/>
            </w:pPr>
            <w:r>
              <w:rPr>
                <w:rFonts w:ascii="仿宋_GB2312" w:hAnsi="仿宋_GB2312" w:cs="仿宋_GB2312" w:eastAsia="仿宋_GB2312"/>
                <w:sz w:val="21"/>
                <w:color w:val="4874CB"/>
              </w:rPr>
              <w:t>★</w:t>
            </w:r>
            <w:r>
              <w:rPr>
                <w:rFonts w:ascii="仿宋_GB2312" w:hAnsi="仿宋_GB2312" w:cs="仿宋_GB2312" w:eastAsia="仿宋_GB2312"/>
                <w:sz w:val="21"/>
                <w:color w:val="4874CB"/>
              </w:rPr>
              <w:t>本项目依照要求需进行</w:t>
            </w:r>
            <w:r>
              <w:rPr>
                <w:rFonts w:ascii="仿宋_GB2312" w:hAnsi="仿宋_GB2312" w:cs="仿宋_GB2312" w:eastAsia="仿宋_GB2312"/>
                <w:sz w:val="21"/>
                <w:color w:val="4874CB"/>
              </w:rPr>
              <w:t>密码应用安全性评估。（提供加盖公章的承诺函）</w:t>
            </w:r>
          </w:p>
          <w:p>
            <w:pPr>
              <w:pStyle w:val="null3"/>
              <w:jc w:val="both"/>
              <w:outlineLvl w:val="1"/>
            </w:pPr>
            <w:r>
              <w:rPr>
                <w:rFonts w:ascii="仿宋_GB2312" w:hAnsi="仿宋_GB2312" w:cs="仿宋_GB2312" w:eastAsia="仿宋_GB2312"/>
                <w:sz w:val="21"/>
                <w:b/>
                <w:color w:val="4874CB"/>
              </w:rPr>
              <w:t xml:space="preserve">3.9 </w:t>
            </w:r>
            <w:r>
              <w:rPr>
                <w:rFonts w:ascii="仿宋_GB2312" w:hAnsi="仿宋_GB2312" w:cs="仿宋_GB2312" w:eastAsia="仿宋_GB2312"/>
                <w:sz w:val="21"/>
                <w:b/>
                <w:color w:val="4874CB"/>
              </w:rPr>
              <w:t>国产自主可控需求</w:t>
            </w:r>
          </w:p>
          <w:p>
            <w:pPr>
              <w:pStyle w:val="null3"/>
              <w:spacing w:after="120"/>
              <w:ind w:firstLine="420"/>
              <w:jc w:val="both"/>
            </w:pPr>
            <w:r>
              <w:rPr>
                <w:rFonts w:ascii="仿宋_GB2312" w:hAnsi="仿宋_GB2312" w:cs="仿宋_GB2312" w:eastAsia="仿宋_GB2312"/>
                <w:sz w:val="21"/>
                <w:color w:val="4874CB"/>
              </w:rPr>
              <w:t>★</w:t>
            </w:r>
            <w:r>
              <w:rPr>
                <w:rFonts w:ascii="仿宋_GB2312" w:hAnsi="仿宋_GB2312" w:cs="仿宋_GB2312" w:eastAsia="仿宋_GB2312"/>
                <w:sz w:val="21"/>
                <w:color w:val="4874CB"/>
              </w:rPr>
              <w:t>项目建设涉及用户关键数据信息，须满足信息安全等多方面要求，项目建设中须选用符合国产自主可控需求的操作系统、数据库、中间件等。</w:t>
            </w:r>
            <w:r>
              <w:rPr>
                <w:rFonts w:ascii="仿宋_GB2312" w:hAnsi="仿宋_GB2312" w:cs="仿宋_GB2312" w:eastAsia="仿宋_GB2312"/>
                <w:sz w:val="21"/>
                <w:color w:val="4874CB"/>
              </w:rPr>
              <w:t>（提供加盖公章的承诺函）</w:t>
            </w:r>
          </w:p>
          <w:p>
            <w:pPr>
              <w:pStyle w:val="null3"/>
              <w:jc w:val="both"/>
              <w:outlineLvl w:val="1"/>
            </w:pPr>
            <w:r>
              <w:rPr>
                <w:rFonts w:ascii="仿宋_GB2312" w:hAnsi="仿宋_GB2312" w:cs="仿宋_GB2312" w:eastAsia="仿宋_GB2312"/>
                <w:sz w:val="21"/>
                <w:b/>
                <w:color w:val="4874CB"/>
              </w:rPr>
              <w:t>3.</w:t>
            </w:r>
            <w:r>
              <w:rPr>
                <w:rFonts w:ascii="仿宋_GB2312" w:hAnsi="仿宋_GB2312" w:cs="仿宋_GB2312" w:eastAsia="仿宋_GB2312"/>
                <w:sz w:val="21"/>
                <w:b/>
                <w:color w:val="4874CB"/>
              </w:rPr>
              <w:t>10系统性能及其他需求</w:t>
            </w:r>
          </w:p>
          <w:p>
            <w:pPr>
              <w:pStyle w:val="null3"/>
              <w:ind w:firstLine="420"/>
              <w:jc w:val="both"/>
            </w:pPr>
            <w:r>
              <w:rPr>
                <w:rFonts w:ascii="仿宋_GB2312" w:hAnsi="仿宋_GB2312" w:cs="仿宋_GB2312" w:eastAsia="仿宋_GB2312"/>
                <w:sz w:val="21"/>
                <w:color w:val="4874CB"/>
              </w:rPr>
              <w:t>系统性能及其他需求包含但不限于以下内容：</w:t>
            </w:r>
          </w:p>
          <w:p>
            <w:pPr>
              <w:pStyle w:val="null3"/>
              <w:ind w:firstLine="420"/>
              <w:jc w:val="both"/>
            </w:pPr>
            <w:r>
              <w:rPr>
                <w:rFonts w:ascii="仿宋_GB2312" w:hAnsi="仿宋_GB2312" w:cs="仿宋_GB2312" w:eastAsia="仿宋_GB2312"/>
                <w:sz w:val="21"/>
                <w:color w:val="4874CB"/>
              </w:rPr>
              <w:t>1.</w:t>
            </w:r>
            <w:r>
              <w:rPr>
                <w:rFonts w:ascii="仿宋_GB2312" w:hAnsi="仿宋_GB2312" w:cs="仿宋_GB2312" w:eastAsia="仿宋_GB2312"/>
                <w:sz w:val="21"/>
                <w:color w:val="4874CB"/>
              </w:rPr>
              <w:t>平台总体性能</w:t>
            </w:r>
          </w:p>
          <w:p>
            <w:pPr>
              <w:pStyle w:val="null3"/>
              <w:ind w:firstLine="420"/>
              <w:jc w:val="both"/>
            </w:pPr>
            <w:r>
              <w:rPr>
                <w:rFonts w:ascii="仿宋_GB2312" w:hAnsi="仿宋_GB2312" w:cs="仿宋_GB2312" w:eastAsia="仿宋_GB2312"/>
                <w:sz w:val="21"/>
                <w:color w:val="4874CB"/>
              </w:rPr>
              <w:t>支持平台</w:t>
            </w:r>
            <w:r>
              <w:rPr>
                <w:rFonts w:ascii="仿宋_GB2312" w:hAnsi="仿宋_GB2312" w:cs="仿宋_GB2312" w:eastAsia="仿宋_GB2312"/>
                <w:sz w:val="21"/>
                <w:color w:val="4874CB"/>
              </w:rPr>
              <w:t>7×24小时不间断运行，在没有外部因素影响的情况下，故障响应时间不超过2小时。</w:t>
            </w:r>
          </w:p>
          <w:p>
            <w:pPr>
              <w:pStyle w:val="null3"/>
              <w:ind w:firstLine="420"/>
              <w:jc w:val="both"/>
            </w:pPr>
            <w:r>
              <w:rPr>
                <w:rFonts w:ascii="仿宋_GB2312" w:hAnsi="仿宋_GB2312" w:cs="仿宋_GB2312" w:eastAsia="仿宋_GB2312"/>
                <w:sz w:val="21"/>
                <w:color w:val="4874CB"/>
              </w:rPr>
              <w:t>2.</w:t>
            </w:r>
            <w:r>
              <w:rPr>
                <w:rFonts w:ascii="仿宋_GB2312" w:hAnsi="仿宋_GB2312" w:cs="仿宋_GB2312" w:eastAsia="仿宋_GB2312"/>
                <w:sz w:val="21"/>
                <w:color w:val="4874CB"/>
              </w:rPr>
              <w:t>系统并发性能</w:t>
            </w:r>
          </w:p>
          <w:p>
            <w:pPr>
              <w:pStyle w:val="null3"/>
              <w:ind w:firstLine="420"/>
              <w:jc w:val="both"/>
            </w:pPr>
            <w:r>
              <w:rPr>
                <w:rFonts w:ascii="仿宋_GB2312" w:hAnsi="仿宋_GB2312" w:cs="仿宋_GB2312" w:eastAsia="仿宋_GB2312"/>
                <w:sz w:val="21"/>
                <w:color w:val="4874CB"/>
              </w:rPr>
              <w:t>消息平台支持用户数量：最大注册用户数为</w:t>
            </w:r>
            <w:r>
              <w:rPr>
                <w:rFonts w:ascii="仿宋_GB2312" w:hAnsi="仿宋_GB2312" w:cs="仿宋_GB2312" w:eastAsia="仿宋_GB2312"/>
                <w:sz w:val="21"/>
                <w:color w:val="4874CB"/>
              </w:rPr>
              <w:t>500，最大在线用户数为500，最大并发用户数100。</w:t>
            </w:r>
          </w:p>
          <w:p>
            <w:pPr>
              <w:pStyle w:val="null3"/>
              <w:ind w:firstLine="420"/>
              <w:jc w:val="both"/>
            </w:pPr>
            <w:r>
              <w:rPr>
                <w:rFonts w:ascii="仿宋_GB2312" w:hAnsi="仿宋_GB2312" w:cs="仿宋_GB2312" w:eastAsia="仿宋_GB2312"/>
                <w:sz w:val="21"/>
                <w:color w:val="4874CB"/>
              </w:rPr>
              <w:t>3.</w:t>
            </w:r>
            <w:r>
              <w:rPr>
                <w:rFonts w:ascii="仿宋_GB2312" w:hAnsi="仿宋_GB2312" w:cs="仿宋_GB2312" w:eastAsia="仿宋_GB2312"/>
                <w:sz w:val="21"/>
                <w:color w:val="4874CB"/>
              </w:rPr>
              <w:t>消息处理性能</w:t>
            </w:r>
          </w:p>
          <w:p>
            <w:pPr>
              <w:pStyle w:val="null3"/>
              <w:ind w:firstLine="420"/>
              <w:jc w:val="both"/>
            </w:pPr>
            <w:r>
              <w:rPr>
                <w:rFonts w:ascii="仿宋_GB2312" w:hAnsi="仿宋_GB2312" w:cs="仿宋_GB2312" w:eastAsia="仿宋_GB2312"/>
                <w:sz w:val="21"/>
                <w:color w:val="4874CB"/>
              </w:rPr>
              <w:t>系统具有高稳定性，每天处理</w:t>
            </w:r>
            <w:r>
              <w:rPr>
                <w:rFonts w:ascii="仿宋_GB2312" w:hAnsi="仿宋_GB2312" w:cs="仿宋_GB2312" w:eastAsia="仿宋_GB2312"/>
                <w:sz w:val="21"/>
                <w:color w:val="4874CB"/>
              </w:rPr>
              <w:t>1000万条消息，不出现数据冗余或丢失，且具有异常恢复能力。</w:t>
            </w:r>
          </w:p>
          <w:p>
            <w:pPr>
              <w:pStyle w:val="null3"/>
              <w:ind w:firstLine="420"/>
              <w:jc w:val="both"/>
            </w:pPr>
            <w:r>
              <w:rPr>
                <w:rFonts w:ascii="仿宋_GB2312" w:hAnsi="仿宋_GB2312" w:cs="仿宋_GB2312" w:eastAsia="仿宋_GB2312"/>
                <w:sz w:val="21"/>
                <w:color w:val="4874CB"/>
              </w:rPr>
              <w:t>4.</w:t>
            </w:r>
            <w:r>
              <w:rPr>
                <w:rFonts w:ascii="仿宋_GB2312" w:hAnsi="仿宋_GB2312" w:cs="仿宋_GB2312" w:eastAsia="仿宋_GB2312"/>
                <w:sz w:val="21"/>
                <w:color w:val="4874CB"/>
              </w:rPr>
              <w:t>平台网关处理性能</w:t>
            </w:r>
          </w:p>
          <w:p>
            <w:pPr>
              <w:pStyle w:val="null3"/>
              <w:ind w:firstLine="420"/>
              <w:jc w:val="both"/>
            </w:pPr>
            <w:r>
              <w:rPr>
                <w:rFonts w:ascii="仿宋_GB2312" w:hAnsi="仿宋_GB2312" w:cs="仿宋_GB2312" w:eastAsia="仿宋_GB2312"/>
                <w:sz w:val="21"/>
                <w:color w:val="4874CB"/>
              </w:rPr>
              <w:t>在正常情况下：</w:t>
            </w:r>
          </w:p>
          <w:p>
            <w:pPr>
              <w:pStyle w:val="null3"/>
              <w:ind w:firstLine="420"/>
              <w:jc w:val="both"/>
            </w:pPr>
            <w:r>
              <w:rPr>
                <w:rFonts w:ascii="仿宋_GB2312" w:hAnsi="仿宋_GB2312" w:cs="仿宋_GB2312" w:eastAsia="仿宋_GB2312"/>
                <w:sz w:val="21"/>
                <w:color w:val="4874CB"/>
              </w:rPr>
              <w:t>平台消息处理能力</w:t>
            </w:r>
            <w:r>
              <w:rPr>
                <w:rFonts w:ascii="仿宋_GB2312" w:hAnsi="仿宋_GB2312" w:cs="仿宋_GB2312" w:eastAsia="仿宋_GB2312"/>
                <w:sz w:val="21"/>
                <w:color w:val="4874CB"/>
              </w:rPr>
              <w:t>2000条/秒以上。</w:t>
            </w:r>
          </w:p>
          <w:p>
            <w:pPr>
              <w:pStyle w:val="null3"/>
              <w:ind w:firstLine="420"/>
              <w:jc w:val="both"/>
            </w:pPr>
            <w:r>
              <w:rPr>
                <w:rFonts w:ascii="仿宋_GB2312" w:hAnsi="仿宋_GB2312" w:cs="仿宋_GB2312" w:eastAsia="仿宋_GB2312"/>
                <w:sz w:val="21"/>
                <w:color w:val="4874CB"/>
              </w:rPr>
              <w:t>单发</w:t>
            </w:r>
            <w:r>
              <w:rPr>
                <w:rFonts w:ascii="仿宋_GB2312" w:hAnsi="仿宋_GB2312" w:cs="仿宋_GB2312" w:eastAsia="仿宋_GB2312"/>
                <w:sz w:val="21"/>
                <w:color w:val="4874CB"/>
              </w:rPr>
              <w:t>TPS</w:t>
            </w:r>
            <w:r>
              <w:rPr>
                <w:rFonts w:ascii="仿宋_GB2312" w:hAnsi="仿宋_GB2312" w:cs="仿宋_GB2312" w:eastAsia="仿宋_GB2312"/>
                <w:sz w:val="21"/>
                <w:color w:val="4874CB"/>
              </w:rPr>
              <w:t>为</w:t>
            </w:r>
            <w:r>
              <w:rPr>
                <w:rFonts w:ascii="仿宋_GB2312" w:hAnsi="仿宋_GB2312" w:cs="仿宋_GB2312" w:eastAsia="仿宋_GB2312"/>
                <w:sz w:val="21"/>
                <w:color w:val="4874CB"/>
              </w:rPr>
              <w:t>1万条/秒接口响应时间</w:t>
            </w:r>
            <w:r>
              <w:rPr>
                <w:rFonts w:ascii="仿宋_GB2312" w:hAnsi="仿宋_GB2312" w:cs="仿宋_GB2312" w:eastAsia="仿宋_GB2312"/>
                <w:sz w:val="21"/>
                <w:color w:val="4874CB"/>
              </w:rPr>
              <w:t>为</w:t>
            </w:r>
            <w:r>
              <w:rPr>
                <w:rFonts w:ascii="仿宋_GB2312" w:hAnsi="仿宋_GB2312" w:cs="仿宋_GB2312" w:eastAsia="仿宋_GB2312"/>
                <w:sz w:val="21"/>
                <w:color w:val="4874CB"/>
              </w:rPr>
              <w:t>5~10ms群发20万条/秒，(可按需平滑扩容)。</w:t>
            </w:r>
          </w:p>
          <w:p>
            <w:pPr>
              <w:pStyle w:val="null3"/>
              <w:ind w:firstLine="420"/>
              <w:jc w:val="both"/>
            </w:pPr>
            <w:r>
              <w:rPr>
                <w:rFonts w:ascii="仿宋_GB2312" w:hAnsi="仿宋_GB2312" w:cs="仿宋_GB2312" w:eastAsia="仿宋_GB2312"/>
                <w:sz w:val="21"/>
                <w:color w:val="4874CB"/>
              </w:rPr>
              <w:t>提交单条信息响应时间</w:t>
            </w:r>
            <w:r>
              <w:rPr>
                <w:rFonts w:ascii="仿宋_GB2312" w:hAnsi="仿宋_GB2312" w:cs="仿宋_GB2312" w:eastAsia="仿宋_GB2312"/>
                <w:sz w:val="21"/>
                <w:color w:val="4874CB"/>
              </w:rPr>
              <w:t>≤0.25S；提交100万条信息响应时间≤2分钟。</w:t>
            </w:r>
          </w:p>
          <w:p>
            <w:pPr>
              <w:pStyle w:val="null3"/>
              <w:ind w:firstLine="420"/>
              <w:jc w:val="both"/>
            </w:pPr>
            <w:r>
              <w:rPr>
                <w:rFonts w:ascii="仿宋_GB2312" w:hAnsi="仿宋_GB2312" w:cs="仿宋_GB2312" w:eastAsia="仿宋_GB2312"/>
                <w:sz w:val="21"/>
                <w:color w:val="4874CB"/>
              </w:rPr>
              <w:t>短信时延</w:t>
            </w:r>
            <w:r>
              <w:rPr>
                <w:rFonts w:ascii="仿宋_GB2312" w:hAnsi="仿宋_GB2312" w:cs="仿宋_GB2312" w:eastAsia="仿宋_GB2312"/>
                <w:sz w:val="21"/>
                <w:color w:val="4874CB"/>
              </w:rPr>
              <w:t>≤5秒。</w:t>
            </w:r>
          </w:p>
          <w:p>
            <w:pPr>
              <w:pStyle w:val="null3"/>
              <w:ind w:firstLine="420"/>
              <w:jc w:val="both"/>
            </w:pPr>
            <w:r>
              <w:rPr>
                <w:rFonts w:ascii="仿宋_GB2312" w:hAnsi="仿宋_GB2312" w:cs="仿宋_GB2312" w:eastAsia="仿宋_GB2312"/>
                <w:sz w:val="21"/>
                <w:color w:val="4874CB"/>
              </w:rPr>
              <w:t>平台提交成功率</w:t>
            </w:r>
            <w:r>
              <w:rPr>
                <w:rFonts w:ascii="仿宋_GB2312" w:hAnsi="仿宋_GB2312" w:cs="仿宋_GB2312" w:eastAsia="仿宋_GB2312"/>
                <w:sz w:val="21"/>
                <w:color w:val="4874CB"/>
              </w:rPr>
              <w:t>100%，通道发送成功率99.9%以上。</w:t>
            </w:r>
          </w:p>
          <w:p>
            <w:pPr>
              <w:pStyle w:val="null3"/>
              <w:ind w:firstLine="420"/>
              <w:jc w:val="both"/>
            </w:pPr>
            <w:r>
              <w:rPr>
                <w:rFonts w:ascii="仿宋_GB2312" w:hAnsi="仿宋_GB2312" w:cs="仿宋_GB2312" w:eastAsia="仿宋_GB2312"/>
                <w:sz w:val="21"/>
                <w:color w:val="4874CB"/>
              </w:rPr>
              <w:t>通道有效利用率</w:t>
            </w:r>
            <w:r>
              <w:rPr>
                <w:rFonts w:ascii="仿宋_GB2312" w:hAnsi="仿宋_GB2312" w:cs="仿宋_GB2312" w:eastAsia="仿宋_GB2312"/>
                <w:sz w:val="21"/>
                <w:color w:val="4874CB"/>
              </w:rPr>
              <w:t>99.9%以上。</w:t>
            </w:r>
          </w:p>
          <w:p>
            <w:pPr>
              <w:pStyle w:val="null3"/>
              <w:ind w:firstLine="420"/>
              <w:jc w:val="both"/>
            </w:pPr>
            <w:r>
              <w:rPr>
                <w:rFonts w:ascii="仿宋_GB2312" w:hAnsi="仿宋_GB2312" w:cs="仿宋_GB2312" w:eastAsia="仿宋_GB2312"/>
                <w:sz w:val="21"/>
                <w:color w:val="4874CB"/>
              </w:rPr>
              <w:t>5.其他需求</w:t>
            </w:r>
          </w:p>
          <w:p>
            <w:pPr>
              <w:pStyle w:val="null3"/>
              <w:ind w:firstLine="420"/>
              <w:jc w:val="both"/>
            </w:pPr>
            <w:r>
              <w:rPr>
                <w:rFonts w:ascii="仿宋_GB2312" w:hAnsi="仿宋_GB2312" w:cs="仿宋_GB2312" w:eastAsia="仿宋_GB2312"/>
                <w:sz w:val="21"/>
                <w:color w:val="4874CB"/>
              </w:rPr>
              <w:t>平台须具备可扩展性、高可用性以及相关保障能力等。同时须落实内外部安全措施。</w:t>
            </w:r>
          </w:p>
          <w:p>
            <w:pPr>
              <w:pStyle w:val="null3"/>
              <w:jc w:val="both"/>
              <w:outlineLvl w:val="1"/>
            </w:pPr>
            <w:r>
              <w:rPr>
                <w:rFonts w:ascii="仿宋_GB2312" w:hAnsi="仿宋_GB2312" w:cs="仿宋_GB2312" w:eastAsia="仿宋_GB2312"/>
                <w:sz w:val="21"/>
                <w:b/>
                <w:color w:val="4874CB"/>
              </w:rPr>
              <w:t>3.11项目验收管理</w:t>
            </w:r>
            <w:r>
              <w:rPr>
                <w:rFonts w:ascii="仿宋_GB2312" w:hAnsi="仿宋_GB2312" w:cs="仿宋_GB2312" w:eastAsia="仿宋_GB2312"/>
                <w:sz w:val="21"/>
                <w:b/>
                <w:color w:val="4874CB"/>
              </w:rPr>
              <w:t>要求</w:t>
            </w:r>
          </w:p>
          <w:p>
            <w:pPr>
              <w:pStyle w:val="null3"/>
              <w:ind w:firstLine="420"/>
              <w:jc w:val="both"/>
            </w:pPr>
            <w:r>
              <w:rPr>
                <w:rFonts w:ascii="仿宋_GB2312" w:hAnsi="仿宋_GB2312" w:cs="仿宋_GB2312" w:eastAsia="仿宋_GB2312"/>
                <w:sz w:val="21"/>
                <w:color w:val="4874CB"/>
              </w:rPr>
              <w:t>参考《陕西省省级政务信息化项目竣工验收管理办法（试行）》要求，由采购人组织，本项目中标单位和监理单位参与，并邀请相关专家参加，对本项目进行验收，主要内容如下：</w:t>
            </w:r>
          </w:p>
          <w:p>
            <w:pPr>
              <w:pStyle w:val="null3"/>
              <w:jc w:val="both"/>
              <w:outlineLvl w:val="2"/>
            </w:pPr>
            <w:r>
              <w:rPr>
                <w:rFonts w:ascii="仿宋_GB2312" w:hAnsi="仿宋_GB2312" w:cs="仿宋_GB2312" w:eastAsia="仿宋_GB2312"/>
                <w:sz w:val="21"/>
                <w:b/>
                <w:color w:val="4874CB"/>
              </w:rPr>
              <w:t>3.11.1</w:t>
            </w:r>
            <w:r>
              <w:rPr>
                <w:rFonts w:ascii="仿宋_GB2312" w:hAnsi="仿宋_GB2312" w:cs="仿宋_GB2312" w:eastAsia="仿宋_GB2312"/>
                <w:sz w:val="21"/>
                <w:b/>
                <w:color w:val="4874CB"/>
              </w:rPr>
              <w:t>初步验收</w:t>
            </w:r>
          </w:p>
          <w:p>
            <w:pPr>
              <w:pStyle w:val="null3"/>
              <w:ind w:firstLine="420"/>
            </w:pPr>
            <w:r>
              <w:rPr>
                <w:rFonts w:ascii="仿宋_GB2312" w:hAnsi="仿宋_GB2312" w:cs="仿宋_GB2312" w:eastAsia="仿宋_GB2312"/>
                <w:sz w:val="21"/>
                <w:color w:val="4874CB"/>
              </w:rPr>
              <w:t>符合初步验收条件之后，项目承建单位向项目单位提交初步验收申请，启动初步验收工作，形成初步验收意见。</w:t>
            </w:r>
          </w:p>
          <w:p>
            <w:pPr>
              <w:pStyle w:val="null3"/>
              <w:ind w:firstLine="420"/>
            </w:pPr>
            <w:r>
              <w:rPr>
                <w:rFonts w:ascii="仿宋_GB2312" w:hAnsi="仿宋_GB2312" w:cs="仿宋_GB2312" w:eastAsia="仿宋_GB2312"/>
                <w:sz w:val="21"/>
                <w:color w:val="4874CB"/>
              </w:rPr>
              <w:t>1.验收条件：系统部署完成，并完成对接，系统主要功能模板（管理配置功能、发送功能、消息过滤功能、消息记录与统计功能）均正常运行。</w:t>
            </w:r>
          </w:p>
          <w:p>
            <w:pPr>
              <w:pStyle w:val="null3"/>
              <w:ind w:firstLine="420"/>
            </w:pPr>
            <w:r>
              <w:rPr>
                <w:rFonts w:ascii="仿宋_GB2312" w:hAnsi="仿宋_GB2312" w:cs="仿宋_GB2312" w:eastAsia="仿宋_GB2312"/>
                <w:sz w:val="21"/>
                <w:color w:val="4874CB"/>
              </w:rPr>
              <w:t>2.参与方：项目承建单位、项目单位、监理单位。</w:t>
            </w:r>
          </w:p>
          <w:p>
            <w:pPr>
              <w:pStyle w:val="null3"/>
              <w:ind w:firstLine="420"/>
            </w:pPr>
            <w:r>
              <w:rPr>
                <w:rFonts w:ascii="仿宋_GB2312" w:hAnsi="仿宋_GB2312" w:cs="仿宋_GB2312" w:eastAsia="仿宋_GB2312"/>
                <w:sz w:val="21"/>
                <w:color w:val="4874CB"/>
              </w:rPr>
              <w:t>3.验收流程：项目承建单位提交初步验收申请，由项目单位组织，承建单位和监理单位参与，对承建单位按照合同约定，完成能满足系统运行需要的建设内容等情况，并通过等保备案和密评测试，开展初步验收并形成验收意见。</w:t>
            </w:r>
          </w:p>
          <w:p>
            <w:pPr>
              <w:pStyle w:val="null3"/>
              <w:ind w:firstLine="420"/>
            </w:pPr>
            <w:r>
              <w:rPr>
                <w:rFonts w:ascii="仿宋_GB2312" w:hAnsi="仿宋_GB2312" w:cs="仿宋_GB2312" w:eastAsia="仿宋_GB2312"/>
                <w:sz w:val="21"/>
                <w:color w:val="4874CB"/>
              </w:rPr>
              <w:t>4.</w:t>
            </w:r>
            <w:r>
              <w:rPr>
                <w:rFonts w:ascii="仿宋_GB2312" w:hAnsi="仿宋_GB2312" w:cs="仿宋_GB2312" w:eastAsia="仿宋_GB2312"/>
                <w:sz w:val="21"/>
                <w:color w:val="4874CB"/>
              </w:rPr>
              <w:t>初步验收文档</w:t>
            </w:r>
            <w:r>
              <w:rPr>
                <w:rFonts w:ascii="仿宋_GB2312" w:hAnsi="仿宋_GB2312" w:cs="仿宋_GB2312" w:eastAsia="仿宋_GB2312"/>
                <w:sz w:val="21"/>
                <w:color w:val="4874CB"/>
              </w:rPr>
              <w:t>：包括但不限于用户使用报告、承建单位实施总结报告、监理单位监理总结报告、项目初步验收意见及验收现场查验记录表、初步验收问题整改报告。</w:t>
            </w:r>
          </w:p>
          <w:p>
            <w:pPr>
              <w:pStyle w:val="null3"/>
              <w:jc w:val="both"/>
              <w:outlineLvl w:val="2"/>
            </w:pPr>
            <w:r>
              <w:rPr>
                <w:rFonts w:ascii="仿宋_GB2312" w:hAnsi="仿宋_GB2312" w:cs="仿宋_GB2312" w:eastAsia="仿宋_GB2312"/>
                <w:sz w:val="21"/>
                <w:b/>
                <w:color w:val="4874CB"/>
              </w:rPr>
              <w:t>3.11.2最终验收</w:t>
            </w:r>
          </w:p>
          <w:p>
            <w:pPr>
              <w:pStyle w:val="null3"/>
              <w:ind w:firstLine="420"/>
            </w:pPr>
            <w:r>
              <w:rPr>
                <w:rFonts w:ascii="仿宋_GB2312" w:hAnsi="仿宋_GB2312" w:cs="仿宋_GB2312" w:eastAsia="仿宋_GB2312"/>
                <w:sz w:val="21"/>
                <w:color w:val="4874CB"/>
              </w:rPr>
              <w:t>符合最终验收条件之后，项目承建单位向项目单位提交最终验收申请，启动最终验收工作，形成最终验收意见。</w:t>
            </w:r>
          </w:p>
          <w:p>
            <w:pPr>
              <w:pStyle w:val="null3"/>
              <w:ind w:firstLine="420"/>
            </w:pPr>
            <w:r>
              <w:rPr>
                <w:rFonts w:ascii="仿宋_GB2312" w:hAnsi="仿宋_GB2312" w:cs="仿宋_GB2312" w:eastAsia="仿宋_GB2312"/>
                <w:sz w:val="21"/>
                <w:color w:val="4874CB"/>
              </w:rPr>
              <w:t>1.验收条件：按照合同约定，完成项目整体建设内容，建设质量和相关要求满足项目单位使用要求。</w:t>
            </w:r>
          </w:p>
          <w:p>
            <w:pPr>
              <w:pStyle w:val="null3"/>
              <w:ind w:firstLine="420"/>
            </w:pPr>
            <w:r>
              <w:rPr>
                <w:rFonts w:ascii="仿宋_GB2312" w:hAnsi="仿宋_GB2312" w:cs="仿宋_GB2312" w:eastAsia="仿宋_GB2312"/>
                <w:sz w:val="21"/>
                <w:color w:val="4874CB"/>
              </w:rPr>
              <w:t>2.参与方：项目承建单位、项目单位、监理单位及验收专家。</w:t>
            </w:r>
          </w:p>
          <w:p>
            <w:pPr>
              <w:pStyle w:val="null3"/>
              <w:ind w:firstLine="420"/>
            </w:pPr>
            <w:r>
              <w:rPr>
                <w:rFonts w:ascii="仿宋_GB2312" w:hAnsi="仿宋_GB2312" w:cs="仿宋_GB2312" w:eastAsia="仿宋_GB2312"/>
                <w:sz w:val="21"/>
                <w:color w:val="4874CB"/>
              </w:rPr>
              <w:t>3.验收流程：项目承建单位向项目单位提交最终验收申请，由项目单位组织，承建单位、监理单位及相关验收专家参与，对项目的审批执行情况、投资情况、建设内容、建设规模、目标完成、试运行、第三方软件测评、安全风险评估和密码应用安全性评估等情况，开展最终验收并形成验收意见。</w:t>
            </w:r>
          </w:p>
          <w:p>
            <w:pPr>
              <w:pStyle w:val="null3"/>
              <w:ind w:firstLine="420"/>
            </w:pPr>
            <w:r>
              <w:rPr>
                <w:rFonts w:ascii="仿宋_GB2312" w:hAnsi="仿宋_GB2312" w:cs="仿宋_GB2312" w:eastAsia="仿宋_GB2312"/>
                <w:sz w:val="21"/>
                <w:color w:val="4874CB"/>
              </w:rPr>
              <w:t>4.</w:t>
            </w:r>
            <w:r>
              <w:rPr>
                <w:rFonts w:ascii="仿宋_GB2312" w:hAnsi="仿宋_GB2312" w:cs="仿宋_GB2312" w:eastAsia="仿宋_GB2312"/>
                <w:sz w:val="21"/>
                <w:color w:val="4874CB"/>
              </w:rPr>
              <w:t>最终验收文档</w:t>
            </w:r>
            <w:r>
              <w:rPr>
                <w:rFonts w:ascii="仿宋_GB2312" w:hAnsi="仿宋_GB2312" w:cs="仿宋_GB2312" w:eastAsia="仿宋_GB2312"/>
                <w:sz w:val="21"/>
                <w:color w:val="4874CB"/>
              </w:rPr>
              <w:t>：包括但不限于用户使用报告、承建单位实施总结报告、监理单位监理总结报告、项目最终验收意见及验收现场查验记录表、最终验收问题整改报告。</w:t>
            </w:r>
          </w:p>
          <w:p>
            <w:pPr>
              <w:pStyle w:val="null3"/>
              <w:jc w:val="both"/>
              <w:outlineLvl w:val="2"/>
            </w:pPr>
            <w:r>
              <w:rPr>
                <w:rFonts w:ascii="仿宋_GB2312" w:hAnsi="仿宋_GB2312" w:cs="仿宋_GB2312" w:eastAsia="仿宋_GB2312"/>
                <w:sz w:val="21"/>
                <w:b/>
                <w:color w:val="4874CB"/>
              </w:rPr>
              <w:t>3.11.3档案专项验收</w:t>
            </w:r>
          </w:p>
          <w:p>
            <w:pPr>
              <w:pStyle w:val="null3"/>
              <w:ind w:firstLine="420"/>
            </w:pPr>
            <w:r>
              <w:rPr>
                <w:rFonts w:ascii="仿宋_GB2312" w:hAnsi="仿宋_GB2312" w:cs="仿宋_GB2312" w:eastAsia="仿宋_GB2312"/>
                <w:sz w:val="21"/>
                <w:color w:val="4874CB"/>
              </w:rPr>
              <w:t>竣工验收前，项目单位向省档案局提出档案专项验收申请，启动档案专项验收，形成档案验收情况说明。</w:t>
            </w:r>
          </w:p>
          <w:p>
            <w:pPr>
              <w:pStyle w:val="null3"/>
              <w:ind w:firstLine="420"/>
            </w:pPr>
            <w:r>
              <w:rPr>
                <w:rFonts w:ascii="仿宋_GB2312" w:hAnsi="仿宋_GB2312" w:cs="仿宋_GB2312" w:eastAsia="仿宋_GB2312"/>
                <w:sz w:val="21"/>
                <w:color w:val="4874CB"/>
              </w:rPr>
              <w:t>1.验收条件：项目档案完整，档案整理规范，档案安全保管。</w:t>
            </w:r>
          </w:p>
          <w:p>
            <w:pPr>
              <w:pStyle w:val="null3"/>
              <w:ind w:firstLine="420"/>
            </w:pPr>
            <w:r>
              <w:rPr>
                <w:rFonts w:ascii="仿宋_GB2312" w:hAnsi="仿宋_GB2312" w:cs="仿宋_GB2312" w:eastAsia="仿宋_GB2312"/>
                <w:sz w:val="21"/>
                <w:color w:val="4874CB"/>
              </w:rPr>
              <w:t>2.参与方：项目承建单位、项目单位、监理单位。</w:t>
            </w:r>
          </w:p>
          <w:p>
            <w:pPr>
              <w:pStyle w:val="null3"/>
              <w:ind w:firstLine="420"/>
            </w:pPr>
            <w:r>
              <w:rPr>
                <w:rFonts w:ascii="仿宋_GB2312" w:hAnsi="仿宋_GB2312" w:cs="仿宋_GB2312" w:eastAsia="仿宋_GB2312"/>
                <w:sz w:val="21"/>
                <w:color w:val="4874CB"/>
              </w:rPr>
              <w:t>3.验收流程：项目单位向省档案局提出档案专项验收申请，由省档案局组织，项目单位、承建单位和监理等相关单位参与，邀请专家参加，在项目竣工验收前1个月，对项目档案材料的原始性、齐全性、档案整理的规范性、档案保管的安全性等方面情况，开展档案专项验收，并形成专项验收意见。</w:t>
            </w:r>
          </w:p>
          <w:p>
            <w:pPr>
              <w:pStyle w:val="null3"/>
              <w:ind w:firstLine="420"/>
            </w:pPr>
            <w:r>
              <w:rPr>
                <w:rFonts w:ascii="仿宋_GB2312" w:hAnsi="仿宋_GB2312" w:cs="仿宋_GB2312" w:eastAsia="仿宋_GB2312"/>
                <w:sz w:val="21"/>
                <w:color w:val="4874CB"/>
              </w:rPr>
              <w:t>4.</w:t>
            </w:r>
            <w:r>
              <w:rPr>
                <w:rFonts w:ascii="仿宋_GB2312" w:hAnsi="仿宋_GB2312" w:cs="仿宋_GB2312" w:eastAsia="仿宋_GB2312"/>
                <w:sz w:val="21"/>
                <w:color w:val="4874CB"/>
              </w:rPr>
              <w:t>档案专项验收文档</w:t>
            </w:r>
            <w:r>
              <w:rPr>
                <w:rFonts w:ascii="仿宋_GB2312" w:hAnsi="仿宋_GB2312" w:cs="仿宋_GB2312" w:eastAsia="仿宋_GB2312"/>
                <w:sz w:val="21"/>
                <w:color w:val="4874CB"/>
              </w:rPr>
              <w:t>：包括项目申报材料、项目批复材料、项目采购文档、项目实施文档、项目初步验收文档、项目试运行与测试文档、项目终验文档等。</w:t>
            </w:r>
          </w:p>
          <w:p>
            <w:pPr>
              <w:pStyle w:val="null3"/>
              <w:jc w:val="both"/>
              <w:outlineLvl w:val="2"/>
            </w:pPr>
            <w:r>
              <w:rPr>
                <w:rFonts w:ascii="仿宋_GB2312" w:hAnsi="仿宋_GB2312" w:cs="仿宋_GB2312" w:eastAsia="仿宋_GB2312"/>
                <w:sz w:val="21"/>
                <w:b/>
                <w:color w:val="4874CB"/>
              </w:rPr>
              <w:t>3.11.4竣工验收</w:t>
            </w:r>
          </w:p>
          <w:p>
            <w:pPr>
              <w:pStyle w:val="null3"/>
              <w:ind w:firstLine="420"/>
            </w:pPr>
            <w:r>
              <w:rPr>
                <w:rFonts w:ascii="仿宋_GB2312" w:hAnsi="仿宋_GB2312" w:cs="仿宋_GB2312" w:eastAsia="仿宋_GB2312"/>
                <w:sz w:val="21"/>
                <w:color w:val="4874CB"/>
              </w:rPr>
              <w:t>符合竣工验收条件之后，项目单位向省数据和政务服务局提交竣工验收申请，启动竣工验收工作，形成竣工验收意见。</w:t>
            </w:r>
          </w:p>
          <w:p>
            <w:pPr>
              <w:pStyle w:val="null3"/>
              <w:ind w:firstLine="420"/>
            </w:pPr>
            <w:r>
              <w:rPr>
                <w:rFonts w:ascii="仿宋_GB2312" w:hAnsi="仿宋_GB2312" w:cs="仿宋_GB2312" w:eastAsia="仿宋_GB2312"/>
                <w:sz w:val="21"/>
                <w:color w:val="4874CB"/>
              </w:rPr>
              <w:t>1.验收条件</w:t>
            </w:r>
          </w:p>
          <w:p>
            <w:pPr>
              <w:pStyle w:val="null3"/>
              <w:ind w:firstLine="420"/>
            </w:pPr>
            <w:r>
              <w:rPr>
                <w:rFonts w:ascii="仿宋_GB2312" w:hAnsi="仿宋_GB2312" w:cs="仿宋_GB2312" w:eastAsia="仿宋_GB2312"/>
                <w:sz w:val="21"/>
                <w:color w:val="4874CB"/>
              </w:rPr>
              <w:t>（</w:t>
            </w:r>
            <w:r>
              <w:rPr>
                <w:rFonts w:ascii="仿宋_GB2312" w:hAnsi="仿宋_GB2312" w:cs="仿宋_GB2312" w:eastAsia="仿宋_GB2312"/>
                <w:sz w:val="21"/>
                <w:color w:val="4874CB"/>
              </w:rPr>
              <w:t>1）全部完成经批准的技术方案规定的内容，满足系统运行的需要，达到预期目标或设计参数要求。</w:t>
            </w:r>
          </w:p>
          <w:p>
            <w:pPr>
              <w:pStyle w:val="null3"/>
              <w:ind w:firstLine="420"/>
            </w:pPr>
            <w:r>
              <w:rPr>
                <w:rFonts w:ascii="仿宋_GB2312" w:hAnsi="仿宋_GB2312" w:cs="仿宋_GB2312" w:eastAsia="仿宋_GB2312"/>
                <w:sz w:val="21"/>
                <w:color w:val="4874CB"/>
              </w:rPr>
              <w:t>（</w:t>
            </w:r>
            <w:r>
              <w:rPr>
                <w:rFonts w:ascii="仿宋_GB2312" w:hAnsi="仿宋_GB2312" w:cs="仿宋_GB2312" w:eastAsia="仿宋_GB2312"/>
                <w:sz w:val="21"/>
                <w:color w:val="4874CB"/>
              </w:rPr>
              <w:t>2）项目最终验收合格，完成最终验收问题整改。</w:t>
            </w:r>
          </w:p>
          <w:p>
            <w:pPr>
              <w:pStyle w:val="null3"/>
              <w:ind w:firstLine="420"/>
            </w:pPr>
            <w:r>
              <w:rPr>
                <w:rFonts w:ascii="仿宋_GB2312" w:hAnsi="仿宋_GB2312" w:cs="仿宋_GB2312" w:eastAsia="仿宋_GB2312"/>
                <w:sz w:val="21"/>
                <w:color w:val="4874CB"/>
              </w:rPr>
              <w:t>（</w:t>
            </w:r>
            <w:r>
              <w:rPr>
                <w:rFonts w:ascii="仿宋_GB2312" w:hAnsi="仿宋_GB2312" w:cs="仿宋_GB2312" w:eastAsia="仿宋_GB2312"/>
                <w:sz w:val="21"/>
                <w:color w:val="4874CB"/>
              </w:rPr>
              <w:t>3）完成预算执行情况报告和初步的财务决算，第三方审计机构出具项目财务审计报告，并完成相关问题整改。</w:t>
            </w:r>
          </w:p>
          <w:p>
            <w:pPr>
              <w:pStyle w:val="null3"/>
              <w:ind w:firstLine="420"/>
            </w:pPr>
            <w:r>
              <w:rPr>
                <w:rFonts w:ascii="仿宋_GB2312" w:hAnsi="仿宋_GB2312" w:cs="仿宋_GB2312" w:eastAsia="仿宋_GB2312"/>
                <w:sz w:val="21"/>
                <w:color w:val="4874CB"/>
              </w:rPr>
              <w:t>（</w:t>
            </w:r>
            <w:r>
              <w:rPr>
                <w:rFonts w:ascii="仿宋_GB2312" w:hAnsi="仿宋_GB2312" w:cs="仿宋_GB2312" w:eastAsia="仿宋_GB2312"/>
                <w:sz w:val="21"/>
                <w:color w:val="4874CB"/>
              </w:rPr>
              <w:t>4）密码应用安全性评估报告应在省委机要局（省国家密码局）备案并取得备案回执。</w:t>
            </w:r>
          </w:p>
          <w:p>
            <w:pPr>
              <w:pStyle w:val="null3"/>
              <w:ind w:firstLine="420"/>
            </w:pPr>
            <w:r>
              <w:rPr>
                <w:rFonts w:ascii="仿宋_GB2312" w:hAnsi="仿宋_GB2312" w:cs="仿宋_GB2312" w:eastAsia="仿宋_GB2312"/>
                <w:sz w:val="21"/>
                <w:color w:val="4874CB"/>
              </w:rPr>
              <w:t>（</w:t>
            </w:r>
            <w:r>
              <w:rPr>
                <w:rFonts w:ascii="仿宋_GB2312" w:hAnsi="仿宋_GB2312" w:cs="仿宋_GB2312" w:eastAsia="仿宋_GB2312"/>
                <w:sz w:val="21"/>
                <w:color w:val="4874CB"/>
              </w:rPr>
              <w:t>5）完成档案专项验收及相关问题整改。</w:t>
            </w:r>
          </w:p>
          <w:p>
            <w:pPr>
              <w:pStyle w:val="null3"/>
              <w:ind w:firstLine="420"/>
            </w:pPr>
            <w:r>
              <w:rPr>
                <w:rFonts w:ascii="仿宋_GB2312" w:hAnsi="仿宋_GB2312" w:cs="仿宋_GB2312" w:eastAsia="仿宋_GB2312"/>
                <w:sz w:val="21"/>
                <w:color w:val="4874CB"/>
              </w:rPr>
              <w:t>（</w:t>
            </w:r>
            <w:r>
              <w:rPr>
                <w:rFonts w:ascii="仿宋_GB2312" w:hAnsi="仿宋_GB2312" w:cs="仿宋_GB2312" w:eastAsia="仿宋_GB2312"/>
                <w:sz w:val="21"/>
                <w:color w:val="4874CB"/>
              </w:rPr>
              <w:t>6）在数字资源管理平台上完成项目管理全流程信息录入，包含采购备案、建设实施、项目验收等文档资料。</w:t>
            </w:r>
          </w:p>
          <w:p>
            <w:pPr>
              <w:pStyle w:val="null3"/>
              <w:ind w:firstLine="420"/>
            </w:pPr>
            <w:r>
              <w:rPr>
                <w:rFonts w:ascii="仿宋_GB2312" w:hAnsi="仿宋_GB2312" w:cs="仿宋_GB2312" w:eastAsia="仿宋_GB2312"/>
                <w:sz w:val="21"/>
                <w:color w:val="4874CB"/>
              </w:rPr>
              <w:t>2.参与方：项目承建单位和项目单位、省数据和政务服务局、省委网信办、省发展改革委、省公安厅、省财政厅、省委机要局（省国家密码管理局）、省国家保密局。</w:t>
            </w:r>
          </w:p>
          <w:p>
            <w:pPr>
              <w:pStyle w:val="null3"/>
              <w:ind w:firstLine="420"/>
            </w:pPr>
            <w:r>
              <w:rPr>
                <w:rFonts w:ascii="仿宋_GB2312" w:hAnsi="仿宋_GB2312" w:cs="仿宋_GB2312" w:eastAsia="仿宋_GB2312"/>
                <w:sz w:val="21"/>
                <w:color w:val="4874CB"/>
              </w:rPr>
              <w:t>3.验收流程：项目单位向省数据和政务服务局提交竣工验收申请，由省数据和政务服务局组织，省委网信办、省发展改革委、省公安厅、省财政厅、省委机要局（省国家密码管理局）、省国家保密局，项目单位、承建单位、监理单位、测试评估等相关单位及专家参与，对项目是否符合批复文件要求是否达到设计要求、资金绩效、质量水平等方面情况，开展竣工验收并形成验收意见。</w:t>
            </w:r>
          </w:p>
          <w:p>
            <w:pPr>
              <w:pStyle w:val="null3"/>
              <w:ind w:firstLine="420"/>
            </w:pPr>
            <w:r>
              <w:rPr>
                <w:rFonts w:ascii="仿宋_GB2312" w:hAnsi="仿宋_GB2312" w:cs="仿宋_GB2312" w:eastAsia="仿宋_GB2312"/>
                <w:sz w:val="21"/>
                <w:color w:val="4874CB"/>
              </w:rPr>
              <w:t>4.验收内容</w:t>
            </w:r>
          </w:p>
          <w:p>
            <w:pPr>
              <w:pStyle w:val="null3"/>
              <w:ind w:firstLine="420"/>
            </w:pPr>
            <w:r>
              <w:rPr>
                <w:rFonts w:ascii="仿宋_GB2312" w:hAnsi="仿宋_GB2312" w:cs="仿宋_GB2312" w:eastAsia="仿宋_GB2312"/>
                <w:sz w:val="21"/>
                <w:color w:val="4874CB"/>
              </w:rPr>
              <w:t>（</w:t>
            </w:r>
            <w:r>
              <w:rPr>
                <w:rFonts w:ascii="仿宋_GB2312" w:hAnsi="仿宋_GB2312" w:cs="仿宋_GB2312" w:eastAsia="仿宋_GB2312"/>
                <w:sz w:val="21"/>
                <w:color w:val="4874CB"/>
              </w:rPr>
              <w:t>1）总体情况。对照省发展改革委批复的可行性研究报告、初步设计和投资概算、实施方案及批复文件，审查项目技术标准符合情况、建设任务完成情况、建设内容完整性，是否达到预期目标；</w:t>
            </w:r>
          </w:p>
          <w:p>
            <w:pPr>
              <w:pStyle w:val="null3"/>
              <w:ind w:firstLine="420"/>
            </w:pPr>
            <w:r>
              <w:rPr>
                <w:rFonts w:ascii="仿宋_GB2312" w:hAnsi="仿宋_GB2312" w:cs="仿宋_GB2312" w:eastAsia="仿宋_GB2312"/>
                <w:sz w:val="21"/>
                <w:color w:val="4874CB"/>
              </w:rPr>
              <w:t>（</w:t>
            </w:r>
            <w:r>
              <w:rPr>
                <w:rFonts w:ascii="仿宋_GB2312" w:hAnsi="仿宋_GB2312" w:cs="仿宋_GB2312" w:eastAsia="仿宋_GB2312"/>
                <w:sz w:val="21"/>
                <w:color w:val="4874CB"/>
              </w:rPr>
              <w:t>2）调整变更。审查项目建设中建设内容是否有调整，是否已按规定履行审批或备案手续；</w:t>
            </w:r>
          </w:p>
          <w:p>
            <w:pPr>
              <w:pStyle w:val="null3"/>
              <w:ind w:firstLine="420"/>
            </w:pPr>
            <w:r>
              <w:rPr>
                <w:rFonts w:ascii="仿宋_GB2312" w:hAnsi="仿宋_GB2312" w:cs="仿宋_GB2312" w:eastAsia="仿宋_GB2312"/>
                <w:sz w:val="21"/>
                <w:color w:val="4874CB"/>
              </w:rPr>
              <w:t>（</w:t>
            </w:r>
            <w:r>
              <w:rPr>
                <w:rFonts w:ascii="仿宋_GB2312" w:hAnsi="仿宋_GB2312" w:cs="仿宋_GB2312" w:eastAsia="仿宋_GB2312"/>
                <w:sz w:val="21"/>
                <w:color w:val="4874CB"/>
              </w:rPr>
              <w:t>3）招标采购。检查项目招标采购是否符合国家有关法律法规，是否按照信创要求开展设备选型和产品采购；</w:t>
            </w:r>
          </w:p>
          <w:p>
            <w:pPr>
              <w:pStyle w:val="null3"/>
              <w:ind w:firstLine="420"/>
            </w:pPr>
            <w:r>
              <w:rPr>
                <w:rFonts w:ascii="仿宋_GB2312" w:hAnsi="仿宋_GB2312" w:cs="仿宋_GB2312" w:eastAsia="仿宋_GB2312"/>
                <w:sz w:val="21"/>
                <w:color w:val="4874CB"/>
              </w:rPr>
              <w:t>（</w:t>
            </w:r>
            <w:r>
              <w:rPr>
                <w:rFonts w:ascii="仿宋_GB2312" w:hAnsi="仿宋_GB2312" w:cs="仿宋_GB2312" w:eastAsia="仿宋_GB2312"/>
                <w:sz w:val="21"/>
                <w:color w:val="4874CB"/>
              </w:rPr>
              <w:t>4）建设质量。审查网络、应用、安全等系统的工程质量，应用系统功能、性能和稳定性等主要技术指标是否达到方案设计要求；</w:t>
            </w:r>
          </w:p>
          <w:p>
            <w:pPr>
              <w:pStyle w:val="null3"/>
              <w:ind w:firstLine="420"/>
            </w:pPr>
            <w:r>
              <w:rPr>
                <w:rFonts w:ascii="仿宋_GB2312" w:hAnsi="仿宋_GB2312" w:cs="仿宋_GB2312" w:eastAsia="仿宋_GB2312"/>
                <w:sz w:val="21"/>
                <w:color w:val="4874CB"/>
              </w:rPr>
              <w:t>（</w:t>
            </w:r>
            <w:r>
              <w:rPr>
                <w:rFonts w:ascii="仿宋_GB2312" w:hAnsi="仿宋_GB2312" w:cs="仿宋_GB2312" w:eastAsia="仿宋_GB2312"/>
                <w:sz w:val="21"/>
                <w:color w:val="4874CB"/>
              </w:rPr>
              <w:t>5）建设过程。检查系统集成、监理等是否符合国家相关规定，是否按规范开展第三方软件测评、安全风险评估、密码应用安全性评估等，信息资源目录是否纳入省政务数据共享交换平台。</w:t>
            </w:r>
          </w:p>
          <w:p>
            <w:pPr>
              <w:pStyle w:val="null3"/>
              <w:ind w:firstLine="420"/>
            </w:pPr>
            <w:r>
              <w:rPr>
                <w:rFonts w:ascii="仿宋_GB2312" w:hAnsi="仿宋_GB2312" w:cs="仿宋_GB2312" w:eastAsia="仿宋_GB2312"/>
                <w:sz w:val="21"/>
                <w:color w:val="4874CB"/>
              </w:rPr>
              <w:t>竣工验收文档</w:t>
            </w:r>
            <w:r>
              <w:rPr>
                <w:rFonts w:ascii="仿宋_GB2312" w:hAnsi="仿宋_GB2312" w:cs="仿宋_GB2312" w:eastAsia="仿宋_GB2312"/>
                <w:sz w:val="21"/>
                <w:color w:val="4874CB"/>
              </w:rPr>
              <w:t>包括但不限于项目单位竣工验收申请函、项目建设总结、国产自主可控情况报告、财务报告、第三方审计报告、监理单位监理总结报告、其他竣工验收需要的材料等。</w:t>
            </w:r>
          </w:p>
          <w:p>
            <w:pPr>
              <w:pStyle w:val="null3"/>
              <w:spacing w:after="120"/>
              <w:ind w:firstLine="420"/>
              <w:jc w:val="both"/>
            </w:pPr>
            <w:r>
              <w:rPr>
                <w:rFonts w:ascii="仿宋_GB2312" w:hAnsi="仿宋_GB2312" w:cs="仿宋_GB2312" w:eastAsia="仿宋_GB2312"/>
              </w:rPr>
              <w:t xml:space="preserve"> </w:t>
            </w:r>
          </w:p>
          <w:p>
            <w:pPr>
              <w:pStyle w:val="null3"/>
              <w:jc w:val="both"/>
              <w:outlineLvl w:val="0"/>
            </w:pPr>
            <w:r>
              <w:rPr>
                <w:rFonts w:ascii="仿宋_GB2312" w:hAnsi="仿宋_GB2312" w:cs="仿宋_GB2312" w:eastAsia="仿宋_GB2312"/>
                <w:sz w:val="21"/>
                <w:b/>
                <w:color w:val="4874CB"/>
              </w:rPr>
              <w:t>附录：</w:t>
            </w:r>
            <w:r>
              <w:rPr>
                <w:rFonts w:ascii="仿宋_GB2312" w:hAnsi="仿宋_GB2312" w:cs="仿宋_GB2312" w:eastAsia="仿宋_GB2312"/>
                <w:sz w:val="21"/>
                <w:b/>
                <w:color w:val="4874CB"/>
              </w:rPr>
              <w:t>功能点识别明细表</w:t>
            </w:r>
          </w:p>
          <w:p>
            <w:pPr>
              <w:pStyle w:val="null3"/>
              <w:ind w:firstLine="420"/>
              <w:jc w:val="both"/>
            </w:pPr>
            <w:r>
              <w:rPr>
                <w:rFonts w:ascii="仿宋_GB2312" w:hAnsi="仿宋_GB2312" w:cs="仿宋_GB2312" w:eastAsia="仿宋_GB2312"/>
                <w:sz w:val="21"/>
                <w:color w:val="4874CB"/>
              </w:rPr>
              <w:t>本项目系统软件开发预估功能点如下：</w:t>
            </w:r>
          </w:p>
          <w:p>
            <w:pPr>
              <w:pStyle w:val="null3"/>
              <w:spacing w:after="120"/>
              <w:jc w:val="center"/>
            </w:pPr>
            <w:r>
              <w:rPr>
                <w:rFonts w:ascii="仿宋_GB2312" w:hAnsi="仿宋_GB2312" w:cs="仿宋_GB2312" w:eastAsia="仿宋_GB2312"/>
                <w:sz w:val="21"/>
                <w:color w:val="4874CB"/>
              </w:rPr>
              <w:t>附表</w:t>
            </w:r>
            <w:r>
              <w:rPr>
                <w:rFonts w:ascii="仿宋_GB2312" w:hAnsi="仿宋_GB2312" w:cs="仿宋_GB2312" w:eastAsia="仿宋_GB2312"/>
                <w:sz w:val="21"/>
                <w:color w:val="4874CB"/>
              </w:rPr>
              <w:t>1-1 功能点识别明细表</w:t>
            </w:r>
          </w:p>
          <w:tbl>
            <w:tblPr>
              <w:tblBorders>
                <w:top w:val="none" w:color="000000" w:sz="4"/>
                <w:left w:val="none" w:color="000000" w:sz="4"/>
                <w:bottom w:val="none" w:color="000000" w:sz="4"/>
                <w:right w:val="none" w:color="000000" w:sz="4"/>
                <w:insideH w:val="none"/>
                <w:insideV w:val="none"/>
              </w:tblBorders>
            </w:tblPr>
            <w:tblGrid>
              <w:gridCol w:w="171"/>
              <w:gridCol w:w="243"/>
              <w:gridCol w:w="335"/>
              <w:gridCol w:w="436"/>
              <w:gridCol w:w="675"/>
            </w:tblGrid>
            <w:tr>
              <w:tc>
                <w:tcPr>
                  <w:tcW w:type="dxa" w:w="17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4874CB"/>
                    </w:rPr>
                    <w:t>序号</w:t>
                  </w:r>
                </w:p>
              </w:tc>
              <w:tc>
                <w:tcPr>
                  <w:tcW w:type="dxa" w:w="24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4874CB"/>
                    </w:rPr>
                    <w:t>子系统</w:t>
                  </w:r>
                </w:p>
              </w:tc>
              <w:tc>
                <w:tcPr>
                  <w:tcW w:type="dxa" w:w="33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4874CB"/>
                    </w:rPr>
                    <w:t>一级模块</w:t>
                  </w:r>
                </w:p>
              </w:tc>
              <w:tc>
                <w:tcPr>
                  <w:tcW w:type="dxa" w:w="43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4874CB"/>
                    </w:rPr>
                    <w:t>二级模块</w:t>
                  </w:r>
                </w:p>
              </w:tc>
              <w:tc>
                <w:tcPr>
                  <w:tcW w:type="dxa" w:w="67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4874CB"/>
                    </w:rPr>
                    <w:t>功能点计数项名称</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w:t>
                  </w:r>
                </w:p>
              </w:tc>
              <w:tc>
                <w:tcPr>
                  <w:tcW w:type="dxa" w:w="24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首页</w:t>
                  </w: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通知</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便捷审核通知及入口</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便捷审核列表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发送待审核跳转</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业务模板待审核跳转</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最后登录时间</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最后登录时间列表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图表展示</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消息统计</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消息统计列表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近一周消息统计查询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近两周消息统计查询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近一个月消息统计查询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业务模板发送</w:t>
                  </w:r>
                  <w:r>
                    <w:rPr>
                      <w:rFonts w:ascii="仿宋_GB2312" w:hAnsi="仿宋_GB2312" w:cs="仿宋_GB2312" w:eastAsia="仿宋_GB2312"/>
                      <w:sz w:val="21"/>
                      <w:color w:val="4874CB"/>
                    </w:rPr>
                    <w:t>TOP5</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业务模板发送</w:t>
                  </w:r>
                  <w:r>
                    <w:rPr>
                      <w:rFonts w:ascii="仿宋_GB2312" w:hAnsi="仿宋_GB2312" w:cs="仿宋_GB2312" w:eastAsia="仿宋_GB2312"/>
                      <w:sz w:val="21"/>
                      <w:color w:val="4874CB"/>
                    </w:rPr>
                    <w:t>TOP5列表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昨日业务模板发送</w:t>
                  </w:r>
                  <w:r>
                    <w:rPr>
                      <w:rFonts w:ascii="仿宋_GB2312" w:hAnsi="仿宋_GB2312" w:cs="仿宋_GB2312" w:eastAsia="仿宋_GB2312"/>
                      <w:sz w:val="21"/>
                      <w:color w:val="4874CB"/>
                    </w:rPr>
                    <w:t>TOP5查询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近一个月业务模板发送</w:t>
                  </w:r>
                  <w:r>
                    <w:rPr>
                      <w:rFonts w:ascii="仿宋_GB2312" w:hAnsi="仿宋_GB2312" w:cs="仿宋_GB2312" w:eastAsia="仿宋_GB2312"/>
                      <w:sz w:val="21"/>
                      <w:color w:val="4874CB"/>
                    </w:rPr>
                    <w:t>TOP5查询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消息类型发送占比</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消息类型发送占比列表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昨日消息类型发送占比查询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近一个月消息类型发送占比查询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消息类型上行占比</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消息类型上行占比列表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昨日消息类型上行占比查询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近一个月消息类型上行占比查询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18</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个人中心</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个人中心</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个人中心列表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个人信息编辑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20</w:t>
                  </w:r>
                </w:p>
              </w:tc>
              <w:tc>
                <w:tcPr>
                  <w:tcW w:type="dxa" w:w="24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发送中心</w:t>
                  </w: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单一渠道发送</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短信发送列表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模板引用发送</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定时发送</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发送结果推送</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消息滤重发送</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敏感字前置校验</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归属机构设置</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发送预览查询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选择收件人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智能消息发送列表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模板引用发送</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定时发送</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发送结果推送</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消息滤重发送</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敏感字前置校验</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归属机构设置</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发送预览查询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选择收件人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语音通知发送列表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模板引用发送</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定时发送</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发送结果推送</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消息滤重发送</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敏感字前置校验</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归属机构设置</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发送预览查询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选择收件人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微信模板消息发送列表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微信模板消息模板引用发送</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微信模板消息定时发送</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微信模板消息发送结果推送</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微信模板消息－消息滤重发送</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敏感字前置校验</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微信模板消息归属机构设置</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微信模板消息发送预览查询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微信群发消息发送列表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微信群发消息模板引用发送</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微信群发消息定时发送</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微信群发消息发送结果推送</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微信群发消息－消息滤重发送</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敏感字前置校验</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微信群发消息归属机构设置</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微信群发消息发送预览查询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邮件发送列表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模板引用发送</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定时发送</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发送结果推送</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消息滤重发送</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敏感字前置校验</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归属机构设置</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发送预览查询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选择收件人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APP通知栏消息发送列表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APP通知栏消息模板引用发送</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APP通知栏消息定时发送</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APP通知栏消息发送结果推送</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APP通知栏消息－消息滤重发送</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敏感字前置校验</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APP通道策略设置</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APP通知栏消息归属机构设置</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APP通知栏消息发送预览查询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APP透传消息发送列表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APP透传消息模板引用发送</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透传消息渲染通知栏消息</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APP透传消息定时发送</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APP透传消息发送结果推送</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APP透传消息－消息滤重发送</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敏感字前置校验</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APP透传消息归属机构设置</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APP透传消息发送预览查询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90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支付宝小程序</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支付宝小程序发送列表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91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模板引用发送</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92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定时发送</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93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发送结果推送</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94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消息滤重发送</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95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归属机构设置</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96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发送预览查询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97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大数据短信</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大数据短信发送列表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98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模板引用发送</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99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定时发送</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100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发送结果推送</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101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消息滤重发送</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102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归属机构设置</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103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发送预览查询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104</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融合发送</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多渠道融合发送</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多渠道融合发送列表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105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模板引用发送</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106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定时发送</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107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发送结果推送</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108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消息滤重发送</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109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敏感字前置校验</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110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归属机构设置</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111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发送预览查询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112</w:t>
                  </w:r>
                </w:p>
              </w:tc>
              <w:tc>
                <w:tcPr>
                  <w:tcW w:type="dxa" w:w="24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业务中心</w:t>
                  </w: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业务模板管理</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业务分类设置</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业务分类设置列表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113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新增分类</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114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编辑分类</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115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删除分类</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116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业务模板设置</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业务模板设置列表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117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新增模板</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118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绑定账号</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119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分类转换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120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修改渠道</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121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删除模板</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122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基础信息</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基础信息设置列表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123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业务变量规划新增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124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截止有效时间设置</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125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策略信息设置</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策略信息设置列表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126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优先级设置</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127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消息类型设置</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128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应用类型设置</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129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渠道配置</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130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APP消息分类设置</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131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渠道分流配比设置</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132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发送策略设置</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发送策略设置列表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133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发送方式设置</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134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智能客群设置</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135</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数据业务</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大数据标签任务</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大数据标签任务列表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136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新增任务</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137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号码打标</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138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查看详情</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139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查看结果</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140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失败原因分析</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141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标签明细记录</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大数据标签列表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142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大数据标签信息导出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143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历史记录列表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144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历史记录导出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145</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消息盒子</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消息盒子分类管理</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消息盒子分类列表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146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新增分类</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147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编辑分类</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148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启停分类</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149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删除分类</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150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消息盒子业务模板</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消息盒子业务模板列表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151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绑定业务模板</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152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转换绑定关系</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153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解除绑定关系</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154</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链接管理</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长链接管理</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长链接管理列表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155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新增长链接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156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删除长链接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157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小程序链接管理</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小程序链接管理列表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158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新增小程序链接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159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删除小程序链接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160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智能消息链接管理</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智能消息链接管理列表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161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新增智能消息链接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162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删除智能消息链接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163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短链域名管理</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短链域名管理列表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164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新增短链域名</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165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删除短链域名</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166</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模板库</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短信模板列表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167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168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169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插入变量</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170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插入短链</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171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停用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172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173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智能消息模板设置列表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174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175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模板类型设置</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176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模板样式设置</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177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智能消息回落短信原文模板设置</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178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图文设置</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179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图片点击事件设置</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180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图片跳转链接设置</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181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短信原文回落模板设置</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182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按钮点击事件设置</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183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按钮跳转链接设置</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184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185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停用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186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187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语音通知模板设置列表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188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189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插入变量</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190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191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停用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192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193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微信模板设置列表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194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195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插入微信模板规范</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196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模板跳转动作设置</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197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插入业务变量</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198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199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停用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200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201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邮件模板设置列表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202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203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插入变量</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204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插入短链</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205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添加附件</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206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207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停用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208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209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APP模板设置列表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210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211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插入变量</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212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设置点击动作</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213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上传图片</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214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215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停用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216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217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支付宝小程序</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支付宝小程序模板设置列表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218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219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220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停用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221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222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大数据短信</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大数据短信模板设置列表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223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224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225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停用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226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227</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素材库</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公共素材库</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公共图片素材配置列表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228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公共图片素材分组新增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229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公共图片素材分组编辑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230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公共图片素材分组删除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231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公共图片素材上传</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232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公共图片素材编辑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233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公共图片素材引用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234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公共图片素材引用记录查看</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235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公共图片素材移动分组</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236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公共图片素材删除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237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图片素材新增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238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公共视频素材配置列表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239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公共视频素材分组新增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240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公共视频素材分组编辑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241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公共视频素材分组删除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242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公共视频素材上传</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243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公共视频素材编辑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244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公共视频素材引用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245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公共视频素材引用记录查看</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246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公共视频素材移动分组</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247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公共视频素材删除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248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视频素材新增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249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公共音频素材配置列表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250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公共音频素材分组新增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251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公共音频素材分组编辑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252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公共音频素材分组删除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253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公共音频素材上传</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254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公共音频素材编辑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255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公共音频素材引用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256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公共音频素材引用记录查看</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257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公共音频素材移动分组</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258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公共音频素材删除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259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智能消息素材库</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智能消息图片素材配置列表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260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智能消息图片素材分组新增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261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智能消息图片素材分组编辑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262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智能消息图片素材分组删除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263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智能消息图片素材移动分组</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264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智能消息图片素材移除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265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智能消息视频素材配置列表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266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智能消息视频素材分组新增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267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智能消息视频素材分组编辑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268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智能消息视频素材分组删除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269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智能消息视频素材移动分组</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270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智能消息视频素材移除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271</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接收配置</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短信关键字接收列表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272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短信关键字接收新增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273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短信关键字接收编辑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274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短信关键字接收停用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275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短信关键字接收删除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276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短信渠道接收列表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277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短信渠道接收新增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278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短信渠道接收编辑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279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短信渠道接收停用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280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短信渠道接收删除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281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短信默认接收列表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282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短信默认接收新增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283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短信默认接收编辑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284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短信默认接收停用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285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短信默认接收删除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286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语音通知关键字接收列表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287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语音通知关键字接收新增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288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语音通知关键字接收编辑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289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语音通知关键字接收停用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290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语音通知关键字接收删除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291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语音通知渠道接收列表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292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语音通知渠道接收新增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293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语音通知渠道接收编辑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294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语音通知渠道接收停用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295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语音通知渠道接收删除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296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语音通知默认接收列表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297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语音通知默认接收新增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298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语音通知默认接收编辑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299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语音通知默认接收停用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300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语音通知默认接收删除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301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微信关键字接收列表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302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微信关键字接收新增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303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微信关键字接收编辑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304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微信关键字接收停用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305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微信关键字接收删除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306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微信渠道接收列表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307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微信渠道接收新增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308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微信渠道接收编辑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309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微信渠道接收停用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310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微信渠道接收删除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311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微信默认接收列表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312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微信默认接收新增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313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微信默认接收编辑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314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微信默认接收停用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315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微信默认接收删除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316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邮件关键字接收列表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317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邮件关键字接收新增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318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邮件关键字接收编辑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319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邮件关键字接收停用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320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邮件关键字接收删除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321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邮件渠道接收列表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322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邮件渠道接收新增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323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邮件渠道接收编辑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324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邮件渠道接收停用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325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邮件渠道接收删除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326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邮件默认接收列表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327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邮件默认接收新增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328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邮件默认接收编辑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329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邮件默认接收停用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330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邮件默认接收删除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331</w:t>
                  </w:r>
                </w:p>
              </w:tc>
              <w:tc>
                <w:tcPr>
                  <w:tcW w:type="dxa" w:w="24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消息记录中心</w:t>
                  </w: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发送记录</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批次发送记录栏目</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发送记录列表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332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发送记录全部导出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333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发送记录一键取消</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334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发送记录失败重发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335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发送记录详情查询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336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发送结果自动上报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337</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发送详情</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普通消息发送详情列表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338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普通消息发送详情导出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339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普通消息发送结果自动上报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340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智能消息发送详情列表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341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智能消息发送详情导出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342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智能消息发送结果自动上报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343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自动回复发送详情列表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344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自动回复发送详情导出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345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自动回复结果自动上报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346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短信回复发送详情列表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347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短信回复发送详情导出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348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短信回复结果自动上报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349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语音通知发送详情列表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350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语音通知发送详情导出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351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语音通知发送结果自动上报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352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微信模板消息发送详情列表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353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微信模板消息发送详情导出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354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微信模板消息发送结果自动上报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355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微信预发送消息发送详情列表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356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微信预发送消息发送详情导出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357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微信预发送消息发送结果自动上报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358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微信群发消息发送详情列表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359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微信群发消息发送详情导出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360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微信群发消息发送结果自动上报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361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微信私信回复发送详情列表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362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微信私信回复发送详情导出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363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微信私信回复结果自动上报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364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微信评论回复发送详情列表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365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微信评论回复发送详情导出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366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微信评论回复结果自动上报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367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微信自动回复发送详情列表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368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微信自动回复发送详情导出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369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微信自动回复结果自动上报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370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普通邮件发送详情列表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371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普通邮件发送详情导出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372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普通邮件发送结果自动上报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373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邮件自动回复发送详情列表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374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邮件自动回复发送详情导出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375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邮件自动回复结果自动上报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376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邮件回复发送详情列表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377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邮件回复发送详情导出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378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邮件回复结果自动上报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379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APP通知栏消息发送详情列表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380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APP通知栏消息发送详情导出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381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APP通知栏消息发送结果自动上报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382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APP透传消息发送详情列表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383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APP透传消息发送详情导出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384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APP透传消息发送结果自动上报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385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支付宝小程序</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支付宝小程序发送详情列表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386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支付宝小程序发送详情导出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387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支付宝小程序发送结果自动上报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388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大数据短信</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大数据短信发送详情列表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389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大数据短信发送详情导出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390</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接收记录</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短信接收记录列表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391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短信回复</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392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短信接收记录导出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393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接收内容自动上报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394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语音通知接收记录列表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395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语音通知回复</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396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语音通知接收记录导出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397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接收内容自动上报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398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邮件接收记录列表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399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邮件回复</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400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邮件接收记录导出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401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接收内容自动上报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402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微信私信接收记录列表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403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微信私信回复</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404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微信私信接收记录导出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405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接收内容自动上报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406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微信评论接收记录列表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407</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消息交互时光轴</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全渠道消息交互时光轴栏目</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消息交互时光轴列表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408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消息类型选择</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409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通讯录类型选择</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410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消息交互时光轴全消息渠道查看</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411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消息交互时光轴短信记录查看</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412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消息交互时光轴智能消息记录查看</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413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消息交互时光轴语音通知记录查看</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414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消息交互时光轴微信记录查看</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415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消息交互时光轴邮件记录查看</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416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消息交互时光轴</w:t>
                  </w:r>
                  <w:r>
                    <w:rPr>
                      <w:rFonts w:ascii="仿宋_GB2312" w:hAnsi="仿宋_GB2312" w:cs="仿宋_GB2312" w:eastAsia="仿宋_GB2312"/>
                      <w:sz w:val="21"/>
                      <w:color w:val="4874CB"/>
                    </w:rPr>
                    <w:t>APP记录查看</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417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消息交互时光轴支付宝小程序记录查看</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418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消息交互时光轴大数据短信记录查看</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419</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消息自动应答</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短信自动回复列表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420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短信自动回复新增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421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短信自动回复停用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422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短信自动回复编辑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423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短信自动回复删除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424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短信自动上报列表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425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短信自动上报新增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426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短信自动上报停用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427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短信自动上报编辑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428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短信自动上报删除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429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微信自动回复列表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430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微信自动回复新增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431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微信自动回复停用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432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微信自动回复编辑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433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微信自动回复删除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434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微信自动上报列表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435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微信自动上报新增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436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微信自动上报停用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437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微信自动上报编辑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438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微信自动上报删除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439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微信场景回复列表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440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微信场景回复新增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441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微信场景回复停用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442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微信场景回复编辑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443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微信场景回复流程</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444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微信场景回复删除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445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微信场景回复（对话回复）</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446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微信场景回复（调用接口）</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447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微信场景回复（选择判断）</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448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微信场景回复（内容上报）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449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微信新关注回复列表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450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微信新关注回复输入保存</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451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微信新关注回复删除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452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微信接收消息回复列表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453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微信接收消息回复输入保存</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454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微信接收消息回复删除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455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邮件自动回复列表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456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邮件自动回复新增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457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邮件自动回复停用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458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邮件自动回复编辑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459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邮件自动回复删除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460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邮件自动上报列表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461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邮件自动上报新增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462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邮件自动上报停用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463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邮件自动上报编辑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464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邮件自动上报删除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465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邮件接收消息回复列表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466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邮件接收消息回复输入保存</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467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邮件接收消息回复删除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468</w:t>
                  </w:r>
                </w:p>
              </w:tc>
              <w:tc>
                <w:tcPr>
                  <w:tcW w:type="dxa" w:w="24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统计分析</w:t>
                  </w: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社交运营分析</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apppush</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apppush社交运营分析列表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469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APP用户设备占比统计</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470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APP注册用户趋势统计</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471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apppush社交运营分析详情查询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472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apppush社交运营分析导出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473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微信社交运营分析列表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474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微信图文阅读趋势统计</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475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微信图文传播来源统计</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476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微信图文发布频率统计</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477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微信私信趋势统计</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478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微信私信类型统计</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479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微信粉丝趋势分析</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480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微信粉丝来源分析</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481</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链接跟踪分析</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长链统计</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长链统计列表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482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长链统计数据分析详情查询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483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长链统计点击详情查询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484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长链统计批次统计详情查询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485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长链统计数据详情导出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486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短链统计</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短链统计列表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487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短链统计数据分析详情查询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488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短链统计数据详情查询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489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短链统计数据详情导出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490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智能消息短链统计</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智能消息短链统计列表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491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智能消息短链统计数据分析详情查询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492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智能消息短链统计数据详情查询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493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智能消息短链统计数据详情导出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494</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APP点击跟踪分析</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APP点击分析</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APP点击分析列表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495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APP点击分析详情查询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496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APP点击数据详情导出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497</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智能消息解析分析</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链接解析明细</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智能消息链接解析明细列表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498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智能消息链接解析发送效果预览</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499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智能消息链接解析明细导出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500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模板解析明细</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智能消息模板解析明细列表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501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智能消息模板解析发送效果预览</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502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智能消息模板解析明细导出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503</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标签任务统计</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账号所属机构统计</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账号所属机构统计列表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504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账号所属机构统计操作趋势（日趋势）查询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505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账号所属机构统计操作趋势（月趋势）查询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506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账号所属机构统计导出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507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账号统计</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账号统计列表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508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账号统计操作趋势（日趋势）查询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509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账号统计操作趋势（月趋势）查询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510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账号统计导出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511</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归属机构统计</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短信归属机构统计列表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512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短信归属机构统计发送趋势查询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513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短信归属机构统计导出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514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微信归属机构统计列表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515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微信归属机构统计发送趋势查询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516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微信归属机构统计导出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517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语音通知归属机构统计列表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518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语音通知归属机构统计发送趋势查询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519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语音通知归属机构统计导出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520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邮件归属机构统计列表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521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邮件归属机构统计发送趋势查询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522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邮件归属机构统计导出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523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APP归属机构统计列表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524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APP归属机构统计发送趋势查询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525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APP归属机构统计导出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526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支付宝小程序</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支付宝小程序归属机构统计列表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527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支付宝小程序归属机构统计发送趋势查询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528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支付宝小程序归属机构统计导出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529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大数据短信</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大数据短信归属机构统计列表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530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大数据短信归属机构统计发送趋势查询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531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大数据短信归属机构统计导出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532</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账号统计</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短信账号统计列表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533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短信账号统计发送趋势查询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534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短信账号统计导出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535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微信账号统计列表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536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微信账号统计发送趋势查询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537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微信账号统计导出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538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语音通知账号统计列表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539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语音通知账号统计发送趋势查询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540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语音通知账号统计导出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541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邮件账号统计列表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542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邮件账号统计发送趋势查询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543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邮件账号统计导出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544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APP账号统计列表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545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APP账号统计发送趋势查询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546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APP账号统计导出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547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支付宝小程序</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支付宝小程序账号统计列表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548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支付宝小程序账号统计发送趋势查询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549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支付宝小程序账号统计导出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550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大数据短信</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大数据短信账号统计列表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551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大数据短信账号统计发送趋势查询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552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大数据短信账号统计导出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553</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业务模板统计</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全渠道业务模板统计栏目</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业务模板统计列表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554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业务模板统计发送趋势查询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555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业务模板统计导出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556</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渠道统计</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短信渠道统计列表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557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短信渠道统计发送日趋势查询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558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短信渠道统计发送月趋势查询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559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短信渠道统计导出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560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微信渠道统计列表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561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微信渠道统计发送日趋势查询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562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微信渠道统计发送月趋势查询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563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微信渠道统计导出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564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语音通知渠道统计列表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565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语音通知渠道统计发送日趋势查询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566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语音通知渠道统计发送月趋势查询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567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语音通知渠道统计导出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568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邮件渠道统计列表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569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邮件渠道统计发送日趋势查询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570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邮件渠道统计发送月趋势查询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571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邮件渠道统计导出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572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APP渠道统计列表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573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APP渠道统计发送日趋势查询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574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APP渠道统计发送月趋势查询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575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APP渠道统计导出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576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支付宝小程序</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支付宝小程序渠道统计列表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577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支付宝小程序渠道统计查询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578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支付宝小程序渠道统计发送日趋势查询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579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支付宝小程序渠道统计发送月趋势查询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580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支付宝小程序渠道统计导出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581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大数据短信</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大数据短信渠道统计列表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582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大数据短信渠道统计查询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583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大数据短信渠道统计发送日趋势查询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584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大数据短信渠道统计发送月趋势查询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585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大数据短信渠道统计导出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586</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标签热词统计</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全渠道标签热词统计栏目</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标签热词统计列表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587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标签热词统计导出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588</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运营周月报</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报表配置</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运营周月报报表配置列表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589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运营周月报报表配置新增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590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运营周月报报表配置停用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591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运营周月报报表配置编辑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592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运营周月报报表配置删除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593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报表定期自动推送</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594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报表生成历史</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运营周月报报表生成历史列表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595</w:t>
                  </w:r>
                </w:p>
              </w:tc>
              <w:tc>
                <w:tcPr>
                  <w:tcW w:type="dxa" w:w="24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计费中心</w:t>
                  </w: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归属机构费用</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短信归属机构费用列表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596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短信归属机构费用发送日趋势</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597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短信归属机构费用发送月趋势</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598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短信归属机构费用导出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599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语音通知归属机构费用列表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600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语音通知归属机构费用发送日趋势</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601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语音通知归属机构费用发送月趋势</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602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语音通知归属机构费用导出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603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大数据短信</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大数据短信归属机构费用列表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604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大数据短信归属机构费用发送日趋势</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605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大数据短信归属机构费用发送月趋势</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606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大数据短信归属机构费用导出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607</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账号费用</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短信账号费用列表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608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短信账号费用发送日趋势</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609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短信账号费用发送月趋势</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610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短信账号费用导出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611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语音通知账号费用列表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612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语音通知账号费用发送日趋势</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613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语音通知账号费用发送月趋势</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614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语音通知账号费用导出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615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大数据短信</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大数据短信账号费用列表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616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大数据短信账号费用发送日趋势</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617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大数据短信账号费用发送月趋势</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618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大数据短信账号费用导出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619</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业务模板费用</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全渠道业务模板费用</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业务模板费用列表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620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业务模板费用发送日趋势</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621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业务模板费用发送月趋势</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622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业务模板费用导出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623</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渠道费用</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短信渠道费用列表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624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短信渠道费用发送日趋势</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625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短信渠道费用发送月趋势</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626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短信渠道费用导出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627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语音通知渠道费用列表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628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语音通知渠道费用发送日趋势</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629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语音通知渠道费用发送月趋势</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630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语音通知渠道费用导出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631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大数据短信</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语音通知渠道费用列表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632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语音通知渠道费用发送日趋势</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633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语音通知渠道费用发送月趋势</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634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语音通知渠道费用导出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635</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智能消息解析费用</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智能消息解析费用</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智能消息解析费用列表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636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智能消息解析费用发送日趋势</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637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智能消息解析费用发送月趋势</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638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智能消息解析费用导出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639</w:t>
                  </w:r>
                </w:p>
              </w:tc>
              <w:tc>
                <w:tcPr>
                  <w:tcW w:type="dxa" w:w="24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管控中心</w:t>
                  </w: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自动加黑配置</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短信自动加黑配置</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短信自动加黑配置列表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640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641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停用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642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643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644</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黑名单管控</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短信黑名单管控列表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645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短信黑名单新增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646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短信黑名单导入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647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短信黑名单导出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648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短信黑名单删除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649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语音通知黑名单管控列表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650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语音通知黑名单新增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651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语音通知黑名单导入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652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语音通知黑名单导出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653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语音通知黑名单删除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654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微信黑名单管控列表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655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微信黑名单新增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656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微信黑名单导入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657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微信黑名单导出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658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微信黑名单删除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659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邮件黑名单管控列表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660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邮件黑名单新增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661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邮件黑名单导入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662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邮件黑名单导出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663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邮件黑名单删除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664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APP黑名单管控列表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665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APP黑名单新增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666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APP黑名单导入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667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APP黑名单导出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668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APP黑名单删除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669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大数据短信</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大数据短信黑名单管控列表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670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大数据短信黑名单新增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671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大数据短信黑名单导入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672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大数据短信黑名单导出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673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大数据短信黑名单删除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674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支付宝小程序</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支付宝小程序黑名单管控列表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675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支付宝小程序黑名单新增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676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支付宝小程序黑名单导入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677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支付宝小程序黑名单导出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678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支付宝小程序黑名单删除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679</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敏感字管控</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短信敏感字管控列表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680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短信敏感字管控新增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681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短信敏感字管控导入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682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短信敏感字管控导出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683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短信敏感字管控删除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684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语音通知敏感字管控列表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685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语音通知敏感字管控新增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686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语音通知敏感字管控导入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687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语音通知敏感字管控导出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688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语音通知敏感字管控删除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689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微信敏感字管控列表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690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微信敏感字管控新增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691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微信敏感字管控导入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692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微信敏感字管控导出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693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微信敏感字管控删除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694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邮件敏感字管控列表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695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邮件敏感字管控新增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696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邮件敏感字管控导入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697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邮件敏感字管控导出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698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邮件敏感字管控删除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699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APP敏感字管控列表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700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APP敏感字管控新增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701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APP敏感字管控导入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702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APP敏感字管控导出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703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APP敏感字管控删除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704</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发送频次管控</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账号维度</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账号维度发送频次管控列表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705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账号维度发送频次批量修改</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706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账号维度发送频次数据更新</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707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账号维度发送频次停用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708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账号维度发送频次编辑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709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用户维度</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用户维度发送频次管控列表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710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用户维度发送频次批量修改</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711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用户维度发送频次数据更新</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712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用户维度发送频次停用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713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用户维度发送频次编辑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714</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脱敏规则管理</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全渠道脱敏规则管理</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脱敏规则管理列表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715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716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停用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717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718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719</w:t>
                  </w:r>
                </w:p>
              </w:tc>
              <w:tc>
                <w:tcPr>
                  <w:tcW w:type="dxa" w:w="24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通讯中心</w:t>
                  </w: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客户通讯录</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全渠道用户通讯录管理</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客户通讯录列表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720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接入业务系统的通讯录</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721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新增客户组</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722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编辑客户组</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723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删除客户组</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724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客户通讯录新增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725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客户通讯录导入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726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客户通讯录导出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727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客户通讯录添加标签信息</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728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客户通讯录停用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729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客户通讯录编辑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730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客户通讯录删除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731</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员工通讯录</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全渠道员工通讯录管理</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员工通讯录列表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732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接入业务系统的通讯录</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733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新增员工分组</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734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编辑员工分组</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735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删除员工分组</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736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员工通讯录新增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737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员工通讯录导入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738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员工通讯录导出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739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员工通讯录添加标签信息</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740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员工通讯录停用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741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员工通讯录编辑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742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员工通讯录删除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743</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智能客群</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全渠道智能客群管理</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智能客群列表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744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智能客群新增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745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智能客群编辑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746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智能客群添加标签信息</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747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智能客群删除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748</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大数据客群</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大数据客群管理</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大数据客群列表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749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大数据客群查询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750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大数据客群新增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751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大数据客群添加标签信息</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752</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粉丝中心</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微信粉丝管理</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微信粉丝管理列表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753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微信粉丝管理新增分组</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754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微信粉丝管理编辑分组</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755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微信粉丝管理编辑删除分组</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756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微信粉丝管理获取更新</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757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微信粉丝管理加入黑名单</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758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微信粉丝管理移除黑名单</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759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微信粉丝管理修改分组</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760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apppush用户管理</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apppush用户管理列表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761</w:t>
                  </w:r>
                </w:p>
              </w:tc>
              <w:tc>
                <w:tcPr>
                  <w:tcW w:type="dxa" w:w="24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审核中心</w:t>
                  </w: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发送审核</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待审核</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发送待审核列表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762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发送待审核审批通过</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763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发送待审核审批驳回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764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发送待审核批量审批</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765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审核记录</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发送待审核－审核记录</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766</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业务模板审核</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待审核</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业务模板待审核列表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767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业务模板待审核审批通过</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768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业务模板待审核审批驳回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769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业务模板待批量审批</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770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审核记录</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业务模板审核待审核－审核记录</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771</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业务分类审核</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待审核</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业务分类待审核列表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772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业务分类待审核审批通过</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773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业务分类待审核审批驳回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774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业务分类待审核批量审批</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775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审核记录</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业务分类审核待审核－审核记录</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776</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素材审核</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待审核</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素材待审核列表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777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素材待审核审批通过</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778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素材待审核审批驳回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779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素材待审核批量审批</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780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审核记录</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素材审核待审核－审核记录</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781</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链接审核</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待审核</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链接待审核列表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782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链接待审核审批通过</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783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链接待审核审批驳回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784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链接待审核批量审批</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785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审核记录</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链接审核待审核－审核记录</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786</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智能消息模板审核</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待审核</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智能消息模板待审核列表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787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智能消息模板待审核审批通过</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788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智能消息模板待审核审批驳回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789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智能消息模板待审核批量审批</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790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审核记录</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智能消息模板审核待审核－审核记录</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791</w:t>
                  </w:r>
                </w:p>
              </w:tc>
              <w:tc>
                <w:tcPr>
                  <w:tcW w:type="dxa" w:w="24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资料管理</w:t>
                  </w: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渠道商管理</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渠道商管理</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渠道商管理列表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792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渠道商管理新增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793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渠道商管理编辑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794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渠道商管理删除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795</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渠道管理</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短信渠道管理列表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796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短信渠道管理新增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797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短信渠道管理停用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798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短信渠道管理编辑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799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短信渠道管理删除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800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微信渠道管理列表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801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微信渠道管理新增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802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微信渠道管理停用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803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微信渠道管理编辑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804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微信渠道管理删除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805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语音通知渠道管理列表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806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语音通知渠道管理新增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807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语音通知渠道管理停用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808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语音通知渠道管理编辑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809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语音通知渠道管理删除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810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语音通知渠道管理列表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811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语音通知渠道管理新增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812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语音通知渠道管理停用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813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语音通知渠道管理编辑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814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语音通知渠道管理删除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815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APP渠道管理列表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816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APP渠道管理新增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817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APP渠道管理停用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818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APP渠道管理编辑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819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APP渠道管理删除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820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大数据短信</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大数据短信渠道管理列表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821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大数据短信渠道管理新增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822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大数据短信渠道管理停用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823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大数据短信渠道管理编辑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824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大数据短信渠道管理删除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825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支付宝小程序</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支付宝小程序渠道管理列表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826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支付宝小程序渠道管理新增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827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支付宝小程序渠道管理停用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828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支付宝小程序渠道管理编辑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829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支付宝小程序渠道管理删除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830</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标签库</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客户标签库</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客户标签库列表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831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标签类新增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832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标签类编辑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833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标签类删除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834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客户标签新增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835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客户标签导入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836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客户标签导出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837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客户标签删除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838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大数据标签库</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大数据标签库列表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839</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业务变量库</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业务变量库</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业务变量库列表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840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业务变量新增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841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业务变量导入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842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业务变量导出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843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业务变量删除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844</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携号转网库</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携号转网库</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携号转网库列表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845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携号转网库新增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846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携号转网库导入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847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携号转网库导出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848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携号转网库修改</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849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携号转网库删除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850</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智能消息号码撞库</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智能消息号码撞库</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智能消息号码撞库列表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851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智能消息号码撞库导入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852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智能消息号码撞库下载</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853</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微信模板规范</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微信模板规范</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微信模板规范列表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854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微信模板规范详情查看</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855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微信模板规范获取更新</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856</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短信通道自动切换</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自动切换配置</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短信通道自动切换列表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857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短信通道自动切换新增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858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短信通道自动切换主备切换设置</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859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短信通道自动切换主备切换转换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860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短信通道自动切换主备切换启用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861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短信通道自动切换主备切换编辑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862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短信通道自动切换主备切换删除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863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切换历史</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短信通道自动切换历史列表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864</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运营商号段管理</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运营商号段</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运营商号段列表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865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运营商号段新增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866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运营商号段编辑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867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运营商号段导入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868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运营商号段导出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869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运营商号段删除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870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省份号段</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省份号段列表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871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省份号段新增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872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省份号段编辑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873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省份号段导入</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874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省份号段导出</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875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省份号段删除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876</w:t>
                  </w:r>
                </w:p>
              </w:tc>
              <w:tc>
                <w:tcPr>
                  <w:tcW w:type="dxa" w:w="24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系统管理</w:t>
                  </w: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账号管理</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账号管理</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账号管理列表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877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机构新增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878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机构编辑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879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机构删除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880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账号新增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881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账号删除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882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账号登录密码重置</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883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账号机构转换</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884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账号停用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885</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角色管理</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角色管理</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角色管理列表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886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角色新增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887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角色删除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888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角色查看详情</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889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角色编辑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890</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系统设置</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平台参数</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平台参数列表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891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平台参数编辑</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892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平台参数修改</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893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密码安全设置</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密码安全设置列表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894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密码安全设置</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895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密码安全修改</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896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网关参数设置</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网关参数设置列表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897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网关参数设置</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898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网关参数修改</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899</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渠道默认配置</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渠道默认配置列表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900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渠道默认配置</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901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渠道默认修改</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902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默认业务模板设置</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默认业务模板设置列表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903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默认业务模板修改</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904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默认业务模板设置</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905</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串行触发间隔时间设置</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串行触发间隔时间设置列表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906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串行触发间隔时间修改</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907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串行触发间隔时间设置</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908</w:t>
                  </w:r>
                </w:p>
              </w:tc>
              <w:tc>
                <w:tcPr>
                  <w:tcW w:type="dxa" w:w="243"/>
                  <w:vMerge/>
                  <w:tcBorders>
                    <w:top w:val="none" w:color="000000" w:sz="4"/>
                    <w:left w:val="single" w:color="000000" w:sz="4"/>
                    <w:bottom w:val="single" w:color="000000" w:sz="4"/>
                    <w:right w:val="single" w:color="000000" w:sz="4"/>
                  </w:tcBorders>
                </w:tcP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日志记录</w:t>
                  </w:r>
                </w:p>
              </w:tc>
              <w:tc>
                <w:tcPr>
                  <w:tcW w:type="dxa" w:w="4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日志记录</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日志记录列表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909</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推送协议管理</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推送协议管理</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推送协议管理列表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910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推送协议配置新增</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911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推送协议配置删除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912</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推送协议配置启用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913</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推送协议配置详情查看</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914</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推送协议配置删除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915</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导入导出管理</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导入管理</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导入管理列表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916</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导入下载</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917</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导出管理</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导出管理列表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918</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导出下载</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919</w:t>
                  </w:r>
                </w:p>
              </w:tc>
              <w:tc>
                <w:tcPr>
                  <w:tcW w:type="dxa" w:w="243"/>
                  <w:vMerge/>
                  <w:tcBorders>
                    <w:top w:val="none" w:color="000000" w:sz="4"/>
                    <w:left w:val="single" w:color="000000" w:sz="4"/>
                    <w:bottom w:val="single" w:color="000000" w:sz="4"/>
                    <w:right w:val="single" w:color="000000" w:sz="4"/>
                  </w:tcBorders>
                </w:tcPr>
                <w:p/>
              </w:tc>
              <w:tc>
                <w:tcPr>
                  <w:tcW w:type="dxa" w:w="33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公告管理</w:t>
                  </w:r>
                </w:p>
              </w:tc>
              <w:tc>
                <w:tcPr>
                  <w:tcW w:type="dxa" w:w="43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公告管理</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公告管理列表</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920</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发布公告</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921</w:t>
                  </w:r>
                </w:p>
              </w:tc>
              <w:tc>
                <w:tcPr>
                  <w:tcW w:type="dxa" w:w="243"/>
                  <w:vMerge/>
                  <w:tcBorders>
                    <w:top w:val="none" w:color="000000" w:sz="4"/>
                    <w:left w:val="single" w:color="000000" w:sz="4"/>
                    <w:bottom w:val="single" w:color="000000" w:sz="4"/>
                    <w:right w:val="single" w:color="000000" w:sz="4"/>
                  </w:tcBorders>
                </w:tcPr>
                <w:p/>
              </w:tc>
              <w:tc>
                <w:tcPr>
                  <w:tcW w:type="dxa" w:w="335"/>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公告删除</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922</w:t>
                  </w:r>
                </w:p>
              </w:tc>
              <w:tc>
                <w:tcPr>
                  <w:tcW w:type="dxa" w:w="24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消息渠道对接</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w:t>
                  </w:r>
                </w:p>
              </w:tc>
              <w:tc>
                <w:tcPr>
                  <w:tcW w:type="dxa" w:w="4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923</w:t>
                  </w:r>
                </w:p>
              </w:tc>
              <w:tc>
                <w:tcPr>
                  <w:tcW w:type="dxa" w:w="243"/>
                  <w:vMerge/>
                  <w:tcBorders>
                    <w:top w:val="none" w:color="000000" w:sz="4"/>
                    <w:left w:val="single" w:color="000000" w:sz="4"/>
                    <w:bottom w:val="single" w:color="000000" w:sz="4"/>
                    <w:right w:val="single" w:color="000000" w:sz="4"/>
                  </w:tcBorders>
                </w:tcP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智能消息</w:t>
                  </w:r>
                </w:p>
              </w:tc>
              <w:tc>
                <w:tcPr>
                  <w:tcW w:type="dxa" w:w="4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924</w:t>
                  </w:r>
                </w:p>
              </w:tc>
              <w:tc>
                <w:tcPr>
                  <w:tcW w:type="dxa" w:w="243"/>
                  <w:vMerge/>
                  <w:tcBorders>
                    <w:top w:val="none" w:color="000000" w:sz="4"/>
                    <w:left w:val="single" w:color="000000" w:sz="4"/>
                    <w:bottom w:val="single" w:color="000000" w:sz="4"/>
                    <w:right w:val="single" w:color="000000" w:sz="4"/>
                  </w:tcBorders>
                </w:tcP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语音通知</w:t>
                  </w:r>
                </w:p>
              </w:tc>
              <w:tc>
                <w:tcPr>
                  <w:tcW w:type="dxa" w:w="4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925</w:t>
                  </w:r>
                </w:p>
              </w:tc>
              <w:tc>
                <w:tcPr>
                  <w:tcW w:type="dxa" w:w="243"/>
                  <w:vMerge/>
                  <w:tcBorders>
                    <w:top w:val="none" w:color="000000" w:sz="4"/>
                    <w:left w:val="single" w:color="000000" w:sz="4"/>
                    <w:bottom w:val="single" w:color="000000" w:sz="4"/>
                    <w:right w:val="single" w:color="000000" w:sz="4"/>
                  </w:tcBorders>
                </w:tcP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微信</w:t>
                  </w:r>
                </w:p>
              </w:tc>
              <w:tc>
                <w:tcPr>
                  <w:tcW w:type="dxa" w:w="4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926</w:t>
                  </w:r>
                </w:p>
              </w:tc>
              <w:tc>
                <w:tcPr>
                  <w:tcW w:type="dxa" w:w="243"/>
                  <w:vMerge/>
                  <w:tcBorders>
                    <w:top w:val="none" w:color="000000" w:sz="4"/>
                    <w:left w:val="single" w:color="000000" w:sz="4"/>
                    <w:bottom w:val="single" w:color="000000" w:sz="4"/>
                    <w:right w:val="single" w:color="000000" w:sz="4"/>
                  </w:tcBorders>
                </w:tcP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邮件</w:t>
                  </w:r>
                </w:p>
              </w:tc>
              <w:tc>
                <w:tcPr>
                  <w:tcW w:type="dxa" w:w="4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927</w:t>
                  </w:r>
                </w:p>
              </w:tc>
              <w:tc>
                <w:tcPr>
                  <w:tcW w:type="dxa" w:w="243"/>
                  <w:vMerge/>
                  <w:tcBorders>
                    <w:top w:val="none" w:color="000000" w:sz="4"/>
                    <w:left w:val="single" w:color="000000" w:sz="4"/>
                    <w:bottom w:val="single" w:color="000000" w:sz="4"/>
                    <w:right w:val="single" w:color="000000" w:sz="4"/>
                  </w:tcBorders>
                </w:tcP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APP</w:t>
                  </w:r>
                </w:p>
              </w:tc>
              <w:tc>
                <w:tcPr>
                  <w:tcW w:type="dxa" w:w="4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928</w:t>
                  </w:r>
                </w:p>
              </w:tc>
              <w:tc>
                <w:tcPr>
                  <w:tcW w:type="dxa" w:w="243"/>
                  <w:vMerge/>
                  <w:tcBorders>
                    <w:top w:val="none" w:color="000000" w:sz="4"/>
                    <w:left w:val="single" w:color="000000" w:sz="4"/>
                    <w:bottom w:val="single" w:color="000000" w:sz="4"/>
                    <w:right w:val="single" w:color="000000" w:sz="4"/>
                  </w:tcBorders>
                </w:tcP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支付宝小程序</w:t>
                  </w:r>
                </w:p>
              </w:tc>
              <w:tc>
                <w:tcPr>
                  <w:tcW w:type="dxa" w:w="4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929</w:t>
                  </w:r>
                </w:p>
              </w:tc>
              <w:tc>
                <w:tcPr>
                  <w:tcW w:type="dxa" w:w="243"/>
                  <w:vMerge/>
                  <w:tcBorders>
                    <w:top w:val="none" w:color="000000" w:sz="4"/>
                    <w:left w:val="single" w:color="000000" w:sz="4"/>
                    <w:bottom w:val="single" w:color="000000" w:sz="4"/>
                    <w:right w:val="single" w:color="000000" w:sz="4"/>
                  </w:tcBorders>
                </w:tcP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大数据短信</w:t>
                  </w:r>
                </w:p>
              </w:tc>
              <w:tc>
                <w:tcPr>
                  <w:tcW w:type="dxa" w:w="4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930</w:t>
                  </w:r>
                </w:p>
              </w:tc>
              <w:tc>
                <w:tcPr>
                  <w:tcW w:type="dxa" w:w="24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业务系统对接</w:t>
                  </w: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秦务员</w:t>
                  </w:r>
                </w:p>
              </w:tc>
              <w:tc>
                <w:tcPr>
                  <w:tcW w:type="dxa" w:w="4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接入系统</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931</w:t>
                  </w:r>
                </w:p>
              </w:tc>
              <w:tc>
                <w:tcPr>
                  <w:tcW w:type="dxa" w:w="243"/>
                  <w:vMerge/>
                  <w:tcBorders>
                    <w:top w:val="none" w:color="000000" w:sz="4"/>
                    <w:left w:val="single" w:color="000000" w:sz="4"/>
                    <w:bottom w:val="single" w:color="000000" w:sz="4"/>
                    <w:right w:val="single" w:color="000000" w:sz="4"/>
                  </w:tcBorders>
                </w:tcP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秦政通</w:t>
                  </w:r>
                </w:p>
              </w:tc>
              <w:tc>
                <w:tcPr>
                  <w:tcW w:type="dxa" w:w="4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接入系统</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932</w:t>
                  </w:r>
                </w:p>
              </w:tc>
              <w:tc>
                <w:tcPr>
                  <w:tcW w:type="dxa" w:w="243"/>
                  <w:vMerge/>
                  <w:tcBorders>
                    <w:top w:val="none" w:color="000000" w:sz="4"/>
                    <w:left w:val="single" w:color="000000" w:sz="4"/>
                    <w:bottom w:val="single" w:color="000000" w:sz="4"/>
                    <w:right w:val="single" w:color="000000" w:sz="4"/>
                  </w:tcBorders>
                </w:tcP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短信平台</w:t>
                  </w:r>
                </w:p>
              </w:tc>
              <w:tc>
                <w:tcPr>
                  <w:tcW w:type="dxa" w:w="4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接入系统</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w:t>
                  </w:r>
                </w:p>
              </w:tc>
            </w:tr>
            <w:tr>
              <w:tc>
                <w:tcPr>
                  <w:tcW w:type="dxa" w:w="1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933</w:t>
                  </w:r>
                </w:p>
              </w:tc>
              <w:tc>
                <w:tcPr>
                  <w:tcW w:type="dxa" w:w="243"/>
                  <w:vMerge/>
                  <w:tcBorders>
                    <w:top w:val="none" w:color="000000" w:sz="4"/>
                    <w:left w:val="single" w:color="000000" w:sz="4"/>
                    <w:bottom w:val="single" w:color="000000" w:sz="4"/>
                    <w:right w:val="single" w:color="000000" w:sz="4"/>
                  </w:tcBorders>
                </w:tcPr>
                <w:p/>
              </w:tc>
              <w:tc>
                <w:tcPr>
                  <w:tcW w:type="dxa" w:w="3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其他业务系统</w:t>
                  </w:r>
                </w:p>
              </w:tc>
              <w:tc>
                <w:tcPr>
                  <w:tcW w:type="dxa" w:w="4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接入系统</w:t>
                  </w:r>
                </w:p>
              </w:tc>
              <w:tc>
                <w:tcPr>
                  <w:tcW w:type="dxa" w:w="67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4874CB"/>
                    </w:rPr>
                    <w:t>/</w:t>
                  </w:r>
                </w:p>
              </w:tc>
            </w:tr>
          </w:tbl>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满足“技术参数与性能指标”的需求。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满足“技术参数与性能指标”的需求。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采购人的采购需求，供应商针对本项目提供技术服务方案（编制目录，逐页标注连续页码。），包括：项目理解分析,总体方案,技术方案,安全方案,项目管理方案,项目团队,企业实力,售后方案,成果管理方案,业绩等证明材料。</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项目建设周期为合同签订后不超过150日历日（其中90日历日完成系统上线并通过初验）。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（1）具体详见“技术参数与性能指标”（2）验收依据：合同文本；国家有关的验收标准及规范；磋商文件；响应文件。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供应商未按合同要求提供服务或服务质量不能满足技术要求，且在规定时间内未使采购人满意的，采购人有权解除合同，同时报请陕西省财政厅政府采购监管部门对其违约行为进行追究。（3）任何一方若违反合同其他约定，致使本合同无法履行，违约方应向守约方赔偿实际损失。 （4）如因供应商在履行职务过程中的疏忽、失职、过错等故意或者过失原因给采购人造成损失或侵害，包括但不限于对采购人造成财产损失、由此而导致的采购人对任何第三方的法律责任等，供应商对此均应承担全部的赔偿责任并负责妥善处理。 （5）供应商提供的服务不符合合同约定或存在缺陷，采购人有权要求供应商及时修理、重作、更换，并承担由此给采购人造成的损失。（6）供应商应按照本合同规定的时间、地点交付和提供相关服务，如果供应商没有按照合同规定的时间交付和提供相关服务，采购人有权从货款中扣除误期赔偿费而不影响合同项下的其他补救方法，赔偿费按合同规定执行。（7）合同约定的损失，包括但不限于直接或间接的经济损失、律师费、诉讼费、保全费、鉴定费等损失。（8）合同约定的违约情形独立存在，可叠加适用。供应商按照合同约定应当向甲方支付的违约金，供应商同意采购人从应付未付款中直接予以扣除。</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根据采购人需求开发的系统平台，其知识产权和使用权均属采购人所有。（2）采购人在中华人民共和国境内使用供应商提供的产品时免受第三方提出的侵犯其专利权或其它知识产权的起诉。如果第三方提出侵权指控，供应商应承担由此而引起的一切法律责任和费用。（3）除另有约定外，采购人提供给供应商的资料以及反映采购人要求的或其他类似性质文件，以及供应商为履行合同约定而编制的成果文件的所有权、知识产权及相关权利属于采购人，供应商可以为实现本合同目的而复制或者以其他方式使用此类文件，但不能用于与本合同无关的其他事项。未经采购人书面同意，供应商不得为了合同以外的目的而复制或者以其他方式使用上述文件或将之提供给任何第三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 （证明书）</w:t>
            </w:r>
          </w:p>
        </w:tc>
        <w:tc>
          <w:tcPr>
            <w:tcW w:type="dxa" w:w="3322"/>
          </w:tcPr>
          <w:p>
            <w:pPr>
              <w:pStyle w:val="null3"/>
            </w:pPr>
            <w:r>
              <w:rPr>
                <w:rFonts w:ascii="仿宋_GB2312" w:hAnsi="仿宋_GB2312" w:cs="仿宋_GB2312" w:eastAsia="仿宋_GB2312"/>
              </w:rPr>
              <w:t>法定代表人参加磋商时，提供法定代表人证明书；授权代表参加磋商时，提供法定代表人授权书；非法人单位参照执行。</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2023年度或2024年度的财务报告或提交响应文件递交截止时间前一年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提供响应文件提交截止时间前一年内至少一个月已缴纳的纳税凭据或完税证明，依法免税的供应商应提供相关文件证明。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提供响应文件截止时间前一年内已缴存的至少一个月的社会保障资金缴存单据，或社保机构出具的社会保险参保缴费情况证明，依法不需要缴纳社会保障资金的单位应提供相关证明材料。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设备和专业技术能力承诺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磋商有效期不少于性磋商文件要求，否则其响应文件按无效处理。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磋商报价未高于磋商文件公布的预算金额或最高限价。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出现不符合法律、法规和竞争性磋商文件中规定的其他实质性要求的情况，响应文件作为无效处理。</w:t>
            </w:r>
          </w:p>
        </w:tc>
        <w:tc>
          <w:tcPr>
            <w:tcW w:type="dxa" w:w="1661"/>
          </w:tcPr>
          <w:p>
            <w:pPr>
              <w:pStyle w:val="null3"/>
            </w:pPr>
            <w:r>
              <w:rPr>
                <w:rFonts w:ascii="仿宋_GB2312" w:hAnsi="仿宋_GB2312" w:cs="仿宋_GB2312" w:eastAsia="仿宋_GB2312"/>
              </w:rPr>
              <w:t>响应文件封面 商务应答表 服务内容及服务要求应答表 技术服务方案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项目理解分析</w:t>
            </w:r>
          </w:p>
        </w:tc>
        <w:tc>
          <w:tcPr>
            <w:tcW w:type="dxa" w:w="2492"/>
          </w:tcPr>
          <w:p>
            <w:pPr>
              <w:pStyle w:val="null3"/>
            </w:pPr>
            <w:r>
              <w:rPr>
                <w:rFonts w:ascii="仿宋_GB2312" w:hAnsi="仿宋_GB2312" w:cs="仿宋_GB2312" w:eastAsia="仿宋_GB2312"/>
              </w:rPr>
              <w:t>根据供应商对项目理解分析，内容包括： （1）项目需求的理解，对项目现状与各需求之间关联关系的了解程度； （2）对重点难点工作的把握与分析。 一、评审标准 1.针对性：方案能够紧扣项目实际情况。 2.合理性：内容符合项目实际，未出现与项目执行无关的内容。 二、赋分标准（满分8分） 共2项内容，每项满分4分。 按照“评审标准”，每项内容满足一项评审标准得2分。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w:t>
            </w:r>
          </w:p>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根据供应商提供的总体方案，方案包括： （1）总体架构；（2）数据架构；（3）技术架构；（4）网络拓扑；（5）部署架构；（6）系统内外部关联关系等。 一、评审标准 1.完整性：方案内容全面，包括但不限于总体架构、数据架构、技术架构、网络拓扑、部署架构、系统内外部关联关系等内容，对评审内容中的各项要求有详细描述； 2.专业性：切合本项目实际情况，提出步骤清晰、专业性强、科学合理的方案； 3.针对性：全面符合用户的使用要求，选取的产品、平台和工具使用方便、易于维护，安全可扩充。 二、赋分标准（满分18分） 共6项内容，每项满分3分。 按照“评审标准”，每项内容满足一项评审标准得1分。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技术服务方案</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根据供应商提供的技术方案，方案包括： （1）应用系统方案；（2）应用支撑方案；（3）数据资源方案；（4）运行维护方案；（5）系统备份方案等。 一、评审标准 1.完整性：方案内容全面，包括但不限于应用系统方案、应用支撑方案、数据资源方案、运行维护方案、系统备份方案等内容，对评审内容中的各项要求有详细描述； 2.专业性：切合本项目实际情况，提出步骤清晰、专业性强、科学合理的方案； 3.针对性：全面符合用户的使用要求，选取的产品、平台和工具使用方便、易于维护，安全可扩充。 二、赋分标准（满分15分） 共5项内容，每项满分3分。 按照“评审标准”，每项内容满足一项评审标准得1分。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w:t>
            </w:r>
          </w:p>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安全方案</w:t>
            </w:r>
          </w:p>
        </w:tc>
        <w:tc>
          <w:tcPr>
            <w:tcW w:type="dxa" w:w="2492"/>
          </w:tcPr>
          <w:p>
            <w:pPr>
              <w:pStyle w:val="null3"/>
            </w:pPr>
            <w:r>
              <w:rPr>
                <w:rFonts w:ascii="仿宋_GB2312" w:hAnsi="仿宋_GB2312" w:cs="仿宋_GB2312" w:eastAsia="仿宋_GB2312"/>
              </w:rPr>
              <w:t>根据供应商提供的技术方案，方案包括： （1）等级保护方案；（2）密码应用方案；（3）安全方案等。 一、评审标准 1.完整性：方案内容全面，包括但不限于等级保护方案、密码应用方案、安全方案等内容，对评审内容中的各项要求有详细描述； 2.专业性：切合本项目实际情况，提出步骤清晰、专业性强、科学合理的方案； 3.针对性：全面符合用户的使用要求，选取的产品、平台和工具符合国产化要求，以及满足采购人需求。 二、赋分标准（满分9分） 共3项内容，每项满分3分。 按照“评审标准”，每项内容满足一项评审标准得1分。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w:t>
            </w:r>
          </w:p>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项目管理方案</w:t>
            </w:r>
          </w:p>
        </w:tc>
        <w:tc>
          <w:tcPr>
            <w:tcW w:type="dxa" w:w="2492"/>
          </w:tcPr>
          <w:p>
            <w:pPr>
              <w:pStyle w:val="null3"/>
            </w:pPr>
            <w:r>
              <w:rPr>
                <w:rFonts w:ascii="仿宋_GB2312" w:hAnsi="仿宋_GB2312" w:cs="仿宋_GB2312" w:eastAsia="仿宋_GB2312"/>
              </w:rPr>
              <w:t>供应商针对本项目具有完善的实施方案，包括但不限于：①项目组织、②项目进度、③项目质量、④项目绩效、⑤项目风险、⑥项目验收等项目管理方案。 共6项内容，每项满分2分。方案内容完整，可行性、针对性强，完全满足采购需求，得2分，存在缺陷扣1分，直至扣完。</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技术服务方案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1.项目经理：具有信息系统项目管理师证书，得2分。 2.团队人员（除项目经理）： 具有计算机软件资格考试网络工程师证书，每提供1个得1分，共计2分； 具有计算机软件资格考试信息安全工程师证书，每提供1个得1分，共计2分； 注：相同人员不重复计分，须同时提供以上人员相关证书、工作履历及投标截止日前3个月内任意一个月在本单位的社保缴纳凭证或其他证明材料，并加盖公章，未提供或提供不全不得分。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技术服务方案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1.供应商具备ISO9001质量管理体系认证证书，得2分； 2.供应商具备ISO27001信息安全管理体系认证证书，得2分。 注：提供相关证明材料，如证书复印件，并同时提供在全国认证认可信息公共服务平台对体系证书的信息查询截图等，并加盖公章。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技术服务方案</w:t>
            </w:r>
          </w:p>
        </w:tc>
      </w:tr>
      <w:tr>
        <w:tc>
          <w:tcPr>
            <w:tcW w:type="dxa" w:w="831"/>
            <w:vMerge/>
          </w:tcPr>
          <w:p/>
        </w:tc>
        <w:tc>
          <w:tcPr>
            <w:tcW w:type="dxa" w:w="1661"/>
          </w:tcPr>
          <w:p>
            <w:pPr>
              <w:pStyle w:val="null3"/>
            </w:pPr>
            <w:r>
              <w:rPr>
                <w:rFonts w:ascii="仿宋_GB2312" w:hAnsi="仿宋_GB2312" w:cs="仿宋_GB2312" w:eastAsia="仿宋_GB2312"/>
              </w:rPr>
              <w:t>售后方案</w:t>
            </w:r>
          </w:p>
        </w:tc>
        <w:tc>
          <w:tcPr>
            <w:tcW w:type="dxa" w:w="2492"/>
          </w:tcPr>
          <w:p>
            <w:pPr>
              <w:pStyle w:val="null3"/>
            </w:pPr>
            <w:r>
              <w:rPr>
                <w:rFonts w:ascii="仿宋_GB2312" w:hAnsi="仿宋_GB2312" w:cs="仿宋_GB2312" w:eastAsia="仿宋_GB2312"/>
              </w:rPr>
              <w:t>供应商针对本项目具有完善的售后方案，内容包含： （1）售后内容、售后机构完善程度； （2）响应时限、解决问题的能力、紧急故障处理预案等； （3）对后期项目运行的保证措施。 切合项目具体情况，提出责任明确，定位，能有效保障本项目实施得满分，每有一项缺项扣2分，每有一处内容存在缺陷，扣1分，扣完为止。 注：缺陷是指内容不合理、虽有内容但不完善、内容表述前后不一致，与项目需求不匹配及其他不利于项目实施等任意一种情形。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技术服务方案</w:t>
            </w:r>
          </w:p>
        </w:tc>
      </w:tr>
      <w:tr>
        <w:tc>
          <w:tcPr>
            <w:tcW w:type="dxa" w:w="831"/>
            <w:vMerge/>
          </w:tcPr>
          <w:p/>
        </w:tc>
        <w:tc>
          <w:tcPr>
            <w:tcW w:type="dxa" w:w="1661"/>
          </w:tcPr>
          <w:p>
            <w:pPr>
              <w:pStyle w:val="null3"/>
            </w:pPr>
            <w:r>
              <w:rPr>
                <w:rFonts w:ascii="仿宋_GB2312" w:hAnsi="仿宋_GB2312" w:cs="仿宋_GB2312" w:eastAsia="仿宋_GB2312"/>
              </w:rPr>
              <w:t>成果管理方案</w:t>
            </w:r>
          </w:p>
        </w:tc>
        <w:tc>
          <w:tcPr>
            <w:tcW w:type="dxa" w:w="2492"/>
          </w:tcPr>
          <w:p>
            <w:pPr>
              <w:pStyle w:val="null3"/>
            </w:pPr>
            <w:r>
              <w:rPr>
                <w:rFonts w:ascii="仿宋_GB2312" w:hAnsi="仿宋_GB2312" w:cs="仿宋_GB2312" w:eastAsia="仿宋_GB2312"/>
              </w:rPr>
              <w:t>供应商针对本项目具有完善的成果管理制度方案，内容包含： （1）成果资料及管理制度； （2）移交工作制度。 方案各项内容全面详细、阐述条理清晰，制度可操作性强，具体细致，内容贴合实际。能有效保障本项目实施得满分，每有一项缺项扣3分，每有一处内容存在缺陷，扣1分，扣完为止。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w:t>
            </w:r>
          </w:p>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提供2022年1月1日以来同类项目业绩，每提供一个得2分，满分6分。 注：以合同签订日期为准，提供合同复印件（包括首页、签字盖章页，金额等，金额不得涂抹）加盖公章。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分值计算方法：P=10×Pmin/ Pn 其中：Pmin：所有有效供应商的最后报价的最低报价。 Pn：第n个供应商的最后报价。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详见附件：技术服务方案</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