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2527A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  <w:lang w:eastAsia="zh-CN"/>
        </w:rPr>
        <w:t>人体成分分析仪等设备采购项目</w:t>
      </w:r>
      <w:r>
        <w:rPr>
          <w:rFonts w:hint="eastAsia" w:ascii="宋体" w:hAnsi="宋体" w:cs="宋体"/>
          <w:b/>
          <w:sz w:val="36"/>
          <w:szCs w:val="36"/>
          <w:highlight w:val="none"/>
        </w:rPr>
        <w:t>合同</w:t>
      </w:r>
    </w:p>
    <w:p w14:paraId="2F2A0AFC">
      <w:pPr>
        <w:pStyle w:val="3"/>
        <w:jc w:val="center"/>
        <w:rPr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（仅供参考，以实际签订合同为准）</w:t>
      </w:r>
    </w:p>
    <w:p w14:paraId="764B9ABC">
      <w:pPr>
        <w:jc w:val="center"/>
        <w:rPr>
          <w:rFonts w:ascii="宋体" w:hAnsi="宋体" w:cs="宋体"/>
          <w:bCs/>
          <w:sz w:val="44"/>
          <w:szCs w:val="44"/>
          <w:highlight w:val="none"/>
        </w:rPr>
      </w:pPr>
    </w:p>
    <w:p w14:paraId="79F1341B">
      <w:pPr>
        <w:spacing w:line="360" w:lineRule="auto"/>
        <w:ind w:firstLine="480" w:firstLineChars="200"/>
        <w:jc w:val="left"/>
        <w:rPr>
          <w:rFonts w:hint="eastAsia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西北妇女儿童医院（以下简称甲方）经</w:t>
      </w:r>
      <w:r>
        <w:rPr>
          <w:rFonts w:hint="eastAsia" w:ascii="宋体" w:hAnsi="宋体"/>
          <w:bCs/>
          <w:sz w:val="24"/>
          <w:highlight w:val="none"/>
          <w:lang w:val="en-US" w:eastAsia="zh-CN"/>
        </w:rPr>
        <w:t>公开招标</w:t>
      </w:r>
      <w:r>
        <w:rPr>
          <w:rFonts w:hint="eastAsia" w:ascii="宋体" w:hAnsi="宋体"/>
          <w:bCs/>
          <w:sz w:val="24"/>
          <w:highlight w:val="none"/>
        </w:rPr>
        <w:t>采购，选定</w:t>
      </w:r>
      <w:r>
        <w:rPr>
          <w:rFonts w:hint="eastAsia" w:ascii="宋体" w:hAnsi="宋体"/>
          <w:bCs/>
          <w:sz w:val="24"/>
          <w:highlight w:val="none"/>
          <w:u w:val="single"/>
        </w:rPr>
        <w:t xml:space="preserve">        公司</w:t>
      </w:r>
      <w:r>
        <w:rPr>
          <w:rFonts w:hint="eastAsia" w:ascii="宋体" w:hAnsi="宋体"/>
          <w:bCs/>
          <w:sz w:val="24"/>
          <w:highlight w:val="none"/>
        </w:rPr>
        <w:t>（以下简称乙方）为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西北妇女儿童医院人体成分分析仪等设备采购项目</w:t>
      </w:r>
      <w:r>
        <w:rPr>
          <w:rFonts w:hint="eastAsia" w:ascii="宋体" w:hAnsi="宋体" w:eastAsia="宋体"/>
          <w:bCs/>
          <w:sz w:val="24"/>
          <w:highlight w:val="none"/>
          <w:lang w:eastAsia="zh-CN"/>
        </w:rPr>
        <w:t>中标</w:t>
      </w:r>
      <w:r>
        <w:rPr>
          <w:rFonts w:hint="eastAsia" w:ascii="宋体" w:hAnsi="宋体"/>
          <w:bCs/>
          <w:sz w:val="24"/>
          <w:highlight w:val="none"/>
        </w:rPr>
        <w:t>单位。依据《中华人民共和国民法典》，经甲、乙双方共同协商，按下述条款和条件签署本合同。</w:t>
      </w:r>
    </w:p>
    <w:p w14:paraId="32756E8C">
      <w:pPr>
        <w:spacing w:line="360" w:lineRule="auto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一、合同内容</w:t>
      </w:r>
    </w:p>
    <w:p w14:paraId="3983223E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乙方负责按照合同及投标文件确定的设备名称、规格型号、数量、产地、配置内容及技术标准组织供货，按时运到甲方指定的交货地点；负责设备到货后的安装及系统调试，确保系统所有设备各项指标达到要求；负责操作和管理人员的培训工作，保证甲方能够正常操作和维护，同时乙方根据设备的使用特性做好售后服务。</w:t>
      </w:r>
    </w:p>
    <w:tbl>
      <w:tblPr>
        <w:tblStyle w:val="4"/>
        <w:tblW w:w="93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887"/>
        <w:gridCol w:w="887"/>
        <w:gridCol w:w="1183"/>
        <w:gridCol w:w="837"/>
        <w:gridCol w:w="837"/>
        <w:gridCol w:w="1297"/>
        <w:gridCol w:w="2054"/>
      </w:tblGrid>
      <w:tr w14:paraId="2D6F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414" w:type="dxa"/>
            <w:noWrap w:val="0"/>
            <w:vAlign w:val="center"/>
          </w:tcPr>
          <w:p w14:paraId="61A8F073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产品名称</w:t>
            </w:r>
          </w:p>
        </w:tc>
        <w:tc>
          <w:tcPr>
            <w:tcW w:w="887" w:type="dxa"/>
            <w:noWrap w:val="0"/>
            <w:vAlign w:val="center"/>
          </w:tcPr>
          <w:p w14:paraId="11DCDAB8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型号</w:t>
            </w:r>
          </w:p>
        </w:tc>
        <w:tc>
          <w:tcPr>
            <w:tcW w:w="887" w:type="dxa"/>
            <w:noWrap w:val="0"/>
            <w:vAlign w:val="center"/>
          </w:tcPr>
          <w:p w14:paraId="612892C7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产地</w:t>
            </w:r>
          </w:p>
        </w:tc>
        <w:tc>
          <w:tcPr>
            <w:tcW w:w="1183" w:type="dxa"/>
            <w:noWrap w:val="0"/>
            <w:vAlign w:val="center"/>
          </w:tcPr>
          <w:p w14:paraId="7697EF12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品牌</w:t>
            </w:r>
          </w:p>
        </w:tc>
        <w:tc>
          <w:tcPr>
            <w:tcW w:w="837" w:type="dxa"/>
            <w:noWrap w:val="0"/>
            <w:vAlign w:val="center"/>
          </w:tcPr>
          <w:p w14:paraId="5C6C4300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单位</w:t>
            </w:r>
          </w:p>
        </w:tc>
        <w:tc>
          <w:tcPr>
            <w:tcW w:w="837" w:type="dxa"/>
            <w:noWrap w:val="0"/>
            <w:vAlign w:val="center"/>
          </w:tcPr>
          <w:p w14:paraId="2D562C59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数量</w:t>
            </w:r>
          </w:p>
        </w:tc>
        <w:tc>
          <w:tcPr>
            <w:tcW w:w="1297" w:type="dxa"/>
            <w:noWrap w:val="0"/>
            <w:vAlign w:val="center"/>
          </w:tcPr>
          <w:p w14:paraId="14DA8709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单价</w:t>
            </w:r>
          </w:p>
          <w:p w14:paraId="46C64CC0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（万元）</w:t>
            </w:r>
          </w:p>
        </w:tc>
        <w:tc>
          <w:tcPr>
            <w:tcW w:w="2054" w:type="dxa"/>
            <w:noWrap w:val="0"/>
            <w:vAlign w:val="center"/>
          </w:tcPr>
          <w:p w14:paraId="778238DB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合计</w:t>
            </w:r>
          </w:p>
          <w:p w14:paraId="334D8BBD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（万元）</w:t>
            </w:r>
          </w:p>
        </w:tc>
      </w:tr>
      <w:tr w14:paraId="62D26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14" w:type="dxa"/>
            <w:noWrap w:val="0"/>
            <w:vAlign w:val="center"/>
          </w:tcPr>
          <w:p w14:paraId="42AC2D36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C781F6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872FA4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C3BC2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 w14:paraId="7D07A0E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 w14:paraId="29A343A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A675F2F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center"/>
          </w:tcPr>
          <w:p w14:paraId="7967E59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</w:tc>
      </w:tr>
      <w:tr w14:paraId="31F44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9396" w:type="dxa"/>
            <w:gridSpan w:val="8"/>
            <w:noWrap w:val="0"/>
            <w:vAlign w:val="center"/>
          </w:tcPr>
          <w:p w14:paraId="12F4E3F4">
            <w:pPr>
              <w:spacing w:line="400" w:lineRule="exact"/>
              <w:ind w:left="420" w:leftChars="200"/>
              <w:jc w:val="left"/>
              <w:rPr>
                <w:rFonts w:hint="eastAsia" w:ascii="宋体" w:hAnsi="宋体" w:cs="宋体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 xml:space="preserve">                总金额：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人民币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万元整（¥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 xml:space="preserve">万元）      </w:t>
            </w:r>
          </w:p>
        </w:tc>
      </w:tr>
    </w:tbl>
    <w:p w14:paraId="27EB1870">
      <w:pPr>
        <w:spacing w:line="360" w:lineRule="auto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二、合同价格</w:t>
      </w:r>
    </w:p>
    <w:p w14:paraId="4A27F76B">
      <w:pPr>
        <w:spacing w:line="400" w:lineRule="exact"/>
        <w:ind w:left="420" w:left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合同总价：</w:t>
      </w:r>
      <w:r>
        <w:rPr>
          <w:rFonts w:hint="eastAsia" w:ascii="宋体" w:hAnsi="宋体" w:cs="宋体"/>
          <w:sz w:val="24"/>
          <w:highlight w:val="none"/>
          <w:u w:val="single"/>
        </w:rPr>
        <w:t>人民币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highlight w:val="none"/>
          <w:u w:val="single"/>
        </w:rPr>
        <w:t>万元整（¥     万元）。</w:t>
      </w:r>
    </w:p>
    <w:p w14:paraId="773AD310">
      <w:pPr>
        <w:spacing w:line="400" w:lineRule="exact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说明：</w:t>
      </w:r>
    </w:p>
    <w:p w14:paraId="71B7FA98">
      <w:pPr>
        <w:numPr>
          <w:ilvl w:val="0"/>
          <w:numId w:val="1"/>
        </w:num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合同总价包含设备费、设备到达西安交货地点的运杂费（含保险）、设备安装调试费、设备强制计量检测费及应缴纳的全部税款等费用，甲方无须为此项目支付任何其他费用。</w:t>
      </w:r>
    </w:p>
    <w:p w14:paraId="316277B4">
      <w:pPr>
        <w:numPr>
          <w:ilvl w:val="0"/>
          <w:numId w:val="1"/>
        </w:numPr>
        <w:spacing w:line="400" w:lineRule="exact"/>
        <w:ind w:firstLine="480" w:firstLineChars="200"/>
        <w:jc w:val="left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合同总价一次包死，不受市场价格变化的影响，并作为结算的唯一依据。</w:t>
      </w:r>
    </w:p>
    <w:p w14:paraId="259470BF">
      <w:pPr>
        <w:numPr>
          <w:ilvl w:val="0"/>
          <w:numId w:val="0"/>
        </w:numPr>
        <w:spacing w:line="400" w:lineRule="exact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（三）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项目为交钥匙项目，清单中未涉及到的部分,中标供应商在方案设计中应充分考虑,并在项目实施中加以实施。一些技术指标中未提及的细节、辅材配件及设备安装、调试等费用包含在设备投标报价中，不再单独计费。</w:t>
      </w:r>
    </w:p>
    <w:p w14:paraId="18892DB6">
      <w:p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三、合同款项支付</w:t>
      </w:r>
    </w:p>
    <w:p w14:paraId="43977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分期付款：设备验收合格入库后支付95%，入库满一年后，设备运行正常，支付5%；</w:t>
      </w:r>
    </w:p>
    <w:p w14:paraId="0011B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支付方式：银行转帐；</w:t>
      </w:r>
    </w:p>
    <w:p w14:paraId="6626D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（三）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结算要求：必须在验收合格后，一次性开具合同全款增值税发票；</w:t>
      </w:r>
    </w:p>
    <w:p w14:paraId="479CDC6B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val="en-US" w:eastAsia="zh-CN"/>
        </w:rPr>
        <w:t>四</w:t>
      </w:r>
      <w:r>
        <w:rPr>
          <w:rFonts w:hint="eastAsia" w:ascii="宋体" w:hAnsi="宋体"/>
          <w:sz w:val="24"/>
          <w:highlight w:val="none"/>
        </w:rPr>
        <w:t>）由于乙方的原因未能按时供货的，每延迟一天（不足一天按一天计算）乙方需支付甲方合同约定总额0.2%/天的违约金；如超过供货期30天，甲方将终止合同并通过法律程序对乙方进行索赔。</w:t>
      </w:r>
    </w:p>
    <w:p w14:paraId="1DEF9AEF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eastAsia="zh-CN"/>
        </w:rPr>
        <w:t>五</w:t>
      </w:r>
      <w:r>
        <w:rPr>
          <w:rFonts w:hint="eastAsia" w:ascii="宋体" w:hAnsi="宋体"/>
          <w:sz w:val="24"/>
          <w:highlight w:val="none"/>
        </w:rPr>
        <w:t>）由于乙方的原因，在货到一周内未进行安装调试，或安装调试时间超过正常要求，按每超过一天（不足一天按一天计算）乙方需支付甲方合同约定总额0.2%/天的违约金。情节严重者，甲方将依法律程序对乙方进行索赔。</w:t>
      </w:r>
    </w:p>
    <w:p w14:paraId="7FC46B2C">
      <w:p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四、交货日期</w:t>
      </w:r>
    </w:p>
    <w:p w14:paraId="729DD35F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到货期：</w:t>
      </w:r>
      <w:r>
        <w:rPr>
          <w:rFonts w:hint="eastAsia" w:ascii="宋体" w:hAnsi="宋体" w:cs="宋体"/>
          <w:sz w:val="24"/>
          <w:highlight w:val="none"/>
        </w:rPr>
        <w:t>合同签订即日起</w:t>
      </w:r>
      <w:r>
        <w:rPr>
          <w:rFonts w:hint="eastAsia" w:ascii="宋体" w:hAnsi="宋体" w:cs="宋体"/>
          <w:sz w:val="24"/>
          <w:highlight w:val="green"/>
          <w:u w:val="single"/>
          <w:lang w:val="en-US" w:eastAsia="zh-CN"/>
        </w:rPr>
        <w:t>45</w:t>
      </w:r>
      <w:r>
        <w:rPr>
          <w:rFonts w:hint="eastAsia" w:ascii="宋体" w:hAnsi="宋体" w:cs="宋体"/>
          <w:sz w:val="24"/>
          <w:highlight w:val="none"/>
        </w:rPr>
        <w:t>个日历日内；</w:t>
      </w:r>
    </w:p>
    <w:p w14:paraId="1BD24AD5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安装地点：采购人指定地点；</w:t>
      </w:r>
    </w:p>
    <w:p w14:paraId="6A77C80C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安装完成时间：接用户通知后</w:t>
      </w:r>
      <w:r>
        <w:rPr>
          <w:rFonts w:hint="eastAsia" w:ascii="宋体" w:hAnsi="宋体" w:cs="宋体"/>
          <w:sz w:val="24"/>
          <w:highlight w:val="none"/>
          <w:u w:val="single"/>
        </w:rPr>
        <w:t>5</w:t>
      </w:r>
      <w:r>
        <w:rPr>
          <w:rFonts w:hint="eastAsia" w:ascii="宋体" w:hAnsi="宋体" w:cs="宋体"/>
          <w:sz w:val="24"/>
          <w:highlight w:val="none"/>
        </w:rPr>
        <w:t>个工作日内全部调试完成。</w:t>
      </w:r>
    </w:p>
    <w:p w14:paraId="70058F85">
      <w:p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五、包装运输</w:t>
      </w:r>
    </w:p>
    <w:p w14:paraId="53D39A86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（一）运杂费：一次包死，已包含在合同总价内，包括从产品供应地点到交货地点所包含的运输费、保险费、搬运费等一切费用。</w:t>
      </w:r>
    </w:p>
    <w:p w14:paraId="5100563F">
      <w:pPr>
        <w:spacing w:line="400" w:lineRule="exact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（二）运输方式：符合出厂规范、包装完整无破损、满足运输要求；防雨、防潮、各种符号、标识清楚；必须为原装、全新产品，渠道合法</w:t>
      </w:r>
      <w:r>
        <w:rPr>
          <w:rFonts w:hint="eastAsia" w:ascii="宋体" w:hAnsi="宋体" w:cs="宋体"/>
          <w:sz w:val="24"/>
          <w:highlight w:val="none"/>
          <w:lang w:eastAsia="zh-CN"/>
        </w:rPr>
        <w:t>。</w:t>
      </w:r>
    </w:p>
    <w:p w14:paraId="5F4C5BC3">
      <w:p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六、质量保证</w:t>
      </w:r>
    </w:p>
    <w:p w14:paraId="59A36B72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（一）乙方提供给甲方的产品必须是设计科学、技术成熟、工艺优良，是用优质材料制造的、先进的、原厂生产的未曾使用过的、全新的合格产品。</w:t>
      </w:r>
    </w:p>
    <w:p w14:paraId="4E2DD3B5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设计技术专利、外形专利、应用软件专利等均应符合我国有关法律及行业标准，凡因以上问题与第三方发生的任何纠纷均与甲方无关，若因该产品存在知识产权纠纷给甲方造成损失的，应由乙方承担所有赔偿责任。</w:t>
      </w:r>
    </w:p>
    <w:p w14:paraId="67F82F74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5EB3E561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（四）有强制性安全标准的产品，乙方应提供该产品的制造许可证证明。</w:t>
      </w:r>
    </w:p>
    <w:p w14:paraId="4F392265">
      <w:pPr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（五）属于国家计量检测强检的产品，供货时提供本省法定计量检测机构出具的检测证书。</w:t>
      </w:r>
    </w:p>
    <w:p w14:paraId="2CA417EB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（六）产品性能必须与其标示的技术指标项符合，甲方有权在产品的有效</w:t>
      </w:r>
      <w:r>
        <w:rPr>
          <w:rFonts w:hint="eastAsia" w:ascii="宋体" w:hAnsi="宋体" w:cs="宋体"/>
          <w:sz w:val="24"/>
          <w:highlight w:val="none"/>
          <w:lang w:eastAsia="zh-CN"/>
        </w:rPr>
        <w:t>质保期</w:t>
      </w:r>
      <w:r>
        <w:rPr>
          <w:rFonts w:hint="eastAsia" w:ascii="宋体" w:hAnsi="宋体" w:cs="宋体"/>
          <w:sz w:val="24"/>
          <w:highlight w:val="none"/>
        </w:rPr>
        <w:t>内依据技术指标对该产品进行技术验收，其主要的技术参数达不到标准时，甲方有权无条件退货或依据有关法律索赔。</w:t>
      </w:r>
    </w:p>
    <w:p w14:paraId="4FC9B428">
      <w:pPr>
        <w:spacing w:line="360" w:lineRule="auto"/>
        <w:ind w:left="504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（七）</w:t>
      </w:r>
      <w:r>
        <w:rPr>
          <w:rFonts w:hint="eastAsia" w:ascii="宋体" w:hAnsi="宋体" w:cs="宋体"/>
          <w:bCs/>
          <w:spacing w:val="6"/>
          <w:sz w:val="24"/>
          <w:highlight w:val="none"/>
        </w:rPr>
        <w:t>乙方供应的产品</w:t>
      </w:r>
      <w:r>
        <w:rPr>
          <w:rFonts w:hint="eastAsia" w:ascii="宋体" w:hAnsi="宋体" w:cs="宋体"/>
          <w:bCs/>
          <w:sz w:val="24"/>
          <w:highlight w:val="none"/>
        </w:rPr>
        <w:t>进货渠道正规，确保生产供应的产品无假货、水货、   翻新货且无产权纠纷，</w:t>
      </w:r>
      <w:r>
        <w:rPr>
          <w:rFonts w:hint="eastAsia" w:ascii="宋体" w:hAnsi="宋体" w:cs="宋体"/>
          <w:sz w:val="24"/>
          <w:highlight w:val="none"/>
        </w:rPr>
        <w:t>。</w:t>
      </w:r>
    </w:p>
    <w:p w14:paraId="401DFE73">
      <w:pPr>
        <w:spacing w:line="360" w:lineRule="auto"/>
        <w:ind w:left="48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（八）乙方提供的产品安全可靠。产品技术工艺先进，性能稳定，质量均满足国家标准或行业标准，品牌、质量及信誉公认度高，质量保证完善。</w:t>
      </w:r>
    </w:p>
    <w:p w14:paraId="1C8A829A"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七、服务承诺：</w:t>
      </w:r>
    </w:p>
    <w:p w14:paraId="742DE3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  <w:lang w:eastAsia="zh-CN"/>
        </w:rPr>
        <w:t>（一）</w:t>
      </w:r>
      <w:r>
        <w:rPr>
          <w:rFonts w:hint="eastAsia"/>
          <w:sz w:val="24"/>
          <w:highlight w:val="none"/>
        </w:rPr>
        <w:t>设备验收合格后免费保修≥3年，保修期满后免费维修，只收取材料成本费并保证零配件供应≥5年；</w:t>
      </w:r>
    </w:p>
    <w:p w14:paraId="3F7D11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/>
          <w:sz w:val="24"/>
          <w:highlight w:val="none"/>
        </w:rPr>
      </w:pPr>
      <w:r>
        <w:rPr>
          <w:rFonts w:hint="default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（二）</w:t>
      </w:r>
      <w:r>
        <w:rPr>
          <w:rFonts w:hint="eastAsia"/>
          <w:sz w:val="24"/>
          <w:highlight w:val="none"/>
        </w:rPr>
        <w:t>免费培训操作人员；</w:t>
      </w:r>
    </w:p>
    <w:p w14:paraId="19F739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/>
          <w:sz w:val="24"/>
          <w:highlight w:val="none"/>
        </w:rPr>
      </w:pPr>
      <w:r>
        <w:rPr>
          <w:rFonts w:hint="default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（三）</w:t>
      </w:r>
      <w:r>
        <w:rPr>
          <w:rFonts w:hint="eastAsia"/>
          <w:sz w:val="24"/>
          <w:highlight w:val="none"/>
        </w:rPr>
        <w:t>维修响应时间2小时，24小时到位；</w:t>
      </w:r>
    </w:p>
    <w:p w14:paraId="4398DA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/>
          <w:sz w:val="24"/>
          <w:highlight w:val="none"/>
        </w:rPr>
      </w:pPr>
      <w:r>
        <w:rPr>
          <w:rFonts w:hint="default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（四）</w:t>
      </w:r>
      <w:r>
        <w:rPr>
          <w:rFonts w:hint="eastAsia"/>
          <w:sz w:val="24"/>
          <w:highlight w:val="none"/>
        </w:rPr>
        <w:t>需要时全权负责设备与院方的His、Lis、Pacs等网络对接事宜,并承担一切相关费用；</w:t>
      </w:r>
    </w:p>
    <w:p w14:paraId="1AAADB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sz w:val="24"/>
          <w:highlight w:val="none"/>
        </w:rPr>
      </w:pPr>
      <w:r>
        <w:rPr>
          <w:rFonts w:hint="default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（五）</w:t>
      </w:r>
      <w:r>
        <w:rPr>
          <w:rFonts w:hint="eastAsia"/>
          <w:sz w:val="24"/>
          <w:highlight w:val="none"/>
        </w:rPr>
        <w:t>设备配置的打印机，必须与下列耗材相适配：黑白：388A；280A；2612A；192A。彩色：HP CE410系列；HP CF511系列；HP 950系列；HP 46系列。</w:t>
      </w:r>
    </w:p>
    <w:p w14:paraId="4F57B8B6">
      <w:pPr>
        <w:numPr>
          <w:ilvl w:val="0"/>
          <w:numId w:val="2"/>
        </w:num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技术参数（详见附件1）</w:t>
      </w:r>
    </w:p>
    <w:p w14:paraId="2126FBB5">
      <w:p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九、配置清单（详见附件2）</w:t>
      </w:r>
    </w:p>
    <w:p w14:paraId="3994C396">
      <w:p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十、技术服务</w:t>
      </w:r>
    </w:p>
    <w:p w14:paraId="3C76DC29">
      <w:pPr>
        <w:spacing w:line="400" w:lineRule="exact"/>
        <w:ind w:firstLine="482" w:firstLineChars="200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（一）技术资料：</w:t>
      </w:r>
    </w:p>
    <w:p w14:paraId="6C9B47D1">
      <w:pPr>
        <w:spacing w:line="400" w:lineRule="exact"/>
        <w:ind w:firstLine="600" w:firstLineChars="25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1、产品合格证、商检证明等。</w:t>
      </w:r>
    </w:p>
    <w:p w14:paraId="3FE36F54">
      <w:pPr>
        <w:spacing w:line="400" w:lineRule="exact"/>
        <w:ind w:firstLine="600" w:firstLineChars="25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2、产品使用说明书。</w:t>
      </w:r>
    </w:p>
    <w:p w14:paraId="6D0A8B43">
      <w:pPr>
        <w:spacing w:line="400" w:lineRule="exact"/>
        <w:ind w:firstLine="482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（二）人员培训：</w:t>
      </w:r>
      <w:r>
        <w:rPr>
          <w:rFonts w:hint="eastAsia" w:ascii="宋体" w:hAnsi="宋体" w:cs="宋体"/>
          <w:sz w:val="24"/>
          <w:highlight w:val="none"/>
        </w:rPr>
        <w:t>免费为甲方培训操作人员至能达到操作要求。</w:t>
      </w:r>
    </w:p>
    <w:p w14:paraId="4B8EC716">
      <w:p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十一、违约责任</w:t>
      </w:r>
    </w:p>
    <w:p w14:paraId="1E6258C1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（一）按《中华人民共和国民法典》中的相关条款执行。</w:t>
      </w:r>
    </w:p>
    <w:p w14:paraId="1D9E9E06">
      <w:pPr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（二）乙方未按合同要求的提供产品或设备质量不能满足技术要求，甲方有权终止合同，甚至对乙方违约行为进行追究。</w:t>
      </w:r>
    </w:p>
    <w:p w14:paraId="51AD8ED5">
      <w:pPr>
        <w:spacing w:line="360" w:lineRule="auto"/>
        <w:ind w:firstLine="480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（三）如有纠纷，双方友好协商解决，协商不成时可诉讼到甲方所在地人民法院解决。</w:t>
      </w:r>
    </w:p>
    <w:p w14:paraId="11FD8BE9">
      <w:pPr>
        <w:spacing w:line="400" w:lineRule="exact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十二、验收</w:t>
      </w:r>
    </w:p>
    <w:p w14:paraId="73D21FD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（1）符合采购人与成交供应商签订的经济合同</w:t>
      </w:r>
    </w:p>
    <w:p w14:paraId="41045CB0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（2）符合国家有关技术规范和标准。所有安装、验收的手续及费用由供应商自行办理和承担，采购人提供相关辅助。</w:t>
      </w:r>
    </w:p>
    <w:p w14:paraId="65348DE4">
      <w:pPr>
        <w:spacing w:line="360" w:lineRule="auto"/>
        <w:jc w:val="left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十三、其他事项</w:t>
      </w:r>
    </w:p>
    <w:p w14:paraId="1B49E13C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（一）本合同一式</w:t>
      </w:r>
      <w:r>
        <w:rPr>
          <w:rFonts w:hint="eastAsia" w:ascii="宋体" w:hAnsi="宋体" w:cs="宋体"/>
          <w:sz w:val="24"/>
          <w:highlight w:val="none"/>
          <w:lang w:val="en-US" w:eastAsia="zh-Hans"/>
        </w:rPr>
        <w:t>肆</w:t>
      </w:r>
      <w:r>
        <w:rPr>
          <w:rFonts w:hint="eastAsia" w:ascii="宋体" w:hAnsi="宋体" w:cs="宋体"/>
          <w:sz w:val="24"/>
          <w:highlight w:val="none"/>
        </w:rPr>
        <w:t>份，甲方叁份，乙方壹份。甲乙双方</w:t>
      </w:r>
      <w:r>
        <w:rPr>
          <w:rFonts w:hint="eastAsia" w:ascii="宋体" w:hAnsi="宋体" w:cs="宋体"/>
          <w:sz w:val="24"/>
          <w:highlight w:val="none"/>
          <w:lang w:eastAsia="zh-CN"/>
        </w:rPr>
        <w:t>法定代表人</w:t>
      </w:r>
      <w:r>
        <w:rPr>
          <w:rFonts w:hint="eastAsia" w:ascii="宋体" w:hAnsi="宋体" w:cs="宋体"/>
          <w:sz w:val="24"/>
          <w:highlight w:val="none"/>
        </w:rPr>
        <w:t>签字或盖章</w:t>
      </w:r>
      <w:r>
        <w:rPr>
          <w:rFonts w:hint="eastAsia" w:ascii="宋体" w:hAnsi="宋体" w:cs="宋体"/>
          <w:sz w:val="24"/>
          <w:highlight w:val="none"/>
          <w:lang w:eastAsia="zh-CN"/>
        </w:rPr>
        <w:t>并加盖公章</w:t>
      </w:r>
      <w:r>
        <w:rPr>
          <w:rFonts w:hint="eastAsia" w:ascii="宋体" w:hAnsi="宋体" w:cs="宋体"/>
          <w:sz w:val="24"/>
          <w:highlight w:val="none"/>
        </w:rPr>
        <w:t>后生效。</w:t>
      </w:r>
    </w:p>
    <w:p w14:paraId="0C2FFE30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</w:t>
      </w:r>
      <w:r>
        <w:rPr>
          <w:rFonts w:hint="eastAsia" w:ascii="宋体" w:hAnsi="宋体" w:cs="宋体"/>
          <w:bCs/>
          <w:sz w:val="24"/>
          <w:highlight w:val="none"/>
        </w:rPr>
        <w:t>招标文件、投标文件也是合同的组成部分，具有同等法律效力，合同中未约定的或不一致的以招标文件、投标文件为准。</w:t>
      </w:r>
    </w:p>
    <w:p w14:paraId="6B9779BD">
      <w:pPr>
        <w:spacing w:line="360" w:lineRule="auto"/>
        <w:ind w:firstLine="600" w:firstLineChars="25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（三）本合同含</w:t>
      </w:r>
      <w:r>
        <w:rPr>
          <w:rFonts w:hint="eastAsia" w:ascii="宋体" w:hAnsi="宋体" w:cs="宋体"/>
          <w:sz w:val="24"/>
          <w:highlight w:val="none"/>
          <w:lang w:val="en-US" w:eastAsia="zh-Hans"/>
        </w:rPr>
        <w:t>两</w:t>
      </w:r>
      <w:r>
        <w:rPr>
          <w:rFonts w:hint="eastAsia" w:ascii="宋体" w:hAnsi="宋体" w:cs="宋体"/>
          <w:sz w:val="24"/>
          <w:highlight w:val="none"/>
        </w:rPr>
        <w:t>个附件，附件与本合同具有同等效力。</w:t>
      </w:r>
    </w:p>
    <w:p w14:paraId="53E53753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</w:p>
    <w:p w14:paraId="39E27F13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</w:p>
    <w:p w14:paraId="3D049D66">
      <w:pPr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br w:type="page"/>
      </w:r>
    </w:p>
    <w:p w14:paraId="3B797B35">
      <w:pPr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（本页无正文）</w:t>
      </w:r>
    </w:p>
    <w:p w14:paraId="53B2EC4D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甲    方                 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 xml:space="preserve"> 乙    方</w:t>
      </w:r>
    </w:p>
    <w:p w14:paraId="7354BF84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单位名称：西北妇女儿童医院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 xml:space="preserve"> 单位名称： </w:t>
      </w:r>
    </w:p>
    <w:p w14:paraId="3DBB0D22">
      <w:pPr>
        <w:spacing w:line="360" w:lineRule="auto"/>
        <w:ind w:left="5520" w:hanging="5520" w:hangingChars="23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地   址：西安市雁翔路1616号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 xml:space="preserve">   地    址：</w:t>
      </w:r>
    </w:p>
    <w:p w14:paraId="32980C3C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定</w:t>
      </w:r>
      <w:r>
        <w:rPr>
          <w:rFonts w:hint="eastAsia" w:ascii="宋体" w:hAnsi="宋体" w:cs="宋体"/>
          <w:sz w:val="24"/>
          <w:highlight w:val="none"/>
        </w:rPr>
        <w:t>代表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cs="宋体"/>
          <w:sz w:val="24"/>
          <w:highlight w:val="none"/>
        </w:rPr>
        <w:t>：                        法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定</w:t>
      </w:r>
      <w:r>
        <w:rPr>
          <w:rFonts w:hint="eastAsia" w:ascii="宋体" w:hAnsi="宋体" w:cs="宋体"/>
          <w:sz w:val="24"/>
          <w:highlight w:val="none"/>
        </w:rPr>
        <w:t>代表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cs="宋体"/>
          <w:sz w:val="24"/>
          <w:highlight w:val="none"/>
        </w:rPr>
        <w:t>：</w:t>
      </w:r>
    </w:p>
    <w:p w14:paraId="0D1CDE0C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联系电话：029-89550581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>联系电话：</w:t>
      </w:r>
    </w:p>
    <w:p w14:paraId="292FAE6B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联系人：</w:t>
      </w:r>
      <w:r>
        <w:rPr>
          <w:rFonts w:hint="eastAsia" w:ascii="宋体" w:hAnsi="宋体" w:cs="宋体"/>
          <w:sz w:val="24"/>
          <w:highlight w:val="non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4"/>
          <w:highlight w:val="none"/>
          <w:lang w:eastAsia="zh-CN"/>
        </w:rPr>
        <w:t>联系人：</w:t>
      </w:r>
    </w:p>
    <w:p w14:paraId="5189B2CD">
      <w:pPr>
        <w:spacing w:line="360" w:lineRule="auto"/>
        <w:ind w:left="5760" w:hanging="5760" w:hangingChars="24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开 户 行：中国银行北大街支行        开 户 行： </w:t>
      </w:r>
    </w:p>
    <w:p w14:paraId="695E776B">
      <w:pPr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账    号：103208712015              账    号：</w:t>
      </w:r>
    </w:p>
    <w:p w14:paraId="6E658FC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纳税人识别号：126100000881820988    纳税人识别号：</w:t>
      </w:r>
    </w:p>
    <w:p w14:paraId="4005248C">
      <w:pPr>
        <w:spacing w:line="360" w:lineRule="auto"/>
        <w:jc w:val="both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签订日期：</w:t>
      </w:r>
      <w:r>
        <w:rPr>
          <w:rFonts w:hint="eastAsia" w:ascii="宋体" w:hAnsi="宋体" w:cs="宋体"/>
          <w:sz w:val="24"/>
          <w:highlight w:val="none"/>
        </w:rPr>
        <w:t xml:space="preserve">   年   月   日</w:t>
      </w:r>
    </w:p>
    <w:p w14:paraId="7228EE4A">
      <w:pPr>
        <w:spacing w:line="360" w:lineRule="auto"/>
        <w:jc w:val="both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签订地点：西安市</w:t>
      </w:r>
    </w:p>
    <w:p w14:paraId="4DA333F2">
      <w:pPr>
        <w:rPr>
          <w:highlight w:val="none"/>
        </w:rPr>
      </w:pPr>
    </w:p>
    <w:p w14:paraId="16B06B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Hans" w:bidi="ar"/>
        </w:rPr>
      </w:pPr>
    </w:p>
    <w:p w14:paraId="62F11FD8"/>
    <w:p w14:paraId="133A3DD6"/>
    <w:p w14:paraId="7AC60979"/>
    <w:p w14:paraId="4A589151"/>
    <w:p w14:paraId="56D263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CE4AB7"/>
    <w:multiLevelType w:val="multilevel"/>
    <w:tmpl w:val="06CE4AB7"/>
    <w:lvl w:ilvl="0" w:tentative="0">
      <w:start w:val="8"/>
      <w:numFmt w:val="japaneseCounting"/>
      <w:lvlText w:val="%1、"/>
      <w:lvlJc w:val="left"/>
      <w:pPr>
        <w:ind w:left="510" w:hanging="510"/>
      </w:pPr>
      <w:rPr>
        <w:rFonts w:hint="default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460D6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