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版本号：0617-2521FZ027120250224001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互连网络集成及数据服务采购项目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0617-2521FZ0271</w:t>
      </w:r>
      <w:r>
        <w:br/>
      </w:r>
      <w:r>
        <w:br/>
      </w:r>
      <w:r>
        <w:br/>
      </w:r>
    </w:p>
    <w:p>
      <w:pPr>
        <w:pStyle w:val="null3"/>
        <w:jc w:val="center"/>
        <w:outlineLvl w:val="2"/>
      </w:pPr>
      <w:r>
        <w:rPr>
          <w:rFonts w:ascii="仿宋_GB2312" w:hAnsi="仿宋_GB2312" w:cs="仿宋_GB2312" w:eastAsia="仿宋_GB2312"/>
          <w:sz w:val="28"/>
          <w:b/>
        </w:rPr>
        <w:t>西安科技大学</w:t>
      </w:r>
    </w:p>
    <w:p>
      <w:pPr>
        <w:pStyle w:val="null3"/>
        <w:jc w:val="center"/>
        <w:outlineLvl w:val="2"/>
      </w:pPr>
      <w:r>
        <w:rPr>
          <w:rFonts w:ascii="仿宋_GB2312" w:hAnsi="仿宋_GB2312" w:cs="仿宋_GB2312" w:eastAsia="仿宋_GB2312"/>
          <w:sz w:val="28"/>
          <w:b/>
        </w:rPr>
        <w:t>西北(陕西)国际招标有限公司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2025年02月25日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西北(陕西)国际招标有限公司</w:t>
      </w:r>
      <w:r>
        <w:rPr>
          <w:rFonts w:ascii="仿宋_GB2312" w:hAnsi="仿宋_GB2312" w:cs="仿宋_GB2312" w:eastAsia="仿宋_GB2312"/>
        </w:rPr>
        <w:t>（以下简称“代理机构”）受</w:t>
      </w:r>
      <w:r>
        <w:rPr>
          <w:rFonts w:ascii="仿宋_GB2312" w:hAnsi="仿宋_GB2312" w:cs="仿宋_GB2312" w:eastAsia="仿宋_GB2312"/>
        </w:rPr>
        <w:t>西安科技大学</w:t>
      </w:r>
      <w:r>
        <w:rPr>
          <w:rFonts w:ascii="仿宋_GB2312" w:hAnsi="仿宋_GB2312" w:cs="仿宋_GB2312" w:eastAsia="仿宋_GB2312"/>
        </w:rPr>
        <w:t>委托，拟对</w:t>
      </w:r>
      <w:r>
        <w:rPr>
          <w:rFonts w:ascii="仿宋_GB2312" w:hAnsi="仿宋_GB2312" w:cs="仿宋_GB2312" w:eastAsia="仿宋_GB2312"/>
        </w:rPr>
        <w:t>互连网络集成及数据服务采购项目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0617-2521FZ0271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互连网络集成及数据服务采购项目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互连网络集成及数据服务（互联网专线、上网认证计费数据、WEB防护业务、日志数据审计、DHCP服务等），1项。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1、电信业务经营许可：持有增值电信业务许可证（互联网接入服务）</w:t>
      </w:r>
    </w:p>
    <w:p>
      <w:pPr>
        <w:pStyle w:val="null3"/>
      </w:pPr>
      <w:r>
        <w:rPr>
          <w:rFonts w:ascii="仿宋_GB2312" w:hAnsi="仿宋_GB2312" w:cs="仿宋_GB2312" w:eastAsia="仿宋_GB2312"/>
        </w:rPr>
        <w:t>2、仅允许有意愿的法人或其授权的一个分支机构前来参与磋商：若法人和分支机构同时参与磋商，或授权两个或以上的分支机构前来参与磋商，其磋商响应文件将均被视为无效。分支机构前来参与磋商需提供法人出具的授权函或者承诺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陕西省西安市雁塔路58号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西安科技大学经办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029-83858191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西北(陕西)国际招标有限公司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陕西省西安市雁塔区南二环西段58号成长大厦10-14层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张婉迪、宋鹏飞、张喆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029-85239900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采购包1：1,345,000.00元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本采购包履约保证金为合同金额的5.0%</w:t>
            </w:r>
          </w:p>
          <w:p>
            <w:pPr>
              <w:pStyle w:val="null3"/>
            </w:pPr>
            <w:r>
              <w:rPr>
                <w:rFonts w:ascii="仿宋_GB2312" w:hAnsi="仿宋_GB2312" w:cs="仿宋_GB2312" w:eastAsia="仿宋_GB2312"/>
              </w:rPr>
              <w:t>说明：签订合同前向采购人缴纳5%的履约保证金。</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收费标准：采购代理机构参照国家计委关于印发《招标代理服务收费管理暂行办法》的通知（计价格〔2002〕1980号）、《国家发展和改革委员会办公厅关于招标代理服务收费有关问题的通知》（发改办价格〔2003〕857号）规定的标准下浮22.5%向中标（成交）供应商收取代理服务费。2.缴费时间：确定中标（成交）供应商后3日内，由中标（成交）供应商向采购代理机构一次付清代理服务费。 3.银行信息: 户名：西北（陕西）国际招标有限公司；开户银行：交通银行西安长安大学支行；账号：611301151018010003843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西安科技大学</w:t>
      </w:r>
      <w:r>
        <w:rPr>
          <w:rFonts w:ascii="仿宋_GB2312" w:hAnsi="仿宋_GB2312" w:cs="仿宋_GB2312" w:eastAsia="仿宋_GB2312"/>
        </w:rPr>
        <w:t>和</w:t>
      </w:r>
      <w:r>
        <w:rPr>
          <w:rFonts w:ascii="仿宋_GB2312" w:hAnsi="仿宋_GB2312" w:cs="仿宋_GB2312" w:eastAsia="仿宋_GB2312"/>
        </w:rPr>
        <w:t>西北(陕西)国际招标有限公司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西安科技大学</w:t>
      </w:r>
      <w:r>
        <w:rPr>
          <w:rFonts w:ascii="仿宋_GB2312" w:hAnsi="仿宋_GB2312" w:cs="仿宋_GB2312" w:eastAsia="仿宋_GB2312"/>
        </w:rPr>
        <w:t>负责解释。除上述磋商文件内容，其他内容由</w:t>
      </w:r>
      <w:r>
        <w:rPr>
          <w:rFonts w:ascii="仿宋_GB2312" w:hAnsi="仿宋_GB2312" w:cs="仿宋_GB2312" w:eastAsia="仿宋_GB2312"/>
        </w:rPr>
        <w:t>西北(陕西)国际招标有限公司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西北(陕西)国际招标有限公司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采购文件、响应文件、原信息产业部颁布的《电信服务标准（试行）》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西北(陕西)国际招标有限公司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联系人：西北（陕西）国际招标有限公司综合监督处</w:t>
      </w:r>
    </w:p>
    <w:p>
      <w:pPr>
        <w:pStyle w:val="null3"/>
      </w:pPr>
      <w:r>
        <w:rPr>
          <w:rFonts w:ascii="仿宋_GB2312" w:hAnsi="仿宋_GB2312" w:cs="仿宋_GB2312" w:eastAsia="仿宋_GB2312"/>
        </w:rPr>
        <w:t>联系电话：029-85362812</w:t>
      </w:r>
    </w:p>
    <w:p>
      <w:pPr>
        <w:pStyle w:val="null3"/>
      </w:pPr>
      <w:r>
        <w:rPr>
          <w:rFonts w:ascii="仿宋_GB2312" w:hAnsi="仿宋_GB2312" w:cs="仿宋_GB2312" w:eastAsia="仿宋_GB2312"/>
        </w:rPr>
        <w:t>地址：陕西省西安市南二环西段58号成长大厦12楼 1203室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互连网络集成及数据服务（互联网专线、上网认证计费数据、WEB防护业务、日志数据审计、DHCP服务），1项。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1,345,000.00</w:t>
      </w:r>
    </w:p>
    <w:p>
      <w:pPr>
        <w:pStyle w:val="null3"/>
      </w:pPr>
      <w:r>
        <w:rPr>
          <w:rFonts w:ascii="仿宋_GB2312" w:hAnsi="仿宋_GB2312" w:cs="仿宋_GB2312" w:eastAsia="仿宋_GB2312"/>
        </w:rPr>
        <w:t>采购包最高限价（元）: 1,345,000.00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互连网络集成及数据服务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1,345,000.00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标的名称：互连网络集成及数据服务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一、具体要求</w:t>
            </w:r>
          </w:p>
        </w:tc>
        <w:tc>
          <w:tcPr>
            <w:tcW w:type="dxa" w:w="2076"/>
          </w:tcPr>
          <w:p>
            <w:pPr>
              <w:pStyle w:val="null3"/>
            </w:pPr>
            <w:r>
              <w:rPr>
                <w:rFonts w:ascii="仿宋_GB2312" w:hAnsi="仿宋_GB2312" w:cs="仿宋_GB2312" w:eastAsia="仿宋_GB2312"/>
              </w:rPr>
              <w:t>具体要求如下：</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pPr>
            <w:r>
              <w:rPr>
                <w:rFonts w:ascii="仿宋_GB2312" w:hAnsi="仿宋_GB2312" w:cs="仿宋_GB2312" w:eastAsia="仿宋_GB2312"/>
              </w:rPr>
              <w:t>1、提供≥7000M IPv4和IPV6互联网专线带宽，接入链路介质：光纤（直连），物理光路总衰减不超过20db，接入链路平均时延≤20ms，平均丢包率≤3%，实际利用率≥90%，上行速率≥下行速率的95%；提供线路两端≥10000M光模块；提供≥250个公有IP地址,≥1段48位IPV6 地址，提供互联网端到端的应用服务。</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tc>
        <w:tc>
          <w:tcPr>
            <w:tcW w:type="dxa" w:w="2076"/>
          </w:tcPr>
          <w:p>
            <w:pPr>
              <w:pStyle w:val="null3"/>
            </w:pPr>
            <w:r>
              <w:rPr>
                <w:rFonts w:ascii="仿宋_GB2312" w:hAnsi="仿宋_GB2312" w:cs="仿宋_GB2312" w:eastAsia="仿宋_GB2312"/>
              </w:rPr>
              <w:t>2、提供校园网用户的上网认证计费数据、WEB防护业务、日志数据审计、DHCP服务</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二、认证计费数据服务</w:t>
            </w:r>
          </w:p>
        </w:tc>
        <w:tc>
          <w:tcPr>
            <w:tcW w:type="dxa" w:w="2076"/>
          </w:tcPr>
          <w:p>
            <w:pPr>
              <w:pStyle w:val="null3"/>
            </w:pPr>
            <w:r>
              <w:rPr>
                <w:rFonts w:ascii="仿宋_GB2312" w:hAnsi="仿宋_GB2312" w:cs="仿宋_GB2312" w:eastAsia="仿宋_GB2312"/>
              </w:rPr>
              <w:t>具体要求如下：</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5</w:t>
            </w:r>
          </w:p>
        </w:tc>
        <w:tc>
          <w:tcPr>
            <w:tcW w:type="dxa" w:w="2076"/>
          </w:tcPr>
          <w:p/>
        </w:tc>
        <w:tc>
          <w:tcPr>
            <w:tcW w:type="dxa" w:w="2076"/>
          </w:tcPr>
          <w:p>
            <w:pPr>
              <w:pStyle w:val="null3"/>
            </w:pPr>
            <w:r>
              <w:rPr>
                <w:rFonts w:ascii="仿宋_GB2312" w:hAnsi="仿宋_GB2312" w:cs="仿宋_GB2312" w:eastAsia="仿宋_GB2312"/>
              </w:rPr>
              <w:t>1.硬件网关支持并发用户数≥30000，注册用户数≥200000，≥4个40GE光口+≥4个10GE光口，交流冗余电源。</w:t>
            </w:r>
          </w:p>
        </w:tc>
      </w:tr>
      <w:tr>
        <w:tc>
          <w:tcPr>
            <w:tcW w:type="dxa" w:w="2076"/>
          </w:tcPr>
          <w:p/>
        </w:tc>
        <w:tc>
          <w:tcPr>
            <w:tcW w:type="dxa" w:w="2076"/>
          </w:tcPr>
          <w:p>
            <w:pPr>
              <w:pStyle w:val="null3"/>
            </w:pPr>
            <w:r>
              <w:rPr>
                <w:rFonts w:ascii="仿宋_GB2312" w:hAnsi="仿宋_GB2312" w:cs="仿宋_GB2312" w:eastAsia="仿宋_GB2312"/>
              </w:rPr>
              <w:t>6</w:t>
            </w:r>
          </w:p>
        </w:tc>
        <w:tc>
          <w:tcPr>
            <w:tcW w:type="dxa" w:w="2076"/>
          </w:tcPr>
          <w:p/>
        </w:tc>
        <w:tc>
          <w:tcPr>
            <w:tcW w:type="dxa" w:w="2076"/>
          </w:tcPr>
          <w:p>
            <w:pPr>
              <w:pStyle w:val="null3"/>
            </w:pPr>
            <w:r>
              <w:rPr>
                <w:rFonts w:ascii="仿宋_GB2312" w:hAnsi="仿宋_GB2312" w:cs="仿宋_GB2312" w:eastAsia="仿宋_GB2312"/>
              </w:rPr>
              <w:t>2.系统支持IPv4/IPv6单栈、双栈认证及计费功能，支持IPv4及IPv6专线、白名单、路由、直通等功能。</w:t>
            </w:r>
          </w:p>
        </w:tc>
      </w:tr>
      <w:tr>
        <w:tc>
          <w:tcPr>
            <w:tcW w:type="dxa" w:w="2076"/>
          </w:tcPr>
          <w:p/>
        </w:tc>
        <w:tc>
          <w:tcPr>
            <w:tcW w:type="dxa" w:w="2076"/>
          </w:tcPr>
          <w:p>
            <w:pPr>
              <w:pStyle w:val="null3"/>
            </w:pPr>
            <w:r>
              <w:rPr>
                <w:rFonts w:ascii="仿宋_GB2312" w:hAnsi="仿宋_GB2312" w:cs="仿宋_GB2312" w:eastAsia="仿宋_GB2312"/>
              </w:rPr>
              <w:t>7</w:t>
            </w:r>
          </w:p>
        </w:tc>
        <w:tc>
          <w:tcPr>
            <w:tcW w:type="dxa" w:w="2076"/>
          </w:tcPr>
          <w:p/>
        </w:tc>
        <w:tc>
          <w:tcPr>
            <w:tcW w:type="dxa" w:w="2076"/>
          </w:tcPr>
          <w:p>
            <w:pPr>
              <w:pStyle w:val="null3"/>
            </w:pPr>
            <w:r>
              <w:rPr>
                <w:rFonts w:ascii="仿宋_GB2312" w:hAnsi="仿宋_GB2312" w:cs="仿宋_GB2312" w:eastAsia="仿宋_GB2312"/>
              </w:rPr>
              <w:t>3.支持国际标准认证方式（WEB、Portal、PPPoE、802.1x、PPTP、IPoE、专用客户端等），并支持以上认证方式混合接入。</w:t>
            </w:r>
          </w:p>
        </w:tc>
      </w:tr>
      <w:tr>
        <w:tc>
          <w:tcPr>
            <w:tcW w:type="dxa" w:w="2076"/>
          </w:tcPr>
          <w:p/>
        </w:tc>
        <w:tc>
          <w:tcPr>
            <w:tcW w:type="dxa" w:w="2076"/>
          </w:tcPr>
          <w:p>
            <w:pPr>
              <w:pStyle w:val="null3"/>
            </w:pPr>
            <w:r>
              <w:rPr>
                <w:rFonts w:ascii="仿宋_GB2312" w:hAnsi="仿宋_GB2312" w:cs="仿宋_GB2312" w:eastAsia="仿宋_GB2312"/>
              </w:rPr>
              <w:t>8</w:t>
            </w:r>
          </w:p>
        </w:tc>
        <w:tc>
          <w:tcPr>
            <w:tcW w:type="dxa" w:w="2076"/>
          </w:tcPr>
          <w:p/>
        </w:tc>
        <w:tc>
          <w:tcPr>
            <w:tcW w:type="dxa" w:w="2076"/>
          </w:tcPr>
          <w:p>
            <w:pPr>
              <w:pStyle w:val="null3"/>
            </w:pPr>
            <w:r>
              <w:rPr>
                <w:rFonts w:ascii="仿宋_GB2312" w:hAnsi="仿宋_GB2312" w:cs="仿宋_GB2312" w:eastAsia="仿宋_GB2312"/>
              </w:rPr>
              <w:t>4.支持扩展认证功能，如LDAP认证、AD域认证、短信认证、微信认证、钉钉认证等。</w:t>
            </w:r>
          </w:p>
        </w:tc>
      </w:tr>
      <w:tr>
        <w:tc>
          <w:tcPr>
            <w:tcW w:type="dxa" w:w="2076"/>
          </w:tcPr>
          <w:p/>
        </w:tc>
        <w:tc>
          <w:tcPr>
            <w:tcW w:type="dxa" w:w="2076"/>
          </w:tcPr>
          <w:p>
            <w:pPr>
              <w:pStyle w:val="null3"/>
            </w:pPr>
            <w:r>
              <w:rPr>
                <w:rFonts w:ascii="仿宋_GB2312" w:hAnsi="仿宋_GB2312" w:cs="仿宋_GB2312" w:eastAsia="仿宋_GB2312"/>
              </w:rPr>
              <w:t>9</w:t>
            </w:r>
          </w:p>
        </w:tc>
        <w:tc>
          <w:tcPr>
            <w:tcW w:type="dxa" w:w="2076"/>
          </w:tcPr>
          <w:p/>
        </w:tc>
        <w:tc>
          <w:tcPr>
            <w:tcW w:type="dxa" w:w="2076"/>
          </w:tcPr>
          <w:p>
            <w:pPr>
              <w:pStyle w:val="null3"/>
            </w:pPr>
            <w:r>
              <w:rPr>
                <w:rFonts w:ascii="仿宋_GB2312" w:hAnsi="仿宋_GB2312" w:cs="仿宋_GB2312" w:eastAsia="仿宋_GB2312"/>
              </w:rPr>
              <w:t>5.支持基于MAC地址的认证，支持基于IP地址的认证，支持基于VLAN ID的认证功能。</w:t>
            </w:r>
          </w:p>
        </w:tc>
      </w:tr>
      <w:tr>
        <w:tc>
          <w:tcPr>
            <w:tcW w:type="dxa" w:w="2076"/>
          </w:tcPr>
          <w:p/>
        </w:tc>
        <w:tc>
          <w:tcPr>
            <w:tcW w:type="dxa" w:w="2076"/>
          </w:tcPr>
          <w:p>
            <w:pPr>
              <w:pStyle w:val="null3"/>
            </w:pPr>
            <w:r>
              <w:rPr>
                <w:rFonts w:ascii="仿宋_GB2312" w:hAnsi="仿宋_GB2312" w:cs="仿宋_GB2312" w:eastAsia="仿宋_GB2312"/>
              </w:rPr>
              <w:t>10</w:t>
            </w:r>
          </w:p>
        </w:tc>
        <w:tc>
          <w:tcPr>
            <w:tcW w:type="dxa" w:w="2076"/>
          </w:tcPr>
          <w:p/>
        </w:tc>
        <w:tc>
          <w:tcPr>
            <w:tcW w:type="dxa" w:w="2076"/>
          </w:tcPr>
          <w:p>
            <w:pPr>
              <w:pStyle w:val="null3"/>
            </w:pPr>
            <w:r>
              <w:rPr>
                <w:rFonts w:ascii="仿宋_GB2312" w:hAnsi="仿宋_GB2312" w:cs="仿宋_GB2312" w:eastAsia="仿宋_GB2312"/>
              </w:rPr>
              <w:t>6.支持通过登录地址段、VLAN ID、SSID、NASIP、NASPORT来限制账号漫游，并提供截图证明。</w:t>
            </w:r>
          </w:p>
        </w:tc>
      </w:tr>
      <w:tr>
        <w:tc>
          <w:tcPr>
            <w:tcW w:type="dxa" w:w="2076"/>
          </w:tcPr>
          <w:p/>
        </w:tc>
        <w:tc>
          <w:tcPr>
            <w:tcW w:type="dxa" w:w="2076"/>
          </w:tcPr>
          <w:p>
            <w:pPr>
              <w:pStyle w:val="null3"/>
            </w:pPr>
            <w:r>
              <w:rPr>
                <w:rFonts w:ascii="仿宋_GB2312" w:hAnsi="仿宋_GB2312" w:cs="仿宋_GB2312" w:eastAsia="仿宋_GB2312"/>
              </w:rPr>
              <w:t>11</w:t>
            </w:r>
          </w:p>
        </w:tc>
        <w:tc>
          <w:tcPr>
            <w:tcW w:type="dxa" w:w="2076"/>
          </w:tcPr>
          <w:p/>
        </w:tc>
        <w:tc>
          <w:tcPr>
            <w:tcW w:type="dxa" w:w="2076"/>
          </w:tcPr>
          <w:p>
            <w:pPr>
              <w:pStyle w:val="null3"/>
            </w:pPr>
            <w:r>
              <w:rPr>
                <w:rFonts w:ascii="仿宋_GB2312" w:hAnsi="仿宋_GB2312" w:cs="仿宋_GB2312" w:eastAsia="仿宋_GB2312"/>
              </w:rPr>
              <w:t>7.支持指定不同用户组认证通过后重定向到不同的页面。</w:t>
            </w:r>
          </w:p>
        </w:tc>
      </w:tr>
      <w:tr>
        <w:tc>
          <w:tcPr>
            <w:tcW w:type="dxa" w:w="2076"/>
          </w:tcPr>
          <w:p/>
        </w:tc>
        <w:tc>
          <w:tcPr>
            <w:tcW w:type="dxa" w:w="2076"/>
          </w:tcPr>
          <w:p>
            <w:pPr>
              <w:pStyle w:val="null3"/>
            </w:pPr>
            <w:r>
              <w:rPr>
                <w:rFonts w:ascii="仿宋_GB2312" w:hAnsi="仿宋_GB2312" w:cs="仿宋_GB2312" w:eastAsia="仿宋_GB2312"/>
              </w:rPr>
              <w:t>12</w:t>
            </w:r>
          </w:p>
        </w:tc>
        <w:tc>
          <w:tcPr>
            <w:tcW w:type="dxa" w:w="2076"/>
          </w:tcPr>
          <w:p/>
        </w:tc>
        <w:tc>
          <w:tcPr>
            <w:tcW w:type="dxa" w:w="2076"/>
          </w:tcPr>
          <w:p>
            <w:pPr>
              <w:pStyle w:val="null3"/>
            </w:pPr>
            <w:r>
              <w:rPr>
                <w:rFonts w:ascii="仿宋_GB2312" w:hAnsi="仿宋_GB2312" w:cs="仿宋_GB2312" w:eastAsia="仿宋_GB2312"/>
              </w:rPr>
              <w:t>8.支持与统一身份认证系统的对接融合，用户的认证页面为统一身份认证系统，避免多套认证页面及多套账号密码对用户造成不必要的困扰。</w:t>
            </w:r>
          </w:p>
        </w:tc>
      </w:tr>
      <w:tr>
        <w:tc>
          <w:tcPr>
            <w:tcW w:type="dxa" w:w="2076"/>
          </w:tcPr>
          <w:p/>
        </w:tc>
        <w:tc>
          <w:tcPr>
            <w:tcW w:type="dxa" w:w="2076"/>
          </w:tcPr>
          <w:p>
            <w:pPr>
              <w:pStyle w:val="null3"/>
            </w:pPr>
            <w:r>
              <w:rPr>
                <w:rFonts w:ascii="仿宋_GB2312" w:hAnsi="仿宋_GB2312" w:cs="仿宋_GB2312" w:eastAsia="仿宋_GB2312"/>
              </w:rPr>
              <w:t>13</w:t>
            </w:r>
          </w:p>
        </w:tc>
        <w:tc>
          <w:tcPr>
            <w:tcW w:type="dxa" w:w="2076"/>
          </w:tcPr>
          <w:p/>
        </w:tc>
        <w:tc>
          <w:tcPr>
            <w:tcW w:type="dxa" w:w="2076"/>
          </w:tcPr>
          <w:p>
            <w:pPr>
              <w:pStyle w:val="null3"/>
            </w:pPr>
            <w:r>
              <w:rPr>
                <w:rFonts w:ascii="仿宋_GB2312" w:hAnsi="仿宋_GB2312" w:cs="仿宋_GB2312" w:eastAsia="仿宋_GB2312"/>
              </w:rPr>
              <w:t>9.支持三层环境下通过DHCP方式或SNMP方式实现无感知认证、支持与BRAS对接实现无感知认证。</w:t>
            </w:r>
          </w:p>
        </w:tc>
      </w:tr>
      <w:tr>
        <w:tc>
          <w:tcPr>
            <w:tcW w:type="dxa" w:w="2076"/>
          </w:tcPr>
          <w:p/>
        </w:tc>
        <w:tc>
          <w:tcPr>
            <w:tcW w:type="dxa" w:w="2076"/>
          </w:tcPr>
          <w:p>
            <w:pPr>
              <w:pStyle w:val="null3"/>
            </w:pPr>
            <w:r>
              <w:rPr>
                <w:rFonts w:ascii="仿宋_GB2312" w:hAnsi="仿宋_GB2312" w:cs="仿宋_GB2312" w:eastAsia="仿宋_GB2312"/>
              </w:rPr>
              <w:t>14</w:t>
            </w:r>
          </w:p>
        </w:tc>
        <w:tc>
          <w:tcPr>
            <w:tcW w:type="dxa" w:w="2076"/>
          </w:tcPr>
          <w:p/>
        </w:tc>
        <w:tc>
          <w:tcPr>
            <w:tcW w:type="dxa" w:w="2076"/>
          </w:tcPr>
          <w:p>
            <w:pPr>
              <w:pStyle w:val="null3"/>
            </w:pPr>
            <w:r>
              <w:rPr>
                <w:rFonts w:ascii="仿宋_GB2312" w:hAnsi="仿宋_GB2312" w:cs="仿宋_GB2312" w:eastAsia="仿宋_GB2312"/>
              </w:rPr>
              <w:t>10.支持IPv4及IPv6的无感知联动功能、支持IPv4及IPv6无感知黑白名单、终端类型无感知策略、无感知有效期等无感知策略，并提供截图证明。</w:t>
            </w:r>
          </w:p>
        </w:tc>
      </w:tr>
      <w:tr>
        <w:tc>
          <w:tcPr>
            <w:tcW w:type="dxa" w:w="2076"/>
          </w:tcPr>
          <w:p/>
        </w:tc>
        <w:tc>
          <w:tcPr>
            <w:tcW w:type="dxa" w:w="2076"/>
          </w:tcPr>
          <w:p>
            <w:pPr>
              <w:pStyle w:val="null3"/>
            </w:pPr>
            <w:r>
              <w:rPr>
                <w:rFonts w:ascii="仿宋_GB2312" w:hAnsi="仿宋_GB2312" w:cs="仿宋_GB2312" w:eastAsia="仿宋_GB2312"/>
              </w:rPr>
              <w:t>15</w:t>
            </w:r>
          </w:p>
        </w:tc>
        <w:tc>
          <w:tcPr>
            <w:tcW w:type="dxa" w:w="2076"/>
          </w:tcPr>
          <w:p/>
        </w:tc>
        <w:tc>
          <w:tcPr>
            <w:tcW w:type="dxa" w:w="2076"/>
          </w:tcPr>
          <w:p>
            <w:pPr>
              <w:pStyle w:val="null3"/>
            </w:pPr>
            <w:r>
              <w:rPr>
                <w:rFonts w:ascii="仿宋_GB2312" w:hAnsi="仿宋_GB2312" w:cs="仿宋_GB2312" w:eastAsia="仿宋_GB2312"/>
              </w:rPr>
              <w:t>11.支持本地认证\PORTAL协议\RUCKUS\CISCO\MOTO\JUNIPER\ARUBA\TPlink等，Portal协议对接认证方式。</w:t>
            </w:r>
          </w:p>
        </w:tc>
      </w:tr>
      <w:tr>
        <w:tc>
          <w:tcPr>
            <w:tcW w:type="dxa" w:w="2076"/>
          </w:tcPr>
          <w:p/>
        </w:tc>
        <w:tc>
          <w:tcPr>
            <w:tcW w:type="dxa" w:w="2076"/>
          </w:tcPr>
          <w:p>
            <w:pPr>
              <w:pStyle w:val="null3"/>
            </w:pPr>
            <w:r>
              <w:rPr>
                <w:rFonts w:ascii="仿宋_GB2312" w:hAnsi="仿宋_GB2312" w:cs="仿宋_GB2312" w:eastAsia="仿宋_GB2312"/>
              </w:rPr>
              <w:t>16</w:t>
            </w:r>
          </w:p>
        </w:tc>
        <w:tc>
          <w:tcPr>
            <w:tcW w:type="dxa" w:w="2076"/>
          </w:tcPr>
          <w:p/>
        </w:tc>
        <w:tc>
          <w:tcPr>
            <w:tcW w:type="dxa" w:w="2076"/>
          </w:tcPr>
          <w:p>
            <w:pPr>
              <w:pStyle w:val="null3"/>
            </w:pPr>
            <w:r>
              <w:rPr>
                <w:rFonts w:ascii="仿宋_GB2312" w:hAnsi="仿宋_GB2312" w:cs="仿宋_GB2312" w:eastAsia="仿宋_GB2312"/>
              </w:rPr>
              <w:t>12.支持华为、华三、Juniper、CISCO、锐捷、中兴、爱立信、神码、Moto、Aruba、Ruckus、傲天动联等网络设备厂家Radius和Portal协议。</w:t>
            </w:r>
          </w:p>
        </w:tc>
      </w:tr>
      <w:tr>
        <w:tc>
          <w:tcPr>
            <w:tcW w:type="dxa" w:w="2076"/>
          </w:tcPr>
          <w:p/>
        </w:tc>
        <w:tc>
          <w:tcPr>
            <w:tcW w:type="dxa" w:w="2076"/>
          </w:tcPr>
          <w:p>
            <w:pPr>
              <w:pStyle w:val="null3"/>
            </w:pPr>
            <w:r>
              <w:rPr>
                <w:rFonts w:ascii="仿宋_GB2312" w:hAnsi="仿宋_GB2312" w:cs="仿宋_GB2312" w:eastAsia="仿宋_GB2312"/>
              </w:rPr>
              <w:t>17</w:t>
            </w:r>
          </w:p>
        </w:tc>
        <w:tc>
          <w:tcPr>
            <w:tcW w:type="dxa" w:w="2076"/>
          </w:tcPr>
          <w:p/>
        </w:tc>
        <w:tc>
          <w:tcPr>
            <w:tcW w:type="dxa" w:w="2076"/>
          </w:tcPr>
          <w:p>
            <w:pPr>
              <w:pStyle w:val="null3"/>
            </w:pPr>
            <w:r>
              <w:rPr>
                <w:rFonts w:ascii="仿宋_GB2312" w:hAnsi="仿宋_GB2312" w:cs="仿宋_GB2312" w:eastAsia="仿宋_GB2312"/>
              </w:rPr>
              <w:t>13.支持时间、流量分段计费策略，使用不同的累计时间、流量，收取不同的费用。</w:t>
            </w:r>
          </w:p>
        </w:tc>
      </w:tr>
      <w:tr>
        <w:tc>
          <w:tcPr>
            <w:tcW w:type="dxa" w:w="2076"/>
          </w:tcPr>
          <w:p/>
        </w:tc>
        <w:tc>
          <w:tcPr>
            <w:tcW w:type="dxa" w:w="2076"/>
          </w:tcPr>
          <w:p>
            <w:pPr>
              <w:pStyle w:val="null3"/>
            </w:pPr>
            <w:r>
              <w:rPr>
                <w:rFonts w:ascii="仿宋_GB2312" w:hAnsi="仿宋_GB2312" w:cs="仿宋_GB2312" w:eastAsia="仿宋_GB2312"/>
              </w:rPr>
              <w:t>18</w:t>
            </w:r>
          </w:p>
        </w:tc>
        <w:tc>
          <w:tcPr>
            <w:tcW w:type="dxa" w:w="2076"/>
          </w:tcPr>
          <w:p/>
        </w:tc>
        <w:tc>
          <w:tcPr>
            <w:tcW w:type="dxa" w:w="2076"/>
          </w:tcPr>
          <w:p>
            <w:pPr>
              <w:pStyle w:val="null3"/>
            </w:pPr>
            <w:r>
              <w:rPr>
                <w:rFonts w:ascii="仿宋_GB2312" w:hAnsi="仿宋_GB2312" w:cs="仿宋_GB2312" w:eastAsia="仿宋_GB2312"/>
              </w:rPr>
              <w:t>14.流量清零规则支持：不清零；X月后清零（每次充值支持有效期X个月）；每月月结清零；剩余用量封顶；指定日期清零，并提供截图证明。</w:t>
            </w:r>
          </w:p>
        </w:tc>
      </w:tr>
      <w:tr>
        <w:tc>
          <w:tcPr>
            <w:tcW w:type="dxa" w:w="2076"/>
          </w:tcPr>
          <w:p/>
        </w:tc>
        <w:tc>
          <w:tcPr>
            <w:tcW w:type="dxa" w:w="2076"/>
          </w:tcPr>
          <w:p>
            <w:pPr>
              <w:pStyle w:val="null3"/>
            </w:pPr>
            <w:r>
              <w:rPr>
                <w:rFonts w:ascii="仿宋_GB2312" w:hAnsi="仿宋_GB2312" w:cs="仿宋_GB2312" w:eastAsia="仿宋_GB2312"/>
              </w:rPr>
              <w:t>19</w:t>
            </w:r>
          </w:p>
        </w:tc>
        <w:tc>
          <w:tcPr>
            <w:tcW w:type="dxa" w:w="2076"/>
          </w:tcPr>
          <w:p/>
        </w:tc>
        <w:tc>
          <w:tcPr>
            <w:tcW w:type="dxa" w:w="2076"/>
          </w:tcPr>
          <w:p>
            <w:pPr>
              <w:pStyle w:val="null3"/>
            </w:pPr>
            <w:r>
              <w:rPr>
                <w:rFonts w:ascii="仿宋_GB2312" w:hAnsi="仿宋_GB2312" w:cs="仿宋_GB2312" w:eastAsia="仿宋_GB2312"/>
              </w:rPr>
              <w:t>15.支持基于IPv4、IPv6、VLAN，SSID、区域、时间段、AC IP、AP MAC匹配认证页面的功能，支持上述字段灵活的“或”“与”关系组合，在“与”关系下可以拖动修改条件匹配优先顺序。并提供截图证明。</w:t>
            </w:r>
          </w:p>
        </w:tc>
      </w:tr>
      <w:tr>
        <w:tc>
          <w:tcPr>
            <w:tcW w:type="dxa" w:w="2076"/>
          </w:tcPr>
          <w:p/>
        </w:tc>
        <w:tc>
          <w:tcPr>
            <w:tcW w:type="dxa" w:w="2076"/>
          </w:tcPr>
          <w:p>
            <w:pPr>
              <w:pStyle w:val="null3"/>
            </w:pPr>
            <w:r>
              <w:rPr>
                <w:rFonts w:ascii="仿宋_GB2312" w:hAnsi="仿宋_GB2312" w:cs="仿宋_GB2312" w:eastAsia="仿宋_GB2312"/>
              </w:rPr>
              <w:t>20</w:t>
            </w:r>
          </w:p>
        </w:tc>
        <w:tc>
          <w:tcPr>
            <w:tcW w:type="dxa" w:w="2076"/>
          </w:tcPr>
          <w:p/>
        </w:tc>
        <w:tc>
          <w:tcPr>
            <w:tcW w:type="dxa" w:w="2076"/>
          </w:tcPr>
          <w:p>
            <w:pPr>
              <w:pStyle w:val="null3"/>
            </w:pPr>
            <w:r>
              <w:rPr>
                <w:rFonts w:ascii="仿宋_GB2312" w:hAnsi="仿宋_GB2312" w:cs="仿宋_GB2312" w:eastAsia="仿宋_GB2312"/>
              </w:rPr>
              <w:t>16.认证页面图片数量、大小、布局框架鼠标任意拖动设定；自定义模版：移动终端及PC的认证前后页面、广告页、跳转页面；提供多种页面组件：如图片、图片轮播、自动登陆等多种组件，并提供截图证明。</w:t>
            </w:r>
          </w:p>
        </w:tc>
      </w:tr>
      <w:tr>
        <w:tc>
          <w:tcPr>
            <w:tcW w:type="dxa" w:w="2076"/>
          </w:tcPr>
          <w:p/>
        </w:tc>
        <w:tc>
          <w:tcPr>
            <w:tcW w:type="dxa" w:w="2076"/>
          </w:tcPr>
          <w:p>
            <w:pPr>
              <w:pStyle w:val="null3"/>
            </w:pPr>
            <w:r>
              <w:rPr>
                <w:rFonts w:ascii="仿宋_GB2312" w:hAnsi="仿宋_GB2312" w:cs="仿宋_GB2312" w:eastAsia="仿宋_GB2312"/>
              </w:rPr>
              <w:t>21</w:t>
            </w:r>
          </w:p>
        </w:tc>
        <w:tc>
          <w:tcPr>
            <w:tcW w:type="dxa" w:w="2076"/>
          </w:tcPr>
          <w:p/>
        </w:tc>
        <w:tc>
          <w:tcPr>
            <w:tcW w:type="dxa" w:w="2076"/>
          </w:tcPr>
          <w:p>
            <w:pPr>
              <w:pStyle w:val="null3"/>
            </w:pPr>
            <w:r>
              <w:rPr>
                <w:rFonts w:ascii="仿宋_GB2312" w:hAnsi="仿宋_GB2312" w:cs="仿宋_GB2312" w:eastAsia="仿宋_GB2312"/>
              </w:rPr>
              <w:t>17.支持与多运营商对接，通过与运营商AAA系统对接实现融合认证功能，当用户在自助服务系统进行运营商账号绑定时，系统可对绑定的运营商账号状态进行提示，并提供截图证明。</w:t>
            </w:r>
          </w:p>
        </w:tc>
      </w:tr>
      <w:tr>
        <w:tc>
          <w:tcPr>
            <w:tcW w:type="dxa" w:w="2076"/>
          </w:tcPr>
          <w:p/>
        </w:tc>
        <w:tc>
          <w:tcPr>
            <w:tcW w:type="dxa" w:w="2076"/>
          </w:tcPr>
          <w:p>
            <w:pPr>
              <w:pStyle w:val="null3"/>
            </w:pPr>
            <w:r>
              <w:rPr>
                <w:rFonts w:ascii="仿宋_GB2312" w:hAnsi="仿宋_GB2312" w:cs="仿宋_GB2312" w:eastAsia="仿宋_GB2312"/>
              </w:rPr>
              <w:t>22</w:t>
            </w:r>
          </w:p>
        </w:tc>
        <w:tc>
          <w:tcPr>
            <w:tcW w:type="dxa" w:w="2076"/>
          </w:tcPr>
          <w:p/>
        </w:tc>
        <w:tc>
          <w:tcPr>
            <w:tcW w:type="dxa" w:w="2076"/>
          </w:tcPr>
          <w:p>
            <w:pPr>
              <w:pStyle w:val="null3"/>
            </w:pPr>
            <w:r>
              <w:rPr>
                <w:rFonts w:ascii="仿宋_GB2312" w:hAnsi="仿宋_GB2312" w:cs="仿宋_GB2312" w:eastAsia="仿宋_GB2312"/>
              </w:rPr>
              <w:t>18.支持用户属性字段自定义扩展可视化配置，包括数据类型、字段排序、开户录入规则等。</w:t>
            </w:r>
          </w:p>
        </w:tc>
      </w:tr>
      <w:tr>
        <w:tc>
          <w:tcPr>
            <w:tcW w:type="dxa" w:w="2076"/>
          </w:tcPr>
          <w:p/>
        </w:tc>
        <w:tc>
          <w:tcPr>
            <w:tcW w:type="dxa" w:w="2076"/>
          </w:tcPr>
          <w:p>
            <w:pPr>
              <w:pStyle w:val="null3"/>
            </w:pPr>
            <w:r>
              <w:rPr>
                <w:rFonts w:ascii="仿宋_GB2312" w:hAnsi="仿宋_GB2312" w:cs="仿宋_GB2312" w:eastAsia="仿宋_GB2312"/>
              </w:rPr>
              <w:t>23</w:t>
            </w:r>
          </w:p>
        </w:tc>
        <w:tc>
          <w:tcPr>
            <w:tcW w:type="dxa" w:w="2076"/>
          </w:tcPr>
          <w:p/>
        </w:tc>
        <w:tc>
          <w:tcPr>
            <w:tcW w:type="dxa" w:w="2076"/>
          </w:tcPr>
          <w:p>
            <w:pPr>
              <w:pStyle w:val="null3"/>
            </w:pPr>
            <w:r>
              <w:rPr>
                <w:rFonts w:ascii="仿宋_GB2312" w:hAnsi="仿宋_GB2312" w:cs="仿宋_GB2312" w:eastAsia="仿宋_GB2312"/>
              </w:rPr>
              <w:t>19.支持配置管理员密码有效期、登录失败策略、自动锁定策略等，并提供截图证明。</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24</w:t>
            </w:r>
          </w:p>
        </w:tc>
        <w:tc>
          <w:tcPr>
            <w:tcW w:type="dxa" w:w="2076"/>
          </w:tcPr>
          <w:p/>
        </w:tc>
        <w:tc>
          <w:tcPr>
            <w:tcW w:type="dxa" w:w="2076"/>
          </w:tcPr>
          <w:p>
            <w:pPr>
              <w:pStyle w:val="null3"/>
            </w:pPr>
            <w:r>
              <w:rPr>
                <w:rFonts w:ascii="仿宋_GB2312" w:hAnsi="仿宋_GB2312" w:cs="仿宋_GB2312" w:eastAsia="仿宋_GB2312"/>
              </w:rPr>
              <w:t xml:space="preserve">20.要求具有信息产业部颁发的《电信设备进网许可证》，并提供证明。 </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25</w:t>
            </w:r>
          </w:p>
        </w:tc>
        <w:tc>
          <w:tcPr>
            <w:tcW w:type="dxa" w:w="2076"/>
          </w:tcPr>
          <w:p/>
        </w:tc>
        <w:tc>
          <w:tcPr>
            <w:tcW w:type="dxa" w:w="2076"/>
          </w:tcPr>
          <w:p>
            <w:pPr>
              <w:pStyle w:val="null3"/>
            </w:pPr>
            <w:r>
              <w:rPr>
                <w:rFonts w:ascii="仿宋_GB2312" w:hAnsi="仿宋_GB2312" w:cs="仿宋_GB2312" w:eastAsia="仿宋_GB2312"/>
              </w:rPr>
              <w:t>21.支持FaceID、Windows Hello人脸识别和指纹登录认证。提供截图证明。</w:t>
            </w:r>
          </w:p>
        </w:tc>
      </w:tr>
      <w:tr>
        <w:tc>
          <w:tcPr>
            <w:tcW w:type="dxa" w:w="2076"/>
          </w:tcPr>
          <w:p/>
        </w:tc>
        <w:tc>
          <w:tcPr>
            <w:tcW w:type="dxa" w:w="2076"/>
          </w:tcPr>
          <w:p>
            <w:pPr>
              <w:pStyle w:val="null3"/>
            </w:pPr>
            <w:r>
              <w:rPr>
                <w:rFonts w:ascii="仿宋_GB2312" w:hAnsi="仿宋_GB2312" w:cs="仿宋_GB2312" w:eastAsia="仿宋_GB2312"/>
              </w:rPr>
              <w:t>26</w:t>
            </w:r>
          </w:p>
        </w:tc>
        <w:tc>
          <w:tcPr>
            <w:tcW w:type="dxa" w:w="2076"/>
          </w:tcPr>
          <w:p/>
        </w:tc>
        <w:tc>
          <w:tcPr>
            <w:tcW w:type="dxa" w:w="2076"/>
          </w:tcPr>
          <w:p>
            <w:pPr>
              <w:pStyle w:val="null3"/>
            </w:pPr>
            <w:r>
              <w:rPr>
                <w:rFonts w:ascii="仿宋_GB2312" w:hAnsi="仿宋_GB2312" w:cs="仿宋_GB2312" w:eastAsia="仿宋_GB2312"/>
              </w:rPr>
              <w:t>22.对接学校统一身份认证系统，按采购人要求免费对接学校数据中心平台，并实现与项目相关的数据同步。</w:t>
            </w:r>
          </w:p>
        </w:tc>
      </w:tr>
      <w:tr>
        <w:tc>
          <w:tcPr>
            <w:tcW w:type="dxa" w:w="2076"/>
          </w:tcPr>
          <w:p/>
        </w:tc>
        <w:tc>
          <w:tcPr>
            <w:tcW w:type="dxa" w:w="2076"/>
          </w:tcPr>
          <w:p>
            <w:pPr>
              <w:pStyle w:val="null3"/>
            </w:pPr>
            <w:r>
              <w:rPr>
                <w:rFonts w:ascii="仿宋_GB2312" w:hAnsi="仿宋_GB2312" w:cs="仿宋_GB2312" w:eastAsia="仿宋_GB2312"/>
              </w:rPr>
              <w:t>27</w:t>
            </w:r>
          </w:p>
        </w:tc>
        <w:tc>
          <w:tcPr>
            <w:tcW w:type="dxa" w:w="2076"/>
          </w:tcPr>
          <w:p>
            <w:pPr>
              <w:pStyle w:val="null3"/>
            </w:pPr>
            <w:r>
              <w:rPr>
                <w:rFonts w:ascii="仿宋_GB2312" w:hAnsi="仿宋_GB2312" w:cs="仿宋_GB2312" w:eastAsia="仿宋_GB2312"/>
              </w:rPr>
              <w:t>三、WEB防护业务服务</w:t>
            </w:r>
          </w:p>
        </w:tc>
        <w:tc>
          <w:tcPr>
            <w:tcW w:type="dxa" w:w="2076"/>
          </w:tcPr>
          <w:p>
            <w:pPr>
              <w:pStyle w:val="null3"/>
            </w:pPr>
            <w:r>
              <w:rPr>
                <w:rFonts w:ascii="仿宋_GB2312" w:hAnsi="仿宋_GB2312" w:cs="仿宋_GB2312" w:eastAsia="仿宋_GB2312"/>
              </w:rPr>
              <w:t>具体要求如下：</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28</w:t>
            </w:r>
          </w:p>
        </w:tc>
        <w:tc>
          <w:tcPr>
            <w:tcW w:type="dxa" w:w="2076"/>
          </w:tcPr>
          <w:p/>
        </w:tc>
        <w:tc>
          <w:tcPr>
            <w:tcW w:type="dxa" w:w="2076"/>
          </w:tcPr>
          <w:p>
            <w:pPr>
              <w:pStyle w:val="null3"/>
            </w:pPr>
            <w:r>
              <w:rPr>
                <w:rFonts w:ascii="仿宋_GB2312" w:hAnsi="仿宋_GB2312" w:cs="仿宋_GB2312" w:eastAsia="仿宋_GB2312"/>
              </w:rPr>
              <w:t xml:space="preserve">1.提供WEB防护业务服务提供承担网络关键设备和网络安全专用产品安全认证和安全检测任务机构出具检测报告（安全认证合格或符合安全测试要求）或已获得《计算机信息系统安全产品销售许可证》（在有效期内） </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29</w:t>
            </w:r>
          </w:p>
        </w:tc>
        <w:tc>
          <w:tcPr>
            <w:tcW w:type="dxa" w:w="2076"/>
          </w:tcPr>
          <w:p/>
        </w:tc>
        <w:tc>
          <w:tcPr>
            <w:tcW w:type="dxa" w:w="2076"/>
          </w:tcPr>
          <w:p>
            <w:pPr>
              <w:pStyle w:val="null3"/>
            </w:pPr>
            <w:r>
              <w:rPr>
                <w:rFonts w:ascii="仿宋_GB2312" w:hAnsi="仿宋_GB2312" w:cs="仿宋_GB2312" w:eastAsia="仿宋_GB2312"/>
              </w:rPr>
              <w:t>2.硬件能要求：网络层吞吐量≥40G，应用层吞吐量≥25G，并发连接数≥420万，HTTP新建连接数≥19万，IPSec VPN 最大接入数≥6000，IPSec VPN吞吐量≥1.5G。</w:t>
            </w:r>
          </w:p>
        </w:tc>
      </w:tr>
      <w:tr>
        <w:tc>
          <w:tcPr>
            <w:tcW w:type="dxa" w:w="2076"/>
          </w:tcPr>
          <w:p/>
        </w:tc>
        <w:tc>
          <w:tcPr>
            <w:tcW w:type="dxa" w:w="2076"/>
          </w:tcPr>
          <w:p>
            <w:pPr>
              <w:pStyle w:val="null3"/>
            </w:pPr>
            <w:r>
              <w:rPr>
                <w:rFonts w:ascii="仿宋_GB2312" w:hAnsi="仿宋_GB2312" w:cs="仿宋_GB2312" w:eastAsia="仿宋_GB2312"/>
              </w:rPr>
              <w:t>30</w:t>
            </w:r>
          </w:p>
        </w:tc>
        <w:tc>
          <w:tcPr>
            <w:tcW w:type="dxa" w:w="2076"/>
          </w:tcPr>
          <w:p/>
        </w:tc>
        <w:tc>
          <w:tcPr>
            <w:tcW w:type="dxa" w:w="2076"/>
          </w:tcPr>
          <w:p>
            <w:pPr>
              <w:pStyle w:val="null3"/>
            </w:pPr>
            <w:r>
              <w:rPr>
                <w:rFonts w:ascii="仿宋_GB2312" w:hAnsi="仿宋_GB2312" w:cs="仿宋_GB2312" w:eastAsia="仿宋_GB2312"/>
              </w:rPr>
              <w:t>3.规格：1U，内存大小≥16G，硬盘容量≥256G SSD，冗余电源，接口≥16千兆电口，≥6万兆光口SFP+。</w:t>
            </w:r>
          </w:p>
        </w:tc>
      </w:tr>
      <w:tr>
        <w:tc>
          <w:tcPr>
            <w:tcW w:type="dxa" w:w="2076"/>
          </w:tcPr>
          <w:p/>
        </w:tc>
        <w:tc>
          <w:tcPr>
            <w:tcW w:type="dxa" w:w="2076"/>
          </w:tcPr>
          <w:p>
            <w:pPr>
              <w:pStyle w:val="null3"/>
            </w:pPr>
            <w:r>
              <w:rPr>
                <w:rFonts w:ascii="仿宋_GB2312" w:hAnsi="仿宋_GB2312" w:cs="仿宋_GB2312" w:eastAsia="仿宋_GB2312"/>
              </w:rPr>
              <w:t>31</w:t>
            </w:r>
          </w:p>
        </w:tc>
        <w:tc>
          <w:tcPr>
            <w:tcW w:type="dxa" w:w="2076"/>
          </w:tcPr>
          <w:p/>
        </w:tc>
        <w:tc>
          <w:tcPr>
            <w:tcW w:type="dxa" w:w="2076"/>
          </w:tcPr>
          <w:p>
            <w:pPr>
              <w:pStyle w:val="null3"/>
            </w:pPr>
            <w:r>
              <w:rPr>
                <w:rFonts w:ascii="仿宋_GB2312" w:hAnsi="仿宋_GB2312" w:cs="仿宋_GB2312" w:eastAsia="仿宋_GB2312"/>
              </w:rPr>
              <w:t>4软件功能要求：</w:t>
            </w:r>
          </w:p>
        </w:tc>
      </w:tr>
      <w:tr>
        <w:tc>
          <w:tcPr>
            <w:tcW w:type="dxa" w:w="2076"/>
          </w:tcPr>
          <w:p/>
        </w:tc>
        <w:tc>
          <w:tcPr>
            <w:tcW w:type="dxa" w:w="2076"/>
          </w:tcPr>
          <w:p>
            <w:pPr>
              <w:pStyle w:val="null3"/>
            </w:pPr>
            <w:r>
              <w:rPr>
                <w:rFonts w:ascii="仿宋_GB2312" w:hAnsi="仿宋_GB2312" w:cs="仿宋_GB2312" w:eastAsia="仿宋_GB2312"/>
              </w:rPr>
              <w:t>32</w:t>
            </w:r>
          </w:p>
        </w:tc>
        <w:tc>
          <w:tcPr>
            <w:tcW w:type="dxa" w:w="2076"/>
          </w:tcPr>
          <w:p/>
        </w:tc>
        <w:tc>
          <w:tcPr>
            <w:tcW w:type="dxa" w:w="2076"/>
          </w:tcPr>
          <w:p>
            <w:pPr>
              <w:pStyle w:val="null3"/>
            </w:pPr>
            <w:r>
              <w:rPr>
                <w:rFonts w:ascii="仿宋_GB2312" w:hAnsi="仿宋_GB2312" w:cs="仿宋_GB2312" w:eastAsia="仿宋_GB2312"/>
              </w:rPr>
              <w:t>（1）支持虚拟Web应用防火墙功能，支持虚拟Web应用防火墙的创建和删除，具备独立的接口、会话管理、应用控制策略、NAT等资源。</w:t>
            </w:r>
          </w:p>
        </w:tc>
      </w:tr>
      <w:tr>
        <w:tc>
          <w:tcPr>
            <w:tcW w:type="dxa" w:w="2076"/>
          </w:tcPr>
          <w:p/>
        </w:tc>
        <w:tc>
          <w:tcPr>
            <w:tcW w:type="dxa" w:w="2076"/>
          </w:tcPr>
          <w:p>
            <w:pPr>
              <w:pStyle w:val="null3"/>
            </w:pPr>
            <w:r>
              <w:rPr>
                <w:rFonts w:ascii="仿宋_GB2312" w:hAnsi="仿宋_GB2312" w:cs="仿宋_GB2312" w:eastAsia="仿宋_GB2312"/>
              </w:rPr>
              <w:t>33</w:t>
            </w:r>
          </w:p>
        </w:tc>
        <w:tc>
          <w:tcPr>
            <w:tcW w:type="dxa" w:w="2076"/>
          </w:tcPr>
          <w:p/>
        </w:tc>
        <w:tc>
          <w:tcPr>
            <w:tcW w:type="dxa" w:w="2076"/>
          </w:tcPr>
          <w:p>
            <w:pPr>
              <w:pStyle w:val="null3"/>
            </w:pPr>
            <w:r>
              <w:rPr>
                <w:rFonts w:ascii="仿宋_GB2312" w:hAnsi="仿宋_GB2312" w:cs="仿宋_GB2312" w:eastAsia="仿宋_GB2312"/>
              </w:rPr>
              <w:t>（2） 支持异常数据包攻击防御，防护类型包括IP数据块分片传输防护、Teardrop攻击防护、Smurf攻击防护、Land攻击防护、WinNuke攻击防护等攻击类型。</w:t>
            </w:r>
          </w:p>
        </w:tc>
      </w:tr>
      <w:tr>
        <w:tc>
          <w:tcPr>
            <w:tcW w:type="dxa" w:w="2076"/>
          </w:tcPr>
          <w:p/>
        </w:tc>
        <w:tc>
          <w:tcPr>
            <w:tcW w:type="dxa" w:w="2076"/>
          </w:tcPr>
          <w:p>
            <w:pPr>
              <w:pStyle w:val="null3"/>
            </w:pPr>
            <w:r>
              <w:rPr>
                <w:rFonts w:ascii="仿宋_GB2312" w:hAnsi="仿宋_GB2312" w:cs="仿宋_GB2312" w:eastAsia="仿宋_GB2312"/>
              </w:rPr>
              <w:t>34</w:t>
            </w:r>
          </w:p>
        </w:tc>
        <w:tc>
          <w:tcPr>
            <w:tcW w:type="dxa" w:w="2076"/>
          </w:tcPr>
          <w:p/>
        </w:tc>
        <w:tc>
          <w:tcPr>
            <w:tcW w:type="dxa" w:w="2076"/>
          </w:tcPr>
          <w:p>
            <w:pPr>
              <w:pStyle w:val="null3"/>
            </w:pPr>
            <w:r>
              <w:rPr>
                <w:rFonts w:ascii="仿宋_GB2312" w:hAnsi="仿宋_GB2312" w:cs="仿宋_GB2312" w:eastAsia="仿宋_GB2312"/>
              </w:rPr>
              <w:t>（3）支持管控非法、违规网站的访问行为，具备海量的URL分类库。</w:t>
            </w:r>
          </w:p>
        </w:tc>
      </w:tr>
      <w:tr>
        <w:tc>
          <w:tcPr>
            <w:tcW w:type="dxa" w:w="2076"/>
          </w:tcPr>
          <w:p/>
        </w:tc>
        <w:tc>
          <w:tcPr>
            <w:tcW w:type="dxa" w:w="2076"/>
          </w:tcPr>
          <w:p>
            <w:pPr>
              <w:pStyle w:val="null3"/>
            </w:pPr>
            <w:r>
              <w:rPr>
                <w:rFonts w:ascii="仿宋_GB2312" w:hAnsi="仿宋_GB2312" w:cs="仿宋_GB2312" w:eastAsia="仿宋_GB2312"/>
              </w:rPr>
              <w:t>35</w:t>
            </w:r>
          </w:p>
        </w:tc>
        <w:tc>
          <w:tcPr>
            <w:tcW w:type="dxa" w:w="2076"/>
          </w:tcPr>
          <w:p/>
        </w:tc>
        <w:tc>
          <w:tcPr>
            <w:tcW w:type="dxa" w:w="2076"/>
          </w:tcPr>
          <w:p>
            <w:pPr>
              <w:pStyle w:val="null3"/>
            </w:pPr>
            <w:r>
              <w:rPr>
                <w:rFonts w:ascii="仿宋_GB2312" w:hAnsi="仿宋_GB2312" w:cs="仿宋_GB2312" w:eastAsia="仿宋_GB2312"/>
              </w:rPr>
              <w:t>（4）支持基于文件传输方式、文件类型等维度的管控策略配置。（需提供产品功能截图证明）</w:t>
            </w:r>
          </w:p>
        </w:tc>
      </w:tr>
      <w:tr>
        <w:tc>
          <w:tcPr>
            <w:tcW w:type="dxa" w:w="2076"/>
          </w:tcPr>
          <w:p/>
        </w:tc>
        <w:tc>
          <w:tcPr>
            <w:tcW w:type="dxa" w:w="2076"/>
          </w:tcPr>
          <w:p>
            <w:pPr>
              <w:pStyle w:val="null3"/>
            </w:pPr>
            <w:r>
              <w:rPr>
                <w:rFonts w:ascii="仿宋_GB2312" w:hAnsi="仿宋_GB2312" w:cs="仿宋_GB2312" w:eastAsia="仿宋_GB2312"/>
              </w:rPr>
              <w:t>36</w:t>
            </w:r>
          </w:p>
        </w:tc>
        <w:tc>
          <w:tcPr>
            <w:tcW w:type="dxa" w:w="2076"/>
          </w:tcPr>
          <w:p/>
        </w:tc>
        <w:tc>
          <w:tcPr>
            <w:tcW w:type="dxa" w:w="2076"/>
          </w:tcPr>
          <w:p>
            <w:pPr>
              <w:pStyle w:val="null3"/>
            </w:pPr>
            <w:r>
              <w:rPr>
                <w:rFonts w:ascii="仿宋_GB2312" w:hAnsi="仿宋_GB2312" w:cs="仿宋_GB2312" w:eastAsia="仿宋_GB2312"/>
              </w:rPr>
              <w:t>（5）支持https解密功能，支持TCP代理和SSL代理。（需提供产品功能截图证明）</w:t>
            </w:r>
          </w:p>
        </w:tc>
      </w:tr>
      <w:tr>
        <w:tc>
          <w:tcPr>
            <w:tcW w:type="dxa" w:w="2076"/>
          </w:tcPr>
          <w:p/>
        </w:tc>
        <w:tc>
          <w:tcPr>
            <w:tcW w:type="dxa" w:w="2076"/>
          </w:tcPr>
          <w:p>
            <w:pPr>
              <w:pStyle w:val="null3"/>
            </w:pPr>
            <w:r>
              <w:rPr>
                <w:rFonts w:ascii="仿宋_GB2312" w:hAnsi="仿宋_GB2312" w:cs="仿宋_GB2312" w:eastAsia="仿宋_GB2312"/>
              </w:rPr>
              <w:t>37</w:t>
            </w:r>
          </w:p>
        </w:tc>
        <w:tc>
          <w:tcPr>
            <w:tcW w:type="dxa" w:w="2076"/>
          </w:tcPr>
          <w:p/>
        </w:tc>
        <w:tc>
          <w:tcPr>
            <w:tcW w:type="dxa" w:w="2076"/>
          </w:tcPr>
          <w:p>
            <w:pPr>
              <w:pStyle w:val="null3"/>
            </w:pPr>
            <w:r>
              <w:rPr>
                <w:rFonts w:ascii="仿宋_GB2312" w:hAnsi="仿宋_GB2312" w:cs="仿宋_GB2312" w:eastAsia="仿宋_GB2312"/>
              </w:rPr>
              <w:t>（6）支持对压缩病毒文件进行检测和拦截，压缩层数支持15层及以上。（需提供产品功能截图证明）</w:t>
            </w:r>
          </w:p>
        </w:tc>
      </w:tr>
      <w:tr>
        <w:tc>
          <w:tcPr>
            <w:tcW w:type="dxa" w:w="2076"/>
          </w:tcPr>
          <w:p/>
        </w:tc>
        <w:tc>
          <w:tcPr>
            <w:tcW w:type="dxa" w:w="2076"/>
          </w:tcPr>
          <w:p>
            <w:pPr>
              <w:pStyle w:val="null3"/>
            </w:pPr>
            <w:r>
              <w:rPr>
                <w:rFonts w:ascii="仿宋_GB2312" w:hAnsi="仿宋_GB2312" w:cs="仿宋_GB2312" w:eastAsia="仿宋_GB2312"/>
              </w:rPr>
              <w:t>38</w:t>
            </w:r>
          </w:p>
        </w:tc>
        <w:tc>
          <w:tcPr>
            <w:tcW w:type="dxa" w:w="2076"/>
          </w:tcPr>
          <w:p/>
        </w:tc>
        <w:tc>
          <w:tcPr>
            <w:tcW w:type="dxa" w:w="2076"/>
          </w:tcPr>
          <w:p>
            <w:pPr>
              <w:pStyle w:val="null3"/>
            </w:pPr>
            <w:r>
              <w:rPr>
                <w:rFonts w:ascii="仿宋_GB2312" w:hAnsi="仿宋_GB2312" w:cs="仿宋_GB2312" w:eastAsia="仿宋_GB2312"/>
              </w:rPr>
              <w:t>（7）内置≥5000种WEB应用攻击特征，支持对跨站脚本（XSS）攻击、SQL注入、网页木马等攻击类型进行防护。（需提供产品功能截图证明）</w:t>
            </w:r>
          </w:p>
        </w:tc>
      </w:tr>
      <w:tr>
        <w:tc>
          <w:tcPr>
            <w:tcW w:type="dxa" w:w="2076"/>
          </w:tcPr>
          <w:p/>
        </w:tc>
        <w:tc>
          <w:tcPr>
            <w:tcW w:type="dxa" w:w="2076"/>
          </w:tcPr>
          <w:p>
            <w:pPr>
              <w:pStyle w:val="null3"/>
            </w:pPr>
            <w:r>
              <w:rPr>
                <w:rFonts w:ascii="仿宋_GB2312" w:hAnsi="仿宋_GB2312" w:cs="仿宋_GB2312" w:eastAsia="仿宋_GB2312"/>
              </w:rPr>
              <w:t>39</w:t>
            </w:r>
          </w:p>
        </w:tc>
        <w:tc>
          <w:tcPr>
            <w:tcW w:type="dxa" w:w="2076"/>
          </w:tcPr>
          <w:p/>
        </w:tc>
        <w:tc>
          <w:tcPr>
            <w:tcW w:type="dxa" w:w="2076"/>
          </w:tcPr>
          <w:p>
            <w:pPr>
              <w:pStyle w:val="null3"/>
            </w:pPr>
            <w:r>
              <w:rPr>
                <w:rFonts w:ascii="仿宋_GB2312" w:hAnsi="仿宋_GB2312" w:cs="仿宋_GB2312" w:eastAsia="仿宋_GB2312"/>
              </w:rPr>
              <w:t>（8）支持X-Forworded-For字段检测，并对非法源IP进行日志记录和联动封锁。（需提供产品功能截图证明）</w:t>
            </w:r>
          </w:p>
        </w:tc>
      </w:tr>
      <w:tr>
        <w:tc>
          <w:tcPr>
            <w:tcW w:type="dxa" w:w="2076"/>
          </w:tcPr>
          <w:p/>
        </w:tc>
        <w:tc>
          <w:tcPr>
            <w:tcW w:type="dxa" w:w="2076"/>
          </w:tcPr>
          <w:p>
            <w:pPr>
              <w:pStyle w:val="null3"/>
            </w:pPr>
            <w:r>
              <w:rPr>
                <w:rFonts w:ascii="仿宋_GB2312" w:hAnsi="仿宋_GB2312" w:cs="仿宋_GB2312" w:eastAsia="仿宋_GB2312"/>
              </w:rPr>
              <w:t>40</w:t>
            </w:r>
          </w:p>
        </w:tc>
        <w:tc>
          <w:tcPr>
            <w:tcW w:type="dxa" w:w="2076"/>
          </w:tcPr>
          <w:p/>
        </w:tc>
        <w:tc>
          <w:tcPr>
            <w:tcW w:type="dxa" w:w="2076"/>
          </w:tcPr>
          <w:p>
            <w:pPr>
              <w:pStyle w:val="null3"/>
            </w:pPr>
            <w:r>
              <w:rPr>
                <w:rFonts w:ascii="仿宋_GB2312" w:hAnsi="仿宋_GB2312" w:cs="仿宋_GB2312" w:eastAsia="仿宋_GB2312"/>
              </w:rPr>
              <w:t>（9）支持服务器漏洞防扫描功能，并对扫描源IP进行日志记录和联动封锁。（需提供产品功能截图证明）。</w:t>
            </w:r>
          </w:p>
        </w:tc>
      </w:tr>
      <w:tr>
        <w:tc>
          <w:tcPr>
            <w:tcW w:type="dxa" w:w="2076"/>
          </w:tcPr>
          <w:p/>
        </w:tc>
        <w:tc>
          <w:tcPr>
            <w:tcW w:type="dxa" w:w="2076"/>
          </w:tcPr>
          <w:p>
            <w:pPr>
              <w:pStyle w:val="null3"/>
            </w:pPr>
            <w:r>
              <w:rPr>
                <w:rFonts w:ascii="仿宋_GB2312" w:hAnsi="仿宋_GB2312" w:cs="仿宋_GB2312" w:eastAsia="仿宋_GB2312"/>
              </w:rPr>
              <w:t>41</w:t>
            </w:r>
          </w:p>
        </w:tc>
        <w:tc>
          <w:tcPr>
            <w:tcW w:type="dxa" w:w="2076"/>
          </w:tcPr>
          <w:p/>
        </w:tc>
        <w:tc>
          <w:tcPr>
            <w:tcW w:type="dxa" w:w="2076"/>
          </w:tcPr>
          <w:p>
            <w:pPr>
              <w:pStyle w:val="null3"/>
            </w:pPr>
            <w:r>
              <w:rPr>
                <w:rFonts w:ascii="仿宋_GB2312" w:hAnsi="仿宋_GB2312" w:cs="仿宋_GB2312" w:eastAsia="仿宋_GB2312"/>
              </w:rPr>
              <w:t>（10）支持Cookie攻击防护功能，并通过日志记录Cookie被篡改。（需提供产品功能截图证明）。</w:t>
            </w:r>
          </w:p>
        </w:tc>
      </w:tr>
      <w:tr>
        <w:tc>
          <w:tcPr>
            <w:tcW w:type="dxa" w:w="2076"/>
          </w:tcPr>
          <w:p/>
        </w:tc>
        <w:tc>
          <w:tcPr>
            <w:tcW w:type="dxa" w:w="2076"/>
          </w:tcPr>
          <w:p>
            <w:pPr>
              <w:pStyle w:val="null3"/>
            </w:pPr>
            <w:r>
              <w:rPr>
                <w:rFonts w:ascii="仿宋_GB2312" w:hAnsi="仿宋_GB2312" w:cs="仿宋_GB2312" w:eastAsia="仿宋_GB2312"/>
              </w:rPr>
              <w:t>42</w:t>
            </w:r>
          </w:p>
        </w:tc>
        <w:tc>
          <w:tcPr>
            <w:tcW w:type="dxa" w:w="2076"/>
          </w:tcPr>
          <w:p/>
        </w:tc>
        <w:tc>
          <w:tcPr>
            <w:tcW w:type="dxa" w:w="2076"/>
          </w:tcPr>
          <w:p>
            <w:pPr>
              <w:pStyle w:val="null3"/>
            </w:pPr>
            <w:r>
              <w:rPr>
                <w:rFonts w:ascii="仿宋_GB2312" w:hAnsi="仿宋_GB2312" w:cs="仿宋_GB2312" w:eastAsia="仿宋_GB2312"/>
              </w:rPr>
              <w:t>（11）支持用户账号全生命周期保护功能，包括用户账号多余入口检测、用户账号弱口令检测、用户账号暴力破解检测、失陷账号检测，防止因账号被暴力破解导致的非法提权情况发生。（需提供产品功能截图证明）</w:t>
            </w:r>
          </w:p>
        </w:tc>
      </w:tr>
      <w:tr>
        <w:tc>
          <w:tcPr>
            <w:tcW w:type="dxa" w:w="2076"/>
          </w:tcPr>
          <w:p/>
        </w:tc>
        <w:tc>
          <w:tcPr>
            <w:tcW w:type="dxa" w:w="2076"/>
          </w:tcPr>
          <w:p>
            <w:pPr>
              <w:pStyle w:val="null3"/>
            </w:pPr>
            <w:r>
              <w:rPr>
                <w:rFonts w:ascii="仿宋_GB2312" w:hAnsi="仿宋_GB2312" w:cs="仿宋_GB2312" w:eastAsia="仿宋_GB2312"/>
              </w:rPr>
              <w:t>43</w:t>
            </w:r>
          </w:p>
        </w:tc>
        <w:tc>
          <w:tcPr>
            <w:tcW w:type="dxa" w:w="2076"/>
          </w:tcPr>
          <w:p/>
        </w:tc>
        <w:tc>
          <w:tcPr>
            <w:tcW w:type="dxa" w:w="2076"/>
          </w:tcPr>
          <w:p>
            <w:pPr>
              <w:pStyle w:val="null3"/>
            </w:pPr>
            <w:r>
              <w:rPr>
                <w:rFonts w:ascii="仿宋_GB2312" w:hAnsi="仿宋_GB2312" w:cs="仿宋_GB2312" w:eastAsia="仿宋_GB2312"/>
              </w:rPr>
              <w:t>（12）支持勒索软件通信防护功能，针对勒索病毒攻击设置专项安全策略，提供产品功能截图或第三方检测机构证明材料，并加盖供应商公章。</w:t>
            </w:r>
          </w:p>
        </w:tc>
      </w:tr>
      <w:tr>
        <w:tc>
          <w:tcPr>
            <w:tcW w:type="dxa" w:w="2076"/>
          </w:tcPr>
          <w:p/>
        </w:tc>
        <w:tc>
          <w:tcPr>
            <w:tcW w:type="dxa" w:w="2076"/>
          </w:tcPr>
          <w:p>
            <w:pPr>
              <w:pStyle w:val="null3"/>
            </w:pPr>
            <w:r>
              <w:rPr>
                <w:rFonts w:ascii="仿宋_GB2312" w:hAnsi="仿宋_GB2312" w:cs="仿宋_GB2312" w:eastAsia="仿宋_GB2312"/>
              </w:rPr>
              <w:t>44</w:t>
            </w:r>
          </w:p>
        </w:tc>
        <w:tc>
          <w:tcPr>
            <w:tcW w:type="dxa" w:w="2076"/>
          </w:tcPr>
          <w:p/>
        </w:tc>
        <w:tc>
          <w:tcPr>
            <w:tcW w:type="dxa" w:w="2076"/>
          </w:tcPr>
          <w:p>
            <w:pPr>
              <w:pStyle w:val="null3"/>
            </w:pPr>
            <w:r>
              <w:rPr>
                <w:rFonts w:ascii="仿宋_GB2312" w:hAnsi="仿宋_GB2312" w:cs="仿宋_GB2312" w:eastAsia="仿宋_GB2312"/>
              </w:rPr>
              <w:t>（13）支持策略生命周期管理功能，支持对安全策略修改的时间、原因、变更类型进行统一管理，便于策略的运维与管理。</w:t>
            </w:r>
          </w:p>
        </w:tc>
      </w:tr>
      <w:tr>
        <w:tc>
          <w:tcPr>
            <w:tcW w:type="dxa" w:w="2076"/>
          </w:tcPr>
          <w:p/>
        </w:tc>
        <w:tc>
          <w:tcPr>
            <w:tcW w:type="dxa" w:w="2076"/>
          </w:tcPr>
          <w:p>
            <w:pPr>
              <w:pStyle w:val="null3"/>
            </w:pPr>
            <w:r>
              <w:rPr>
                <w:rFonts w:ascii="仿宋_GB2312" w:hAnsi="仿宋_GB2312" w:cs="仿宋_GB2312" w:eastAsia="仿宋_GB2312"/>
              </w:rPr>
              <w:t>45</w:t>
            </w:r>
          </w:p>
        </w:tc>
        <w:tc>
          <w:tcPr>
            <w:tcW w:type="dxa" w:w="2076"/>
          </w:tcPr>
          <w:p/>
        </w:tc>
        <w:tc>
          <w:tcPr>
            <w:tcW w:type="dxa" w:w="2076"/>
          </w:tcPr>
          <w:p>
            <w:pPr>
              <w:pStyle w:val="null3"/>
            </w:pPr>
            <w:r>
              <w:rPr>
                <w:rFonts w:ascii="仿宋_GB2312" w:hAnsi="仿宋_GB2312" w:cs="仿宋_GB2312" w:eastAsia="仿宋_GB2312"/>
              </w:rPr>
              <w:t>（14）支持联动云端智能运营平台，支持流量日志分析、事件聚合、云端专家研判，安全事件微信端就可接受预警和处置。（需提供产品功能截图证明）</w:t>
            </w:r>
          </w:p>
        </w:tc>
      </w:tr>
      <w:tr>
        <w:tc>
          <w:tcPr>
            <w:tcW w:type="dxa" w:w="2076"/>
          </w:tcPr>
          <w:p/>
        </w:tc>
        <w:tc>
          <w:tcPr>
            <w:tcW w:type="dxa" w:w="2076"/>
          </w:tcPr>
          <w:p>
            <w:pPr>
              <w:pStyle w:val="null3"/>
            </w:pPr>
            <w:r>
              <w:rPr>
                <w:rFonts w:ascii="仿宋_GB2312" w:hAnsi="仿宋_GB2312" w:cs="仿宋_GB2312" w:eastAsia="仿宋_GB2312"/>
              </w:rPr>
              <w:t>46</w:t>
            </w:r>
          </w:p>
        </w:tc>
        <w:tc>
          <w:tcPr>
            <w:tcW w:type="dxa" w:w="2076"/>
          </w:tcPr>
          <w:p/>
        </w:tc>
        <w:tc>
          <w:tcPr>
            <w:tcW w:type="dxa" w:w="2076"/>
          </w:tcPr>
          <w:p>
            <w:pPr>
              <w:pStyle w:val="null3"/>
            </w:pPr>
            <w:r>
              <w:rPr>
                <w:rFonts w:ascii="仿宋_GB2312" w:hAnsi="仿宋_GB2312" w:cs="仿宋_GB2312" w:eastAsia="仿宋_GB2312"/>
              </w:rPr>
              <w:t>（15）支持IPV6。</w:t>
            </w:r>
          </w:p>
        </w:tc>
      </w:tr>
      <w:tr>
        <w:tc>
          <w:tcPr>
            <w:tcW w:type="dxa" w:w="2076"/>
          </w:tcPr>
          <w:p/>
        </w:tc>
        <w:tc>
          <w:tcPr>
            <w:tcW w:type="dxa" w:w="2076"/>
          </w:tcPr>
          <w:p>
            <w:pPr>
              <w:pStyle w:val="null3"/>
            </w:pPr>
            <w:r>
              <w:rPr>
                <w:rFonts w:ascii="仿宋_GB2312" w:hAnsi="仿宋_GB2312" w:cs="仿宋_GB2312" w:eastAsia="仿宋_GB2312"/>
              </w:rPr>
              <w:t>47</w:t>
            </w:r>
          </w:p>
        </w:tc>
        <w:tc>
          <w:tcPr>
            <w:tcW w:type="dxa" w:w="2076"/>
          </w:tcPr>
          <w:p>
            <w:pPr>
              <w:pStyle w:val="null3"/>
            </w:pPr>
            <w:r>
              <w:rPr>
                <w:rFonts w:ascii="仿宋_GB2312" w:hAnsi="仿宋_GB2312" w:cs="仿宋_GB2312" w:eastAsia="仿宋_GB2312"/>
              </w:rPr>
              <w:t>四、日志数据审计服务</w:t>
            </w:r>
          </w:p>
        </w:tc>
        <w:tc>
          <w:tcPr>
            <w:tcW w:type="dxa" w:w="2076"/>
          </w:tcPr>
          <w:p>
            <w:pPr>
              <w:pStyle w:val="null3"/>
            </w:pPr>
            <w:r>
              <w:rPr>
                <w:rFonts w:ascii="仿宋_GB2312" w:hAnsi="仿宋_GB2312" w:cs="仿宋_GB2312" w:eastAsia="仿宋_GB2312"/>
              </w:rPr>
              <w:t>具体要求如下：</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48</w:t>
            </w:r>
          </w:p>
        </w:tc>
        <w:tc>
          <w:tcPr>
            <w:tcW w:type="dxa" w:w="2076"/>
          </w:tcPr>
          <w:p/>
        </w:tc>
        <w:tc>
          <w:tcPr>
            <w:tcW w:type="dxa" w:w="2076"/>
          </w:tcPr>
          <w:p>
            <w:pPr>
              <w:pStyle w:val="null3"/>
            </w:pPr>
            <w:r>
              <w:rPr>
                <w:rFonts w:ascii="仿宋_GB2312" w:hAnsi="仿宋_GB2312" w:cs="仿宋_GB2312" w:eastAsia="仿宋_GB2312"/>
              </w:rPr>
              <w:t xml:space="preserve">1.提供承担网络关键设备和网络安全专用产品安全认证和安全检测任务机构出具检测报告（安全认证合格或符合安全测试要求）或已获得《计算机信息系统安全产品销售许可证》（在有效期内） </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49</w:t>
            </w:r>
          </w:p>
        </w:tc>
        <w:tc>
          <w:tcPr>
            <w:tcW w:type="dxa" w:w="2076"/>
          </w:tcPr>
          <w:p/>
        </w:tc>
        <w:tc>
          <w:tcPr>
            <w:tcW w:type="dxa" w:w="2076"/>
          </w:tcPr>
          <w:p>
            <w:pPr>
              <w:pStyle w:val="null3"/>
            </w:pPr>
            <w:r>
              <w:rPr>
                <w:rFonts w:ascii="仿宋_GB2312" w:hAnsi="仿宋_GB2312" w:cs="仿宋_GB2312" w:eastAsia="仿宋_GB2312"/>
              </w:rPr>
              <w:t>2.硬件性能要求：日志处理能力≥10000EPS，支持agent，支持日志源数≥30个。</w:t>
            </w:r>
          </w:p>
        </w:tc>
      </w:tr>
      <w:tr>
        <w:tc>
          <w:tcPr>
            <w:tcW w:type="dxa" w:w="2076"/>
          </w:tcPr>
          <w:p/>
        </w:tc>
        <w:tc>
          <w:tcPr>
            <w:tcW w:type="dxa" w:w="2076"/>
          </w:tcPr>
          <w:p>
            <w:pPr>
              <w:pStyle w:val="null3"/>
            </w:pPr>
            <w:r>
              <w:rPr>
                <w:rFonts w:ascii="仿宋_GB2312" w:hAnsi="仿宋_GB2312" w:cs="仿宋_GB2312" w:eastAsia="仿宋_GB2312"/>
              </w:rPr>
              <w:t>50</w:t>
            </w:r>
          </w:p>
        </w:tc>
        <w:tc>
          <w:tcPr>
            <w:tcW w:type="dxa" w:w="2076"/>
          </w:tcPr>
          <w:p/>
        </w:tc>
        <w:tc>
          <w:tcPr>
            <w:tcW w:type="dxa" w:w="2076"/>
          </w:tcPr>
          <w:p>
            <w:pPr>
              <w:pStyle w:val="null3"/>
            </w:pPr>
            <w:r>
              <w:rPr>
                <w:rFonts w:ascii="仿宋_GB2312" w:hAnsi="仿宋_GB2312" w:cs="仿宋_GB2312" w:eastAsia="仿宋_GB2312"/>
              </w:rPr>
              <w:t>3.规格：机架式≤2U，≥2个千兆电口，可扩展至12口光或12电口，≥4*USB，≥1个console，≥1个VGA，≥1个IPMI管理口，内存≥16G，硬盘≥2T。</w:t>
            </w:r>
          </w:p>
        </w:tc>
      </w:tr>
      <w:tr>
        <w:tc>
          <w:tcPr>
            <w:tcW w:type="dxa" w:w="2076"/>
          </w:tcPr>
          <w:p/>
        </w:tc>
        <w:tc>
          <w:tcPr>
            <w:tcW w:type="dxa" w:w="2076"/>
          </w:tcPr>
          <w:p>
            <w:pPr>
              <w:pStyle w:val="null3"/>
            </w:pPr>
            <w:r>
              <w:rPr>
                <w:rFonts w:ascii="仿宋_GB2312" w:hAnsi="仿宋_GB2312" w:cs="仿宋_GB2312" w:eastAsia="仿宋_GB2312"/>
              </w:rPr>
              <w:t>51</w:t>
            </w:r>
          </w:p>
        </w:tc>
        <w:tc>
          <w:tcPr>
            <w:tcW w:type="dxa" w:w="2076"/>
          </w:tcPr>
          <w:p/>
        </w:tc>
        <w:tc>
          <w:tcPr>
            <w:tcW w:type="dxa" w:w="2076"/>
          </w:tcPr>
          <w:p>
            <w:pPr>
              <w:pStyle w:val="null3"/>
            </w:pPr>
            <w:r>
              <w:rPr>
                <w:rFonts w:ascii="仿宋_GB2312" w:hAnsi="仿宋_GB2312" w:cs="仿宋_GB2312" w:eastAsia="仿宋_GB2312"/>
              </w:rPr>
              <w:t>4.软件功能要求：</w:t>
            </w:r>
          </w:p>
        </w:tc>
      </w:tr>
      <w:tr>
        <w:tc>
          <w:tcPr>
            <w:tcW w:type="dxa" w:w="2076"/>
          </w:tcPr>
          <w:p/>
        </w:tc>
        <w:tc>
          <w:tcPr>
            <w:tcW w:type="dxa" w:w="2076"/>
          </w:tcPr>
          <w:p>
            <w:pPr>
              <w:pStyle w:val="null3"/>
            </w:pPr>
            <w:r>
              <w:rPr>
                <w:rFonts w:ascii="仿宋_GB2312" w:hAnsi="仿宋_GB2312" w:cs="仿宋_GB2312" w:eastAsia="仿宋_GB2312"/>
              </w:rPr>
              <w:t>52</w:t>
            </w:r>
          </w:p>
        </w:tc>
        <w:tc>
          <w:tcPr>
            <w:tcW w:type="dxa" w:w="2076"/>
          </w:tcPr>
          <w:p/>
        </w:tc>
        <w:tc>
          <w:tcPr>
            <w:tcW w:type="dxa" w:w="2076"/>
          </w:tcPr>
          <w:p>
            <w:pPr>
              <w:pStyle w:val="null3"/>
            </w:pPr>
            <w:r>
              <w:rPr>
                <w:rFonts w:ascii="仿宋_GB2312" w:hAnsi="仿宋_GB2312" w:cs="仿宋_GB2312" w:eastAsia="仿宋_GB2312"/>
              </w:rPr>
              <w:t>（1）采集场景：支持AB双网场景日志采集功能。</w:t>
            </w:r>
          </w:p>
        </w:tc>
      </w:tr>
      <w:tr>
        <w:tc>
          <w:tcPr>
            <w:tcW w:type="dxa" w:w="2076"/>
          </w:tcPr>
          <w:p/>
        </w:tc>
        <w:tc>
          <w:tcPr>
            <w:tcW w:type="dxa" w:w="2076"/>
          </w:tcPr>
          <w:p>
            <w:pPr>
              <w:pStyle w:val="null3"/>
            </w:pPr>
            <w:r>
              <w:rPr>
                <w:rFonts w:ascii="仿宋_GB2312" w:hAnsi="仿宋_GB2312" w:cs="仿宋_GB2312" w:eastAsia="仿宋_GB2312"/>
              </w:rPr>
              <w:t>53</w:t>
            </w:r>
          </w:p>
        </w:tc>
        <w:tc>
          <w:tcPr>
            <w:tcW w:type="dxa" w:w="2076"/>
          </w:tcPr>
          <w:p/>
        </w:tc>
        <w:tc>
          <w:tcPr>
            <w:tcW w:type="dxa" w:w="2076"/>
          </w:tcPr>
          <w:p>
            <w:pPr>
              <w:pStyle w:val="null3"/>
            </w:pPr>
            <w:r>
              <w:rPr>
                <w:rFonts w:ascii="仿宋_GB2312" w:hAnsi="仿宋_GB2312" w:cs="仿宋_GB2312" w:eastAsia="仿宋_GB2312"/>
              </w:rPr>
              <w:t>（2）日志数据审计项目：包括但不限于登录注销、账号和权限、外部设备使用（U盘、CDROM、无线网卡、蓝牙、串口、并口）、禁用软件和服务，访问敏感文件、非法外联、违规开发高危端口、命令和指令、进程开启和关闭。</w:t>
            </w:r>
          </w:p>
        </w:tc>
      </w:tr>
      <w:tr>
        <w:tc>
          <w:tcPr>
            <w:tcW w:type="dxa" w:w="2076"/>
          </w:tcPr>
          <w:p/>
        </w:tc>
        <w:tc>
          <w:tcPr>
            <w:tcW w:type="dxa" w:w="2076"/>
          </w:tcPr>
          <w:p>
            <w:pPr>
              <w:pStyle w:val="null3"/>
            </w:pPr>
            <w:r>
              <w:rPr>
                <w:rFonts w:ascii="仿宋_GB2312" w:hAnsi="仿宋_GB2312" w:cs="仿宋_GB2312" w:eastAsia="仿宋_GB2312"/>
              </w:rPr>
              <w:t>54</w:t>
            </w:r>
          </w:p>
        </w:tc>
        <w:tc>
          <w:tcPr>
            <w:tcW w:type="dxa" w:w="2076"/>
          </w:tcPr>
          <w:p/>
        </w:tc>
        <w:tc>
          <w:tcPr>
            <w:tcW w:type="dxa" w:w="2076"/>
          </w:tcPr>
          <w:p>
            <w:pPr>
              <w:pStyle w:val="null3"/>
            </w:pPr>
            <w:r>
              <w:rPr>
                <w:rFonts w:ascii="仿宋_GB2312" w:hAnsi="仿宋_GB2312" w:cs="仿宋_GB2312" w:eastAsia="仿宋_GB2312"/>
              </w:rPr>
              <w:t>（3）支持≥50种常见协议流量日志和会话日志，能够实时发现网络中的流量异常、会话异常、连接异常、控制指令异常。</w:t>
            </w:r>
          </w:p>
        </w:tc>
      </w:tr>
      <w:tr>
        <w:tc>
          <w:tcPr>
            <w:tcW w:type="dxa" w:w="2076"/>
          </w:tcPr>
          <w:p/>
        </w:tc>
        <w:tc>
          <w:tcPr>
            <w:tcW w:type="dxa" w:w="2076"/>
          </w:tcPr>
          <w:p>
            <w:pPr>
              <w:pStyle w:val="null3"/>
            </w:pPr>
            <w:r>
              <w:rPr>
                <w:rFonts w:ascii="仿宋_GB2312" w:hAnsi="仿宋_GB2312" w:cs="仿宋_GB2312" w:eastAsia="仿宋_GB2312"/>
              </w:rPr>
              <w:t>55</w:t>
            </w:r>
          </w:p>
        </w:tc>
        <w:tc>
          <w:tcPr>
            <w:tcW w:type="dxa" w:w="2076"/>
          </w:tcPr>
          <w:p/>
        </w:tc>
        <w:tc>
          <w:tcPr>
            <w:tcW w:type="dxa" w:w="2076"/>
          </w:tcPr>
          <w:p>
            <w:pPr>
              <w:pStyle w:val="null3"/>
            </w:pPr>
            <w:r>
              <w:rPr>
                <w:rFonts w:ascii="仿宋_GB2312" w:hAnsi="仿宋_GB2312" w:cs="仿宋_GB2312" w:eastAsia="仿宋_GB2312"/>
              </w:rPr>
              <w:t>（4）支持主机安全事件日志接收和解析，包括但不限于非法使用外部设备日志、禁用软件和服务日志、非法访问敏感文件日志、非法连接外网日志、违规开发高危端口日志等；</w:t>
            </w:r>
          </w:p>
        </w:tc>
      </w:tr>
      <w:tr>
        <w:tc>
          <w:tcPr>
            <w:tcW w:type="dxa" w:w="2076"/>
          </w:tcPr>
          <w:p/>
        </w:tc>
        <w:tc>
          <w:tcPr>
            <w:tcW w:type="dxa" w:w="2076"/>
          </w:tcPr>
          <w:p>
            <w:pPr>
              <w:pStyle w:val="null3"/>
            </w:pPr>
            <w:r>
              <w:rPr>
                <w:rFonts w:ascii="仿宋_GB2312" w:hAnsi="仿宋_GB2312" w:cs="仿宋_GB2312" w:eastAsia="仿宋_GB2312"/>
              </w:rPr>
              <w:t>56</w:t>
            </w:r>
          </w:p>
        </w:tc>
        <w:tc>
          <w:tcPr>
            <w:tcW w:type="dxa" w:w="2076"/>
          </w:tcPr>
          <w:p/>
        </w:tc>
        <w:tc>
          <w:tcPr>
            <w:tcW w:type="dxa" w:w="2076"/>
          </w:tcPr>
          <w:p>
            <w:pPr>
              <w:pStyle w:val="null3"/>
            </w:pPr>
            <w:r>
              <w:rPr>
                <w:rFonts w:ascii="仿宋_GB2312" w:hAnsi="仿宋_GB2312" w:cs="仿宋_GB2312" w:eastAsia="仿宋_GB2312"/>
              </w:rPr>
              <w:t>（5）具备关联分析能力，内置≥100种关联规则，包含恶意文件、暴力破解等10种以上异常分析；支持自定义关联规则和不少于10种逻辑关系。</w:t>
            </w:r>
          </w:p>
        </w:tc>
      </w:tr>
      <w:tr>
        <w:tc>
          <w:tcPr>
            <w:tcW w:type="dxa" w:w="2076"/>
          </w:tcPr>
          <w:p/>
        </w:tc>
        <w:tc>
          <w:tcPr>
            <w:tcW w:type="dxa" w:w="2076"/>
          </w:tcPr>
          <w:p>
            <w:pPr>
              <w:pStyle w:val="null3"/>
            </w:pPr>
            <w:r>
              <w:rPr>
                <w:rFonts w:ascii="仿宋_GB2312" w:hAnsi="仿宋_GB2312" w:cs="仿宋_GB2312" w:eastAsia="仿宋_GB2312"/>
              </w:rPr>
              <w:t>57</w:t>
            </w:r>
          </w:p>
        </w:tc>
        <w:tc>
          <w:tcPr>
            <w:tcW w:type="dxa" w:w="2076"/>
          </w:tcPr>
          <w:p/>
        </w:tc>
        <w:tc>
          <w:tcPr>
            <w:tcW w:type="dxa" w:w="2076"/>
          </w:tcPr>
          <w:p>
            <w:pPr>
              <w:pStyle w:val="null3"/>
            </w:pPr>
            <w:r>
              <w:rPr>
                <w:rFonts w:ascii="仿宋_GB2312" w:hAnsi="仿宋_GB2312" w:cs="仿宋_GB2312" w:eastAsia="仿宋_GB2312"/>
              </w:rPr>
              <w:t>（6）支持≥16种主机类事件审计；≥8种网络类事件审计，≥15类安全类事件审计，≥6类应用类事件审计。</w:t>
            </w:r>
          </w:p>
        </w:tc>
      </w:tr>
      <w:tr>
        <w:tc>
          <w:tcPr>
            <w:tcW w:type="dxa" w:w="2076"/>
          </w:tcPr>
          <w:p/>
        </w:tc>
        <w:tc>
          <w:tcPr>
            <w:tcW w:type="dxa" w:w="2076"/>
          </w:tcPr>
          <w:p>
            <w:pPr>
              <w:pStyle w:val="null3"/>
            </w:pPr>
            <w:r>
              <w:rPr>
                <w:rFonts w:ascii="仿宋_GB2312" w:hAnsi="仿宋_GB2312" w:cs="仿宋_GB2312" w:eastAsia="仿宋_GB2312"/>
              </w:rPr>
              <w:t>58</w:t>
            </w:r>
          </w:p>
        </w:tc>
        <w:tc>
          <w:tcPr>
            <w:tcW w:type="dxa" w:w="2076"/>
          </w:tcPr>
          <w:p/>
        </w:tc>
        <w:tc>
          <w:tcPr>
            <w:tcW w:type="dxa" w:w="2076"/>
          </w:tcPr>
          <w:p>
            <w:pPr>
              <w:pStyle w:val="null3"/>
            </w:pPr>
            <w:r>
              <w:rPr>
                <w:rFonts w:ascii="仿宋_GB2312" w:hAnsi="仿宋_GB2312" w:cs="仿宋_GB2312" w:eastAsia="仿宋_GB2312"/>
              </w:rPr>
              <w:t>（7）支持多种方式日志数据的本地、异地转储，能够限制数据备份带宽，提供相关截图证明材料，并加盖原厂公章。</w:t>
            </w:r>
          </w:p>
        </w:tc>
      </w:tr>
      <w:tr>
        <w:tc>
          <w:tcPr>
            <w:tcW w:type="dxa" w:w="2076"/>
          </w:tcPr>
          <w:p/>
        </w:tc>
        <w:tc>
          <w:tcPr>
            <w:tcW w:type="dxa" w:w="2076"/>
          </w:tcPr>
          <w:p>
            <w:pPr>
              <w:pStyle w:val="null3"/>
            </w:pPr>
            <w:r>
              <w:rPr>
                <w:rFonts w:ascii="仿宋_GB2312" w:hAnsi="仿宋_GB2312" w:cs="仿宋_GB2312" w:eastAsia="仿宋_GB2312"/>
              </w:rPr>
              <w:t>59</w:t>
            </w:r>
          </w:p>
        </w:tc>
        <w:tc>
          <w:tcPr>
            <w:tcW w:type="dxa" w:w="2076"/>
          </w:tcPr>
          <w:p/>
        </w:tc>
        <w:tc>
          <w:tcPr>
            <w:tcW w:type="dxa" w:w="2076"/>
          </w:tcPr>
          <w:p>
            <w:pPr>
              <w:pStyle w:val="null3"/>
            </w:pPr>
            <w:r>
              <w:rPr>
                <w:rFonts w:ascii="仿宋_GB2312" w:hAnsi="仿宋_GB2312" w:cs="仿宋_GB2312" w:eastAsia="仿宋_GB2312"/>
              </w:rPr>
              <w:t>（8）支持IPV6。</w:t>
            </w:r>
          </w:p>
        </w:tc>
      </w:tr>
      <w:tr>
        <w:tc>
          <w:tcPr>
            <w:tcW w:type="dxa" w:w="2076"/>
          </w:tcPr>
          <w:p/>
        </w:tc>
        <w:tc>
          <w:tcPr>
            <w:tcW w:type="dxa" w:w="2076"/>
          </w:tcPr>
          <w:p>
            <w:pPr>
              <w:pStyle w:val="null3"/>
            </w:pPr>
            <w:r>
              <w:rPr>
                <w:rFonts w:ascii="仿宋_GB2312" w:hAnsi="仿宋_GB2312" w:cs="仿宋_GB2312" w:eastAsia="仿宋_GB2312"/>
              </w:rPr>
              <w:t>60</w:t>
            </w:r>
          </w:p>
        </w:tc>
        <w:tc>
          <w:tcPr>
            <w:tcW w:type="dxa" w:w="2076"/>
          </w:tcPr>
          <w:p>
            <w:pPr>
              <w:pStyle w:val="null3"/>
            </w:pPr>
            <w:r>
              <w:rPr>
                <w:rFonts w:ascii="仿宋_GB2312" w:hAnsi="仿宋_GB2312" w:cs="仿宋_GB2312" w:eastAsia="仿宋_GB2312"/>
              </w:rPr>
              <w:t>五、DHCP服务</w:t>
            </w:r>
          </w:p>
        </w:tc>
        <w:tc>
          <w:tcPr>
            <w:tcW w:type="dxa" w:w="2076"/>
          </w:tcPr>
          <w:p>
            <w:pPr>
              <w:pStyle w:val="null3"/>
            </w:pPr>
            <w:r>
              <w:rPr>
                <w:rFonts w:ascii="仿宋_GB2312" w:hAnsi="仿宋_GB2312" w:cs="仿宋_GB2312" w:eastAsia="仿宋_GB2312"/>
              </w:rPr>
              <w:t>具体要求如下：</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61</w:t>
            </w:r>
          </w:p>
        </w:tc>
        <w:tc>
          <w:tcPr>
            <w:tcW w:type="dxa" w:w="2076"/>
          </w:tcPr>
          <w:p/>
        </w:tc>
        <w:tc>
          <w:tcPr>
            <w:tcW w:type="dxa" w:w="2076"/>
          </w:tcPr>
          <w:p>
            <w:pPr>
              <w:pStyle w:val="null3"/>
            </w:pPr>
            <w:r>
              <w:rPr>
                <w:rFonts w:ascii="仿宋_GB2312" w:hAnsi="仿宋_GB2312" w:cs="仿宋_GB2312" w:eastAsia="仿宋_GB2312"/>
              </w:rPr>
              <w:t>1.硬件性能要求：CPU≥Intel Xeon Silver 4110；内存≥32GB DDR4 3200；硬盘≥2 * 4TB SATA 3.5" 7.2K企业级；≥2个高性能千兆网口；≥ 2个550W电源，热插拔冗余1+1；标准机架式。</w:t>
            </w:r>
          </w:p>
        </w:tc>
      </w:tr>
      <w:tr>
        <w:tc>
          <w:tcPr>
            <w:tcW w:type="dxa" w:w="2076"/>
          </w:tcPr>
          <w:p/>
        </w:tc>
        <w:tc>
          <w:tcPr>
            <w:tcW w:type="dxa" w:w="2076"/>
          </w:tcPr>
          <w:p>
            <w:pPr>
              <w:pStyle w:val="null3"/>
            </w:pPr>
            <w:r>
              <w:rPr>
                <w:rFonts w:ascii="仿宋_GB2312" w:hAnsi="仿宋_GB2312" w:cs="仿宋_GB2312" w:eastAsia="仿宋_GB2312"/>
              </w:rPr>
              <w:t>62</w:t>
            </w:r>
          </w:p>
        </w:tc>
        <w:tc>
          <w:tcPr>
            <w:tcW w:type="dxa" w:w="2076"/>
          </w:tcPr>
          <w:p/>
        </w:tc>
        <w:tc>
          <w:tcPr>
            <w:tcW w:type="dxa" w:w="2076"/>
          </w:tcPr>
          <w:p>
            <w:pPr>
              <w:pStyle w:val="null3"/>
            </w:pPr>
            <w:r>
              <w:rPr>
                <w:rFonts w:ascii="仿宋_GB2312" w:hAnsi="仿宋_GB2312" w:cs="仿宋_GB2312" w:eastAsia="仿宋_GB2312"/>
              </w:rPr>
              <w:t>2.软件功能要求：</w:t>
            </w:r>
          </w:p>
        </w:tc>
      </w:tr>
      <w:tr>
        <w:tc>
          <w:tcPr>
            <w:tcW w:type="dxa" w:w="2076"/>
          </w:tcPr>
          <w:p/>
        </w:tc>
        <w:tc>
          <w:tcPr>
            <w:tcW w:type="dxa" w:w="2076"/>
          </w:tcPr>
          <w:p>
            <w:pPr>
              <w:pStyle w:val="null3"/>
            </w:pPr>
            <w:r>
              <w:rPr>
                <w:rFonts w:ascii="仿宋_GB2312" w:hAnsi="仿宋_GB2312" w:cs="仿宋_GB2312" w:eastAsia="仿宋_GB2312"/>
              </w:rPr>
              <w:t>63</w:t>
            </w:r>
          </w:p>
        </w:tc>
        <w:tc>
          <w:tcPr>
            <w:tcW w:type="dxa" w:w="2076"/>
          </w:tcPr>
          <w:p/>
        </w:tc>
        <w:tc>
          <w:tcPr>
            <w:tcW w:type="dxa" w:w="2076"/>
          </w:tcPr>
          <w:p>
            <w:pPr>
              <w:pStyle w:val="null3"/>
            </w:pPr>
            <w:r>
              <w:rPr>
                <w:rFonts w:ascii="仿宋_GB2312" w:hAnsi="仿宋_GB2312" w:cs="仿宋_GB2312" w:eastAsia="仿宋_GB2312"/>
              </w:rPr>
              <w:t>（1）系统应实现对IPv4和IPv6地址的分配与管理，支持DHCPv4和DHCPv6。能够制定灵活的地址分配策略，并支持根据终端及用户的特征应用不同的策略；提供丰富的第三方系统联动接口，辅助实现无感知认证及精准计费等效果；支持全面的日志统计和监控告警功能，发现异常及时告警，便于管理员对DHCP服务进行维护。</w:t>
            </w:r>
          </w:p>
        </w:tc>
      </w:tr>
      <w:tr>
        <w:tc>
          <w:tcPr>
            <w:tcW w:type="dxa" w:w="2076"/>
          </w:tcPr>
          <w:p/>
        </w:tc>
        <w:tc>
          <w:tcPr>
            <w:tcW w:type="dxa" w:w="2076"/>
          </w:tcPr>
          <w:p>
            <w:pPr>
              <w:pStyle w:val="null3"/>
            </w:pPr>
            <w:r>
              <w:rPr>
                <w:rFonts w:ascii="仿宋_GB2312" w:hAnsi="仿宋_GB2312" w:cs="仿宋_GB2312" w:eastAsia="仿宋_GB2312"/>
              </w:rPr>
              <w:t>64</w:t>
            </w:r>
          </w:p>
        </w:tc>
        <w:tc>
          <w:tcPr>
            <w:tcW w:type="dxa" w:w="2076"/>
          </w:tcPr>
          <w:p/>
        </w:tc>
        <w:tc>
          <w:tcPr>
            <w:tcW w:type="dxa" w:w="2076"/>
          </w:tcPr>
          <w:p>
            <w:pPr>
              <w:pStyle w:val="null3"/>
            </w:pPr>
            <w:r>
              <w:rPr>
                <w:rFonts w:ascii="仿宋_GB2312" w:hAnsi="仿宋_GB2312" w:cs="仿宋_GB2312" w:eastAsia="仿宋_GB2312"/>
              </w:rPr>
              <w:t>（2）支持向客户端发布IPv6无状态地址前缀、RDNSS，并可根据VLAN信息发布不同的IPv6前缀。提供截图证明。</w:t>
            </w:r>
          </w:p>
        </w:tc>
      </w:tr>
      <w:tr>
        <w:tc>
          <w:tcPr>
            <w:tcW w:type="dxa" w:w="2076"/>
          </w:tcPr>
          <w:p/>
        </w:tc>
        <w:tc>
          <w:tcPr>
            <w:tcW w:type="dxa" w:w="2076"/>
          </w:tcPr>
          <w:p>
            <w:pPr>
              <w:pStyle w:val="null3"/>
            </w:pPr>
            <w:r>
              <w:rPr>
                <w:rFonts w:ascii="仿宋_GB2312" w:hAnsi="仿宋_GB2312" w:cs="仿宋_GB2312" w:eastAsia="仿宋_GB2312"/>
              </w:rPr>
              <w:t>65</w:t>
            </w:r>
          </w:p>
        </w:tc>
        <w:tc>
          <w:tcPr>
            <w:tcW w:type="dxa" w:w="2076"/>
          </w:tcPr>
          <w:p/>
        </w:tc>
        <w:tc>
          <w:tcPr>
            <w:tcW w:type="dxa" w:w="2076"/>
          </w:tcPr>
          <w:p>
            <w:pPr>
              <w:pStyle w:val="null3"/>
            </w:pPr>
            <w:r>
              <w:rPr>
                <w:rFonts w:ascii="仿宋_GB2312" w:hAnsi="仿宋_GB2312" w:cs="仿宋_GB2312" w:eastAsia="仿宋_GB2312"/>
              </w:rPr>
              <w:t>（3）支持同一终端在同一子网内保持IP不变，当子网中的历史终端数超过设定阈值时通知管理员，并按照最后活动时间依次回收IP，分配给最新加入的终端。</w:t>
            </w:r>
          </w:p>
        </w:tc>
      </w:tr>
      <w:tr>
        <w:tc>
          <w:tcPr>
            <w:tcW w:type="dxa" w:w="2076"/>
          </w:tcPr>
          <w:p/>
        </w:tc>
        <w:tc>
          <w:tcPr>
            <w:tcW w:type="dxa" w:w="2076"/>
          </w:tcPr>
          <w:p>
            <w:pPr>
              <w:pStyle w:val="null3"/>
            </w:pPr>
            <w:r>
              <w:rPr>
                <w:rFonts w:ascii="仿宋_GB2312" w:hAnsi="仿宋_GB2312" w:cs="仿宋_GB2312" w:eastAsia="仿宋_GB2312"/>
              </w:rPr>
              <w:t>66</w:t>
            </w:r>
          </w:p>
        </w:tc>
        <w:tc>
          <w:tcPr>
            <w:tcW w:type="dxa" w:w="2076"/>
          </w:tcPr>
          <w:p/>
        </w:tc>
        <w:tc>
          <w:tcPr>
            <w:tcW w:type="dxa" w:w="2076"/>
          </w:tcPr>
          <w:p>
            <w:pPr>
              <w:pStyle w:val="null3"/>
            </w:pPr>
            <w:r>
              <w:rPr>
                <w:rFonts w:ascii="仿宋_GB2312" w:hAnsi="仿宋_GB2312" w:cs="仿宋_GB2312" w:eastAsia="仿宋_GB2312"/>
              </w:rPr>
              <w:t>（4）对v4、v6地址池以及无状态地址自动配置是否启用白名单策略，提供截图证明。</w:t>
            </w:r>
          </w:p>
        </w:tc>
      </w:tr>
      <w:tr>
        <w:tc>
          <w:tcPr>
            <w:tcW w:type="dxa" w:w="2076"/>
          </w:tcPr>
          <w:p/>
        </w:tc>
        <w:tc>
          <w:tcPr>
            <w:tcW w:type="dxa" w:w="2076"/>
          </w:tcPr>
          <w:p>
            <w:pPr>
              <w:pStyle w:val="null3"/>
            </w:pPr>
            <w:r>
              <w:rPr>
                <w:rFonts w:ascii="仿宋_GB2312" w:hAnsi="仿宋_GB2312" w:cs="仿宋_GB2312" w:eastAsia="仿宋_GB2312"/>
              </w:rPr>
              <w:t>67</w:t>
            </w:r>
          </w:p>
        </w:tc>
        <w:tc>
          <w:tcPr>
            <w:tcW w:type="dxa" w:w="2076"/>
          </w:tcPr>
          <w:p/>
        </w:tc>
        <w:tc>
          <w:tcPr>
            <w:tcW w:type="dxa" w:w="2076"/>
          </w:tcPr>
          <w:p>
            <w:pPr>
              <w:pStyle w:val="null3"/>
            </w:pPr>
            <w:r>
              <w:rPr>
                <w:rFonts w:ascii="仿宋_GB2312" w:hAnsi="仿宋_GB2312" w:cs="仿宋_GB2312" w:eastAsia="仿宋_GB2312"/>
              </w:rPr>
              <w:t>（5）要求内置扩展选项模板，如Aruba、华三、锐捷等主流无线厂家的AC控制器地址，并支持自定义扩展选项的内容。提供截图证明。</w:t>
            </w:r>
          </w:p>
        </w:tc>
      </w:tr>
      <w:tr>
        <w:tc>
          <w:tcPr>
            <w:tcW w:type="dxa" w:w="2076"/>
          </w:tcPr>
          <w:p/>
        </w:tc>
        <w:tc>
          <w:tcPr>
            <w:tcW w:type="dxa" w:w="2076"/>
          </w:tcPr>
          <w:p>
            <w:pPr>
              <w:pStyle w:val="null3"/>
            </w:pPr>
            <w:r>
              <w:rPr>
                <w:rFonts w:ascii="仿宋_GB2312" w:hAnsi="仿宋_GB2312" w:cs="仿宋_GB2312" w:eastAsia="仿宋_GB2312"/>
              </w:rPr>
              <w:t>68</w:t>
            </w:r>
          </w:p>
        </w:tc>
        <w:tc>
          <w:tcPr>
            <w:tcW w:type="dxa" w:w="2076"/>
          </w:tcPr>
          <w:p/>
        </w:tc>
        <w:tc>
          <w:tcPr>
            <w:tcW w:type="dxa" w:w="2076"/>
          </w:tcPr>
          <w:p>
            <w:pPr>
              <w:pStyle w:val="null3"/>
            </w:pPr>
            <w:r>
              <w:rPr>
                <w:rFonts w:ascii="仿宋_GB2312" w:hAnsi="仿宋_GB2312" w:cs="仿宋_GB2312" w:eastAsia="仿宋_GB2312"/>
              </w:rPr>
              <w:t>（6）支持识别PC、移动设备等终端类型，并基于v4v6地址池分配做终端类型控制，例如指定地址池不允许移动终端上网等。</w:t>
            </w:r>
          </w:p>
        </w:tc>
      </w:tr>
      <w:tr>
        <w:tc>
          <w:tcPr>
            <w:tcW w:type="dxa" w:w="2076"/>
          </w:tcPr>
          <w:p/>
        </w:tc>
        <w:tc>
          <w:tcPr>
            <w:tcW w:type="dxa" w:w="2076"/>
          </w:tcPr>
          <w:p>
            <w:pPr>
              <w:pStyle w:val="null3"/>
            </w:pPr>
            <w:r>
              <w:rPr>
                <w:rFonts w:ascii="仿宋_GB2312" w:hAnsi="仿宋_GB2312" w:cs="仿宋_GB2312" w:eastAsia="仿宋_GB2312"/>
              </w:rPr>
              <w:t>69</w:t>
            </w:r>
          </w:p>
        </w:tc>
        <w:tc>
          <w:tcPr>
            <w:tcW w:type="dxa" w:w="2076"/>
          </w:tcPr>
          <w:p/>
        </w:tc>
        <w:tc>
          <w:tcPr>
            <w:tcW w:type="dxa" w:w="2076"/>
          </w:tcPr>
          <w:p>
            <w:pPr>
              <w:pStyle w:val="null3"/>
            </w:pPr>
            <w:r>
              <w:rPr>
                <w:rFonts w:ascii="仿宋_GB2312" w:hAnsi="仿宋_GB2312" w:cs="仿宋_GB2312" w:eastAsia="仿宋_GB2312"/>
              </w:rPr>
              <w:t>（7）支持统计分析用户终端型号，可识别Android、iPhone/iPod/iPad、Windows Phone、Liunx、Mac/Macbook、Windows等终端操作系统和厂商型号，并支持根据终端型号下发不同的扩展选项和参数。例如给同一子网中不同厂商的AP下发各自的AC地址，智能引导各厂家无线AP在子网中完成注册。</w:t>
            </w:r>
          </w:p>
        </w:tc>
      </w:tr>
      <w:tr>
        <w:tc>
          <w:tcPr>
            <w:tcW w:type="dxa" w:w="2076"/>
          </w:tcPr>
          <w:p/>
        </w:tc>
        <w:tc>
          <w:tcPr>
            <w:tcW w:type="dxa" w:w="2076"/>
          </w:tcPr>
          <w:p>
            <w:pPr>
              <w:pStyle w:val="null3"/>
            </w:pPr>
            <w:r>
              <w:rPr>
                <w:rFonts w:ascii="仿宋_GB2312" w:hAnsi="仿宋_GB2312" w:cs="仿宋_GB2312" w:eastAsia="仿宋_GB2312"/>
              </w:rPr>
              <w:t>70</w:t>
            </w:r>
          </w:p>
        </w:tc>
        <w:tc>
          <w:tcPr>
            <w:tcW w:type="dxa" w:w="2076"/>
          </w:tcPr>
          <w:p/>
        </w:tc>
        <w:tc>
          <w:tcPr>
            <w:tcW w:type="dxa" w:w="2076"/>
          </w:tcPr>
          <w:p>
            <w:pPr>
              <w:pStyle w:val="null3"/>
            </w:pPr>
            <w:r>
              <w:rPr>
                <w:rFonts w:ascii="仿宋_GB2312" w:hAnsi="仿宋_GB2312" w:cs="仿宋_GB2312" w:eastAsia="仿宋_GB2312"/>
              </w:rPr>
              <w:t>（8）支持下发地址的同时下发扩展选项，例如使终端获取NTP服务器地址、NIS服务器地址、引导文件名、PXE服务器地址、NIS域名、NIS服务器、SNMP管理、SNMP团体名、Option值等信息。</w:t>
            </w:r>
          </w:p>
        </w:tc>
      </w:tr>
      <w:tr>
        <w:tc>
          <w:tcPr>
            <w:tcW w:type="dxa" w:w="2076"/>
          </w:tcPr>
          <w:p/>
        </w:tc>
        <w:tc>
          <w:tcPr>
            <w:tcW w:type="dxa" w:w="2076"/>
          </w:tcPr>
          <w:p>
            <w:pPr>
              <w:pStyle w:val="null3"/>
            </w:pPr>
            <w:r>
              <w:rPr>
                <w:rFonts w:ascii="仿宋_GB2312" w:hAnsi="仿宋_GB2312" w:cs="仿宋_GB2312" w:eastAsia="仿宋_GB2312"/>
              </w:rPr>
              <w:t>71</w:t>
            </w:r>
          </w:p>
        </w:tc>
        <w:tc>
          <w:tcPr>
            <w:tcW w:type="dxa" w:w="2076"/>
          </w:tcPr>
          <w:p/>
        </w:tc>
        <w:tc>
          <w:tcPr>
            <w:tcW w:type="dxa" w:w="2076"/>
          </w:tcPr>
          <w:p>
            <w:pPr>
              <w:pStyle w:val="null3"/>
            </w:pPr>
            <w:r>
              <w:rPr>
                <w:rFonts w:ascii="仿宋_GB2312" w:hAnsi="仿宋_GB2312" w:cs="仿宋_GB2312" w:eastAsia="仿宋_GB2312"/>
              </w:rPr>
              <w:t>（9）支持DHCP指纹库升级功能，支持终端类型的识别更新。</w:t>
            </w:r>
          </w:p>
        </w:tc>
      </w:tr>
      <w:tr>
        <w:tc>
          <w:tcPr>
            <w:tcW w:type="dxa" w:w="2076"/>
          </w:tcPr>
          <w:p/>
        </w:tc>
        <w:tc>
          <w:tcPr>
            <w:tcW w:type="dxa" w:w="2076"/>
          </w:tcPr>
          <w:p>
            <w:pPr>
              <w:pStyle w:val="null3"/>
            </w:pPr>
            <w:r>
              <w:rPr>
                <w:rFonts w:ascii="仿宋_GB2312" w:hAnsi="仿宋_GB2312" w:cs="仿宋_GB2312" w:eastAsia="仿宋_GB2312"/>
              </w:rPr>
              <w:t>72</w:t>
            </w:r>
          </w:p>
        </w:tc>
        <w:tc>
          <w:tcPr>
            <w:tcW w:type="dxa" w:w="2076"/>
          </w:tcPr>
          <w:p/>
        </w:tc>
        <w:tc>
          <w:tcPr>
            <w:tcW w:type="dxa" w:w="2076"/>
          </w:tcPr>
          <w:p>
            <w:pPr>
              <w:pStyle w:val="null3"/>
            </w:pPr>
            <w:r>
              <w:rPr>
                <w:rFonts w:ascii="仿宋_GB2312" w:hAnsi="仿宋_GB2312" w:cs="仿宋_GB2312" w:eastAsia="仿宋_GB2312"/>
              </w:rPr>
              <w:t>（10）支持DHCPv6-PD，可基于vlan指定IPv6前缀下发给下游路由器，实现用户前缀统一集中管理。</w:t>
            </w:r>
          </w:p>
        </w:tc>
      </w:tr>
      <w:tr>
        <w:tc>
          <w:tcPr>
            <w:tcW w:type="dxa" w:w="2076"/>
          </w:tcPr>
          <w:p/>
        </w:tc>
        <w:tc>
          <w:tcPr>
            <w:tcW w:type="dxa" w:w="2076"/>
          </w:tcPr>
          <w:p>
            <w:pPr>
              <w:pStyle w:val="null3"/>
            </w:pPr>
            <w:r>
              <w:rPr>
                <w:rFonts w:ascii="仿宋_GB2312" w:hAnsi="仿宋_GB2312" w:cs="仿宋_GB2312" w:eastAsia="仿宋_GB2312"/>
              </w:rPr>
              <w:t>73</w:t>
            </w:r>
          </w:p>
        </w:tc>
        <w:tc>
          <w:tcPr>
            <w:tcW w:type="dxa" w:w="2076"/>
          </w:tcPr>
          <w:p/>
        </w:tc>
        <w:tc>
          <w:tcPr>
            <w:tcW w:type="dxa" w:w="2076"/>
          </w:tcPr>
          <w:p>
            <w:pPr>
              <w:pStyle w:val="null3"/>
            </w:pPr>
            <w:r>
              <w:rPr>
                <w:rFonts w:ascii="仿宋_GB2312" w:hAnsi="仿宋_GB2312" w:cs="仿宋_GB2312" w:eastAsia="仿宋_GB2312"/>
              </w:rPr>
              <w:t>（11）支持与统一身份认证系统单点登陆接口，实现统一身份认证系统账号登陆DHCP系统自服务页面，页面支持手机端，提供截图证明。</w:t>
            </w:r>
          </w:p>
        </w:tc>
      </w:tr>
      <w:tr>
        <w:tc>
          <w:tcPr>
            <w:tcW w:type="dxa" w:w="2076"/>
          </w:tcPr>
          <w:p/>
        </w:tc>
        <w:tc>
          <w:tcPr>
            <w:tcW w:type="dxa" w:w="2076"/>
          </w:tcPr>
          <w:p>
            <w:pPr>
              <w:pStyle w:val="null3"/>
            </w:pPr>
            <w:r>
              <w:rPr>
                <w:rFonts w:ascii="仿宋_GB2312" w:hAnsi="仿宋_GB2312" w:cs="仿宋_GB2312" w:eastAsia="仿宋_GB2312"/>
              </w:rPr>
              <w:t>74</w:t>
            </w:r>
          </w:p>
        </w:tc>
        <w:tc>
          <w:tcPr>
            <w:tcW w:type="dxa" w:w="2076"/>
          </w:tcPr>
          <w:p/>
        </w:tc>
        <w:tc>
          <w:tcPr>
            <w:tcW w:type="dxa" w:w="2076"/>
          </w:tcPr>
          <w:p>
            <w:pPr>
              <w:pStyle w:val="null3"/>
            </w:pPr>
            <w:r>
              <w:rPr>
                <w:rFonts w:ascii="仿宋_GB2312" w:hAnsi="仿宋_GB2312" w:cs="仿宋_GB2312" w:eastAsia="仿宋_GB2312"/>
              </w:rPr>
              <w:t>（12）DHCP产品须具备IPv6 Ready认证，鉴于IPv6 DHCP的RFC规范还在不断更新完善当中，因此本次建设需要在服务期内针对RFC的变化能做到同步无缝免费升级，提供厂商承诺函。</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75</w:t>
            </w:r>
          </w:p>
        </w:tc>
        <w:tc>
          <w:tcPr>
            <w:tcW w:type="dxa" w:w="2076"/>
          </w:tcPr>
          <w:p/>
        </w:tc>
        <w:tc>
          <w:tcPr>
            <w:tcW w:type="dxa" w:w="2076"/>
          </w:tcPr>
          <w:p>
            <w:pPr>
              <w:pStyle w:val="null3"/>
            </w:pPr>
            <w:r>
              <w:rPr>
                <w:rFonts w:ascii="仿宋_GB2312" w:hAnsi="仿宋_GB2312" w:cs="仿宋_GB2312" w:eastAsia="仿宋_GB2312"/>
              </w:rPr>
              <w:t>（13）支持超级作用域功能实现子网规模的动态扩展，实现将多个不连续的子网合并为一个子网，在不对现有子网进行连续扩展的情况下解决子网利用率过高的问题，提供功能证明截图。</w:t>
            </w:r>
          </w:p>
        </w:tc>
      </w:tr>
      <w:tr>
        <w:tc>
          <w:tcPr>
            <w:tcW w:type="dxa" w:w="2076"/>
          </w:tcPr>
          <w:p/>
        </w:tc>
        <w:tc>
          <w:tcPr>
            <w:tcW w:type="dxa" w:w="2076"/>
          </w:tcPr>
          <w:p>
            <w:pPr>
              <w:pStyle w:val="null3"/>
            </w:pPr>
            <w:r>
              <w:rPr>
                <w:rFonts w:ascii="仿宋_GB2312" w:hAnsi="仿宋_GB2312" w:cs="仿宋_GB2312" w:eastAsia="仿宋_GB2312"/>
              </w:rPr>
              <w:t>76</w:t>
            </w:r>
          </w:p>
        </w:tc>
        <w:tc>
          <w:tcPr>
            <w:tcW w:type="dxa" w:w="2076"/>
          </w:tcPr>
          <w:p/>
        </w:tc>
        <w:tc>
          <w:tcPr>
            <w:tcW w:type="dxa" w:w="2076"/>
          </w:tcPr>
          <w:p>
            <w:pPr>
              <w:pStyle w:val="null3"/>
            </w:pPr>
            <w:r>
              <w:rPr>
                <w:rFonts w:ascii="仿宋_GB2312" w:hAnsi="仿宋_GB2312" w:cs="仿宋_GB2312" w:eastAsia="仿宋_GB2312"/>
              </w:rPr>
              <w:t>（14）单台DHCP节点要求并发处理地址分配能力不少于3000个/秒。提供测试报告证明。</w:t>
            </w:r>
          </w:p>
        </w:tc>
      </w:tr>
      <w:tr>
        <w:tc>
          <w:tcPr>
            <w:tcW w:type="dxa" w:w="2076"/>
          </w:tcPr>
          <w:p/>
        </w:tc>
        <w:tc>
          <w:tcPr>
            <w:tcW w:type="dxa" w:w="2076"/>
          </w:tcPr>
          <w:p>
            <w:pPr>
              <w:pStyle w:val="null3"/>
            </w:pPr>
            <w:r>
              <w:rPr>
                <w:rFonts w:ascii="仿宋_GB2312" w:hAnsi="仿宋_GB2312" w:cs="仿宋_GB2312" w:eastAsia="仿宋_GB2312"/>
              </w:rPr>
              <w:t>77</w:t>
            </w:r>
          </w:p>
        </w:tc>
        <w:tc>
          <w:tcPr>
            <w:tcW w:type="dxa" w:w="2076"/>
          </w:tcPr>
          <w:p>
            <w:pPr>
              <w:pStyle w:val="null3"/>
            </w:pPr>
            <w:r>
              <w:rPr>
                <w:rFonts w:ascii="仿宋_GB2312" w:hAnsi="仿宋_GB2312" w:cs="仿宋_GB2312" w:eastAsia="仿宋_GB2312"/>
              </w:rPr>
              <w:t>六、服务要求</w:t>
            </w:r>
          </w:p>
        </w:tc>
        <w:tc>
          <w:tcPr>
            <w:tcW w:type="dxa" w:w="2076"/>
          </w:tcPr>
          <w:p>
            <w:pPr>
              <w:pStyle w:val="null3"/>
            </w:pPr>
            <w:r>
              <w:rPr>
                <w:rFonts w:ascii="仿宋_GB2312" w:hAnsi="仿宋_GB2312" w:cs="仿宋_GB2312" w:eastAsia="仿宋_GB2312"/>
              </w:rPr>
              <w:t>具体要求如下:</w:t>
            </w:r>
          </w:p>
        </w:tc>
      </w:tr>
      <w:tr>
        <w:tc>
          <w:tcPr>
            <w:tcW w:type="dxa" w:w="2076"/>
          </w:tcPr>
          <w:p/>
        </w:tc>
        <w:tc>
          <w:tcPr>
            <w:tcW w:type="dxa" w:w="2076"/>
          </w:tcPr>
          <w:p>
            <w:pPr>
              <w:pStyle w:val="null3"/>
            </w:pPr>
            <w:r>
              <w:rPr>
                <w:rFonts w:ascii="仿宋_GB2312" w:hAnsi="仿宋_GB2312" w:cs="仿宋_GB2312" w:eastAsia="仿宋_GB2312"/>
              </w:rPr>
              <w:t>78</w:t>
            </w:r>
          </w:p>
        </w:tc>
        <w:tc>
          <w:tcPr>
            <w:tcW w:type="dxa" w:w="2076"/>
          </w:tcPr>
          <w:p/>
        </w:tc>
        <w:tc>
          <w:tcPr>
            <w:tcW w:type="dxa" w:w="2076"/>
          </w:tcPr>
          <w:p>
            <w:pPr>
              <w:pStyle w:val="null3"/>
            </w:pPr>
            <w:r>
              <w:rPr>
                <w:rFonts w:ascii="仿宋_GB2312" w:hAnsi="仿宋_GB2312" w:cs="仿宋_GB2312" w:eastAsia="仿宋_GB2312"/>
              </w:rPr>
              <w:t>1.服务期内，如互联网出口线路带宽利用率达到峰值的85%，以1G为单位自动免费扩容，直到10G。</w:t>
            </w:r>
          </w:p>
        </w:tc>
      </w:tr>
      <w:tr>
        <w:tc>
          <w:tcPr>
            <w:tcW w:type="dxa" w:w="2076"/>
          </w:tcPr>
          <w:p/>
        </w:tc>
        <w:tc>
          <w:tcPr>
            <w:tcW w:type="dxa" w:w="2076"/>
          </w:tcPr>
          <w:p>
            <w:pPr>
              <w:pStyle w:val="null3"/>
            </w:pPr>
            <w:r>
              <w:rPr>
                <w:rFonts w:ascii="仿宋_GB2312" w:hAnsi="仿宋_GB2312" w:cs="仿宋_GB2312" w:eastAsia="仿宋_GB2312"/>
              </w:rPr>
              <w:t>79</w:t>
            </w:r>
          </w:p>
        </w:tc>
        <w:tc>
          <w:tcPr>
            <w:tcW w:type="dxa" w:w="2076"/>
          </w:tcPr>
          <w:p/>
        </w:tc>
        <w:tc>
          <w:tcPr>
            <w:tcW w:type="dxa" w:w="2076"/>
          </w:tcPr>
          <w:p>
            <w:pPr>
              <w:pStyle w:val="null3"/>
            </w:pPr>
            <w:r>
              <w:rPr>
                <w:rFonts w:ascii="仿宋_GB2312" w:hAnsi="仿宋_GB2312" w:cs="仿宋_GB2312" w:eastAsia="仿宋_GB2312"/>
              </w:rPr>
              <w:t>2.提供≥2次（每次不少于10天）的互联网线路DDOS攻击防护应急服务，包括但不限于攻击分析、流量牵引、流量清洗、流量回注、攻击防护报告等；提供≥2次全网安全漏洞扫描服务；根据采购人需要提供重要时期网络安全保障驻场服务。</w:t>
            </w:r>
          </w:p>
        </w:tc>
      </w:tr>
      <w:tr>
        <w:tc>
          <w:tcPr>
            <w:tcW w:type="dxa" w:w="2076"/>
          </w:tcPr>
          <w:p/>
        </w:tc>
        <w:tc>
          <w:tcPr>
            <w:tcW w:type="dxa" w:w="2076"/>
          </w:tcPr>
          <w:p>
            <w:pPr>
              <w:pStyle w:val="null3"/>
            </w:pPr>
            <w:r>
              <w:rPr>
                <w:rFonts w:ascii="仿宋_GB2312" w:hAnsi="仿宋_GB2312" w:cs="仿宋_GB2312" w:eastAsia="仿宋_GB2312"/>
              </w:rPr>
              <w:t>80</w:t>
            </w:r>
          </w:p>
        </w:tc>
        <w:tc>
          <w:tcPr>
            <w:tcW w:type="dxa" w:w="2076"/>
          </w:tcPr>
          <w:p/>
        </w:tc>
        <w:tc>
          <w:tcPr>
            <w:tcW w:type="dxa" w:w="2076"/>
          </w:tcPr>
          <w:p>
            <w:pPr>
              <w:pStyle w:val="null3"/>
            </w:pPr>
            <w:r>
              <w:rPr>
                <w:rFonts w:ascii="仿宋_GB2312" w:hAnsi="仿宋_GB2312" w:cs="仿宋_GB2312" w:eastAsia="仿宋_GB2312"/>
              </w:rPr>
              <w:t>3.提供每月、每季度运行分析报告，根据网络资源利用率的变化，提供对应的网络优化方案；提供定期网络巡检服务，1次/半年。</w:t>
            </w:r>
          </w:p>
        </w:tc>
      </w:tr>
      <w:tr>
        <w:tc>
          <w:tcPr>
            <w:tcW w:type="dxa" w:w="2076"/>
          </w:tcPr>
          <w:p/>
        </w:tc>
        <w:tc>
          <w:tcPr>
            <w:tcW w:type="dxa" w:w="2076"/>
          </w:tcPr>
          <w:p>
            <w:pPr>
              <w:pStyle w:val="null3"/>
            </w:pPr>
            <w:r>
              <w:rPr>
                <w:rFonts w:ascii="仿宋_GB2312" w:hAnsi="仿宋_GB2312" w:cs="仿宋_GB2312" w:eastAsia="仿宋_GB2312"/>
              </w:rPr>
              <w:t>81</w:t>
            </w:r>
          </w:p>
        </w:tc>
        <w:tc>
          <w:tcPr>
            <w:tcW w:type="dxa" w:w="2076"/>
          </w:tcPr>
          <w:p/>
        </w:tc>
        <w:tc>
          <w:tcPr>
            <w:tcW w:type="dxa" w:w="2076"/>
          </w:tcPr>
          <w:p>
            <w:pPr>
              <w:pStyle w:val="null3"/>
            </w:pPr>
            <w:r>
              <w:rPr>
                <w:rFonts w:ascii="仿宋_GB2312" w:hAnsi="仿宋_GB2312" w:cs="仿宋_GB2312" w:eastAsia="仿宋_GB2312"/>
              </w:rPr>
              <w:t>4.按采购人要求，重要时期、活动期间，提供应急通信5G网络服务，内容包含且不限于应急通信车、5G应急仓等。</w:t>
            </w:r>
          </w:p>
        </w:tc>
      </w:tr>
      <w:tr>
        <w:tc>
          <w:tcPr>
            <w:tcW w:type="dxa" w:w="2076"/>
          </w:tcPr>
          <w:p/>
        </w:tc>
        <w:tc>
          <w:tcPr>
            <w:tcW w:type="dxa" w:w="2076"/>
          </w:tcPr>
          <w:p>
            <w:pPr>
              <w:pStyle w:val="null3"/>
            </w:pPr>
            <w:r>
              <w:rPr>
                <w:rFonts w:ascii="仿宋_GB2312" w:hAnsi="仿宋_GB2312" w:cs="仿宋_GB2312" w:eastAsia="仿宋_GB2312"/>
              </w:rPr>
              <w:t>82</w:t>
            </w:r>
          </w:p>
        </w:tc>
        <w:tc>
          <w:tcPr>
            <w:tcW w:type="dxa" w:w="2076"/>
          </w:tcPr>
          <w:p/>
        </w:tc>
        <w:tc>
          <w:tcPr>
            <w:tcW w:type="dxa" w:w="2076"/>
          </w:tcPr>
          <w:p>
            <w:pPr>
              <w:pStyle w:val="null3"/>
            </w:pPr>
            <w:r>
              <w:rPr>
                <w:rFonts w:ascii="仿宋_GB2312" w:hAnsi="仿宋_GB2312" w:cs="仿宋_GB2312" w:eastAsia="仿宋_GB2312"/>
              </w:rPr>
              <w:t>5.提供对采购人的技术人员进行相关业务培训服务。</w:t>
            </w:r>
          </w:p>
        </w:tc>
      </w:tr>
      <w:tr>
        <w:tc>
          <w:tcPr>
            <w:tcW w:type="dxa" w:w="2076"/>
          </w:tcPr>
          <w:p/>
        </w:tc>
        <w:tc>
          <w:tcPr>
            <w:tcW w:type="dxa" w:w="2076"/>
          </w:tcPr>
          <w:p>
            <w:pPr>
              <w:pStyle w:val="null3"/>
            </w:pPr>
            <w:r>
              <w:rPr>
                <w:rFonts w:ascii="仿宋_GB2312" w:hAnsi="仿宋_GB2312" w:cs="仿宋_GB2312" w:eastAsia="仿宋_GB2312"/>
              </w:rPr>
              <w:t>83</w:t>
            </w:r>
          </w:p>
        </w:tc>
        <w:tc>
          <w:tcPr>
            <w:tcW w:type="dxa" w:w="2076"/>
          </w:tcPr>
          <w:p/>
        </w:tc>
        <w:tc>
          <w:tcPr>
            <w:tcW w:type="dxa" w:w="2076"/>
          </w:tcPr>
          <w:p>
            <w:pPr>
              <w:pStyle w:val="null3"/>
            </w:pPr>
            <w:r>
              <w:rPr>
                <w:rFonts w:ascii="仿宋_GB2312" w:hAnsi="仿宋_GB2312" w:cs="仿宋_GB2312" w:eastAsia="仿宋_GB2312"/>
              </w:rPr>
              <w:t>6.按采购人要求，服务期内免费提供≥1次互联网出口线路迁移相关的服务。</w:t>
            </w:r>
          </w:p>
        </w:tc>
      </w:tr>
      <w:tr>
        <w:tc>
          <w:tcPr>
            <w:tcW w:type="dxa" w:w="2076"/>
          </w:tcPr>
          <w:p/>
        </w:tc>
        <w:tc>
          <w:tcPr>
            <w:tcW w:type="dxa" w:w="2076"/>
          </w:tcPr>
          <w:p>
            <w:pPr>
              <w:pStyle w:val="null3"/>
            </w:pPr>
            <w:r>
              <w:rPr>
                <w:rFonts w:ascii="仿宋_GB2312" w:hAnsi="仿宋_GB2312" w:cs="仿宋_GB2312" w:eastAsia="仿宋_GB2312"/>
              </w:rPr>
              <w:t>84</w:t>
            </w:r>
          </w:p>
        </w:tc>
        <w:tc>
          <w:tcPr>
            <w:tcW w:type="dxa" w:w="2076"/>
          </w:tcPr>
          <w:p/>
        </w:tc>
        <w:tc>
          <w:tcPr>
            <w:tcW w:type="dxa" w:w="2076"/>
          </w:tcPr>
          <w:p>
            <w:pPr>
              <w:pStyle w:val="null3"/>
            </w:pPr>
            <w:r>
              <w:rPr>
                <w:rFonts w:ascii="仿宋_GB2312" w:hAnsi="仿宋_GB2312" w:cs="仿宋_GB2312" w:eastAsia="仿宋_GB2312"/>
              </w:rPr>
              <w:t>7.提供≥1人的本地专职网络运维人员（驻场），要求能在30分钟内响应，12 小时内解决由于采购人网络或设备原因造成的网络通信中断等故障。</w:t>
            </w:r>
          </w:p>
        </w:tc>
      </w:tr>
      <w:tr>
        <w:tc>
          <w:tcPr>
            <w:tcW w:type="dxa" w:w="2076"/>
          </w:tcPr>
          <w:p/>
        </w:tc>
        <w:tc>
          <w:tcPr>
            <w:tcW w:type="dxa" w:w="2076"/>
          </w:tcPr>
          <w:p>
            <w:pPr>
              <w:pStyle w:val="null3"/>
            </w:pPr>
            <w:r>
              <w:rPr>
                <w:rFonts w:ascii="仿宋_GB2312" w:hAnsi="仿宋_GB2312" w:cs="仿宋_GB2312" w:eastAsia="仿宋_GB2312"/>
              </w:rPr>
              <w:t>85</w:t>
            </w:r>
          </w:p>
        </w:tc>
        <w:tc>
          <w:tcPr>
            <w:tcW w:type="dxa" w:w="2076"/>
          </w:tcPr>
          <w:p>
            <w:pPr>
              <w:pStyle w:val="null3"/>
            </w:pPr>
            <w:r>
              <w:rPr>
                <w:rFonts w:ascii="仿宋_GB2312" w:hAnsi="仿宋_GB2312" w:cs="仿宋_GB2312" w:eastAsia="仿宋_GB2312"/>
              </w:rPr>
              <w:t>七、服务期限及要求</w:t>
            </w:r>
          </w:p>
        </w:tc>
        <w:tc>
          <w:tcPr>
            <w:tcW w:type="dxa" w:w="2076"/>
          </w:tcPr>
          <w:p>
            <w:pPr>
              <w:pStyle w:val="null3"/>
            </w:pPr>
            <w:r>
              <w:rPr>
                <w:rFonts w:ascii="仿宋_GB2312" w:hAnsi="仿宋_GB2312" w:cs="仿宋_GB2312" w:eastAsia="仿宋_GB2312"/>
              </w:rPr>
              <w:t>具体要求如下：</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86</w:t>
            </w:r>
          </w:p>
        </w:tc>
        <w:tc>
          <w:tcPr>
            <w:tcW w:type="dxa" w:w="2076"/>
          </w:tcPr>
          <w:p/>
        </w:tc>
        <w:tc>
          <w:tcPr>
            <w:tcW w:type="dxa" w:w="2076"/>
          </w:tcPr>
          <w:p>
            <w:pPr>
              <w:pStyle w:val="null3"/>
            </w:pPr>
            <w:r>
              <w:rPr>
                <w:rFonts w:ascii="仿宋_GB2312" w:hAnsi="仿宋_GB2312" w:cs="仿宋_GB2312" w:eastAsia="仿宋_GB2312"/>
              </w:rPr>
              <w:t>1.服务期限：2025年起，自项目验收之日起12个月。</w:t>
            </w:r>
          </w:p>
        </w:tc>
      </w:tr>
      <w:tr>
        <w:tc>
          <w:tcPr>
            <w:tcW w:type="dxa" w:w="2076"/>
          </w:tcPr>
          <w:p/>
        </w:tc>
        <w:tc>
          <w:tcPr>
            <w:tcW w:type="dxa" w:w="2076"/>
          </w:tcPr>
          <w:p>
            <w:pPr>
              <w:pStyle w:val="null3"/>
            </w:pPr>
            <w:r>
              <w:rPr>
                <w:rFonts w:ascii="仿宋_GB2312" w:hAnsi="仿宋_GB2312" w:cs="仿宋_GB2312" w:eastAsia="仿宋_GB2312"/>
              </w:rPr>
              <w:t>87</w:t>
            </w:r>
          </w:p>
        </w:tc>
        <w:tc>
          <w:tcPr>
            <w:tcW w:type="dxa" w:w="2076"/>
          </w:tcPr>
          <w:p/>
        </w:tc>
        <w:tc>
          <w:tcPr>
            <w:tcW w:type="dxa" w:w="2076"/>
          </w:tcPr>
          <w:p>
            <w:pPr>
              <w:pStyle w:val="null3"/>
            </w:pPr>
            <w:r>
              <w:rPr>
                <w:rFonts w:ascii="仿宋_GB2312" w:hAnsi="仿宋_GB2312" w:cs="仿宋_GB2312" w:eastAsia="仿宋_GB2312"/>
              </w:rPr>
              <w:t>2.合同签订后20天内，按采购人指定地点完成相关服务设备的安装、数据对接、调试等工作。</w:t>
            </w:r>
          </w:p>
        </w:tc>
      </w:tr>
      <w:tr>
        <w:tc>
          <w:tcPr>
            <w:tcW w:type="dxa" w:w="2076"/>
          </w:tcPr>
          <w:p/>
        </w:tc>
        <w:tc>
          <w:tcPr>
            <w:tcW w:type="dxa" w:w="2076"/>
          </w:tcPr>
          <w:p>
            <w:pPr>
              <w:pStyle w:val="null3"/>
            </w:pPr>
            <w:r>
              <w:rPr>
                <w:rFonts w:ascii="仿宋_GB2312" w:hAnsi="仿宋_GB2312" w:cs="仿宋_GB2312" w:eastAsia="仿宋_GB2312"/>
              </w:rPr>
              <w:t>88</w:t>
            </w:r>
          </w:p>
        </w:tc>
        <w:tc>
          <w:tcPr>
            <w:tcW w:type="dxa" w:w="2076"/>
          </w:tcPr>
          <w:p/>
        </w:tc>
        <w:tc>
          <w:tcPr>
            <w:tcW w:type="dxa" w:w="2076"/>
          </w:tcPr>
          <w:p>
            <w:pPr>
              <w:pStyle w:val="null3"/>
            </w:pPr>
            <w:r>
              <w:rPr>
                <w:rFonts w:ascii="仿宋_GB2312" w:hAnsi="仿宋_GB2312" w:cs="仿宋_GB2312" w:eastAsia="仿宋_GB2312"/>
              </w:rPr>
              <w:t>3.投标人按原信息产业部颁布的《电信服务标准（试行）》的电路质量要求,负责进行本项目相关业务的连接、调通、测试。</w:t>
            </w:r>
          </w:p>
        </w:tc>
      </w:tr>
      <w:tr>
        <w:tc>
          <w:tcPr>
            <w:tcW w:type="dxa" w:w="2076"/>
          </w:tcPr>
          <w:p/>
        </w:tc>
        <w:tc>
          <w:tcPr>
            <w:tcW w:type="dxa" w:w="2076"/>
          </w:tcPr>
          <w:p>
            <w:pPr>
              <w:pStyle w:val="null3"/>
            </w:pPr>
            <w:r>
              <w:rPr>
                <w:rFonts w:ascii="仿宋_GB2312" w:hAnsi="仿宋_GB2312" w:cs="仿宋_GB2312" w:eastAsia="仿宋_GB2312"/>
              </w:rPr>
              <w:t>89</w:t>
            </w:r>
          </w:p>
        </w:tc>
        <w:tc>
          <w:tcPr>
            <w:tcW w:type="dxa" w:w="2076"/>
          </w:tcPr>
          <w:p/>
        </w:tc>
        <w:tc>
          <w:tcPr>
            <w:tcW w:type="dxa" w:w="2076"/>
          </w:tcPr>
          <w:p>
            <w:pPr>
              <w:pStyle w:val="null3"/>
            </w:pPr>
            <w:r>
              <w:rPr>
                <w:rFonts w:ascii="仿宋_GB2312" w:hAnsi="仿宋_GB2312" w:cs="仿宋_GB2312" w:eastAsia="仿宋_GB2312"/>
              </w:rPr>
              <w:t>4.投标人按国家电信主管部门颁布的电信服务标准和电路质量要求，保证电路畅通，提供24小时×365天的质量保证；提供7×24小时电话技术支持和故障申告服务。</w:t>
            </w:r>
          </w:p>
        </w:tc>
      </w:tr>
      <w:tr>
        <w:tc>
          <w:tcPr>
            <w:tcW w:type="dxa" w:w="2076"/>
          </w:tcPr>
          <w:p/>
        </w:tc>
        <w:tc>
          <w:tcPr>
            <w:tcW w:type="dxa" w:w="2076"/>
          </w:tcPr>
          <w:p>
            <w:pPr>
              <w:pStyle w:val="null3"/>
            </w:pPr>
            <w:r>
              <w:rPr>
                <w:rFonts w:ascii="仿宋_GB2312" w:hAnsi="仿宋_GB2312" w:cs="仿宋_GB2312" w:eastAsia="仿宋_GB2312"/>
              </w:rPr>
              <w:t>90</w:t>
            </w:r>
          </w:p>
        </w:tc>
        <w:tc>
          <w:tcPr>
            <w:tcW w:type="dxa" w:w="2076"/>
          </w:tcPr>
          <w:p/>
        </w:tc>
        <w:tc>
          <w:tcPr>
            <w:tcW w:type="dxa" w:w="2076"/>
          </w:tcPr>
          <w:p>
            <w:pPr>
              <w:pStyle w:val="null3"/>
            </w:pPr>
            <w:r>
              <w:rPr>
                <w:rFonts w:ascii="仿宋_GB2312" w:hAnsi="仿宋_GB2312" w:cs="仿宋_GB2312" w:eastAsia="仿宋_GB2312"/>
              </w:rPr>
              <w:t>5.投标人应进行网络故障的诊断和排除，互联网线路中断故障排除时间≤4小时，其它故障排除时间≤24小时。</w:t>
            </w:r>
          </w:p>
        </w:tc>
      </w:tr>
      <w:tr>
        <w:tc>
          <w:tcPr>
            <w:tcW w:type="dxa" w:w="2076"/>
          </w:tcPr>
          <w:p/>
        </w:tc>
        <w:tc>
          <w:tcPr>
            <w:tcW w:type="dxa" w:w="2076"/>
          </w:tcPr>
          <w:p>
            <w:pPr>
              <w:pStyle w:val="null3"/>
            </w:pPr>
            <w:r>
              <w:rPr>
                <w:rFonts w:ascii="仿宋_GB2312" w:hAnsi="仿宋_GB2312" w:cs="仿宋_GB2312" w:eastAsia="仿宋_GB2312"/>
              </w:rPr>
              <w:t>91</w:t>
            </w:r>
          </w:p>
        </w:tc>
        <w:tc>
          <w:tcPr>
            <w:tcW w:type="dxa" w:w="2076"/>
          </w:tcPr>
          <w:p/>
        </w:tc>
        <w:tc>
          <w:tcPr>
            <w:tcW w:type="dxa" w:w="2076"/>
          </w:tcPr>
          <w:p>
            <w:pPr>
              <w:pStyle w:val="null3"/>
            </w:pPr>
            <w:r>
              <w:rPr>
                <w:rFonts w:ascii="仿宋_GB2312" w:hAnsi="仿宋_GB2312" w:cs="仿宋_GB2312" w:eastAsia="仿宋_GB2312"/>
              </w:rPr>
              <w:t>6.在30个自然日内，投标人未按上述约定服务，对同一线路的服务被采购人投诉两次以上（含两次）或单次中断时间超过4小时，减免该条线路20%月租费。</w:t>
            </w:r>
          </w:p>
        </w:tc>
      </w:tr>
      <w:tr>
        <w:tc>
          <w:tcPr>
            <w:tcW w:type="dxa" w:w="2076"/>
          </w:tcPr>
          <w:p/>
        </w:tc>
        <w:tc>
          <w:tcPr>
            <w:tcW w:type="dxa" w:w="2076"/>
          </w:tcPr>
          <w:p>
            <w:pPr>
              <w:pStyle w:val="null3"/>
            </w:pPr>
            <w:r>
              <w:rPr>
                <w:rFonts w:ascii="仿宋_GB2312" w:hAnsi="仿宋_GB2312" w:cs="仿宋_GB2312" w:eastAsia="仿宋_GB2312"/>
              </w:rPr>
              <w:t>92</w:t>
            </w:r>
          </w:p>
        </w:tc>
        <w:tc>
          <w:tcPr>
            <w:tcW w:type="dxa" w:w="2076"/>
          </w:tcPr>
          <w:p/>
        </w:tc>
        <w:tc>
          <w:tcPr>
            <w:tcW w:type="dxa" w:w="2076"/>
          </w:tcPr>
          <w:p>
            <w:pPr>
              <w:pStyle w:val="null3"/>
            </w:pPr>
            <w:r>
              <w:rPr>
                <w:rFonts w:ascii="仿宋_GB2312" w:hAnsi="仿宋_GB2312" w:cs="仿宋_GB2312" w:eastAsia="仿宋_GB2312"/>
              </w:rPr>
              <w:t>7.若服务期内有出台新的法律法规和服务标准，投标人与采购人协商修改服务协议或按照新的法律法规和服务标准执行。</w:t>
            </w:r>
          </w:p>
        </w:tc>
      </w:tr>
      <w:tr>
        <w:tc>
          <w:tcPr>
            <w:tcW w:type="dxa" w:w="2076"/>
          </w:tcPr>
          <w:p/>
        </w:tc>
        <w:tc>
          <w:tcPr>
            <w:tcW w:type="dxa" w:w="2076"/>
          </w:tcPr>
          <w:p>
            <w:pPr>
              <w:pStyle w:val="null3"/>
            </w:pPr>
            <w:r>
              <w:rPr>
                <w:rFonts w:ascii="仿宋_GB2312" w:hAnsi="仿宋_GB2312" w:cs="仿宋_GB2312" w:eastAsia="仿宋_GB2312"/>
              </w:rPr>
              <w:t>93</w:t>
            </w:r>
          </w:p>
        </w:tc>
        <w:tc>
          <w:tcPr>
            <w:tcW w:type="dxa" w:w="2076"/>
          </w:tcPr>
          <w:p/>
        </w:tc>
        <w:tc>
          <w:tcPr>
            <w:tcW w:type="dxa" w:w="2076"/>
          </w:tcPr>
          <w:p>
            <w:pPr>
              <w:pStyle w:val="null3"/>
            </w:pPr>
            <w:r>
              <w:rPr>
                <w:rFonts w:ascii="仿宋_GB2312" w:hAnsi="仿宋_GB2312" w:cs="仿宋_GB2312" w:eastAsia="仿宋_GB2312"/>
              </w:rPr>
              <w:t>8.服务期内，投标人按上述约定提供服务，且未被采购人投诉，服务期满后，经采购人同意，可以以12个月为单位续签（最多不超过2个服务期）。</w:t>
            </w:r>
          </w:p>
        </w:tc>
      </w:tr>
      <w:tr>
        <w:tc>
          <w:tcPr>
            <w:tcW w:type="dxa" w:w="2076"/>
          </w:tcPr>
          <w:p/>
        </w:tc>
        <w:tc>
          <w:tcPr>
            <w:tcW w:type="dxa" w:w="2076"/>
          </w:tcPr>
          <w:p>
            <w:pPr>
              <w:pStyle w:val="null3"/>
            </w:pPr>
            <w:r>
              <w:rPr>
                <w:rFonts w:ascii="仿宋_GB2312" w:hAnsi="仿宋_GB2312" w:cs="仿宋_GB2312" w:eastAsia="仿宋_GB2312"/>
              </w:rPr>
              <w:t>94</w:t>
            </w:r>
          </w:p>
        </w:tc>
        <w:tc>
          <w:tcPr>
            <w:tcW w:type="dxa" w:w="2076"/>
          </w:tcPr>
          <w:p>
            <w:pPr>
              <w:pStyle w:val="null3"/>
            </w:pPr>
            <w:r>
              <w:rPr>
                <w:rFonts w:ascii="仿宋_GB2312" w:hAnsi="仿宋_GB2312" w:cs="仿宋_GB2312" w:eastAsia="仿宋_GB2312"/>
              </w:rPr>
              <w:t>重要说明</w:t>
            </w:r>
          </w:p>
        </w:tc>
        <w:tc>
          <w:tcPr>
            <w:tcW w:type="dxa" w:w="2076"/>
          </w:tcPr>
          <w:p>
            <w:pPr>
              <w:pStyle w:val="null3"/>
            </w:pPr>
            <w:r>
              <w:rPr>
                <w:rFonts w:ascii="仿宋_GB2312" w:hAnsi="仿宋_GB2312" w:cs="仿宋_GB2312" w:eastAsia="仿宋_GB2312"/>
              </w:rPr>
              <w:t>未标注符号的条款也同时为允许负偏离的参数需求，若未响应或者不满足，将在综合评审中予以扣分处理。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见3.2.2服务要求。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见3.2.2服务要求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服务期限：2025 年起，自项目验收之日起 12 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西安科技大学骊山校园</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采购文件、响应文件、原信息产业部颁布的《电信服务标准（试行）》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（非中小企业成交）签订合同前向采购人缴纳5%的履约保证金，专线和服务涉及的产品集成经采购人验收合格后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在30个自然日内，投标人未按约定服务，对同一线路的服务被采购人投诉两次以上（含两次）或单次中断时间超过4小时，减免该条线路20%月租费。</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1、支付约定：因系统设置原因，本章3.4.4支付约定描述不全之处，以本条为准。支付约定：（1）非中小企业成交的：签订合同前向采购人缴纳5%的履约保证金，专线和服务涉及的产品集成经采购人验收合格后 ，达到付款条件起 15 日内，支付合同总金额的 100.00%；（2）中小企业成交：签订合同前向学校缴纳5%的履约保证金，合同签订后（15日内）采购人支付40%合同金额的预付款。专线和服务涉及的产品集成经采购人验收合格后（15日内）一次性支付60%合同金额的余款，同时缴纳的5%履约保证金无质量问题一次性无息退还。 注：在付款前必须开具全额增值税发票给采购人）。 2、残疾人福利性单位及监狱企业在政府采购活动中视同为小型、微型企业。 3. 本章3.4商务要求、3.5其他要求均为实质性要求（不允许偏离）。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①供应商需在项目电子化交易系统中按要求填写《投标函》完成承诺并进行电子签章。 ② 具有独立承担民事责任的能力。提供注册登记凭证（营业执照、其他组织经营的合法凭证，自然人的提供身份证明文件），供应商需在项目电子化交易系统中按要求上传相应证明文件并进行电子签章。 ③ 具有良好的商业信誉和健全的财务会计制度。提供经第三方审计的2023年度财务报告（包括四表一注，即资产负债表、利润表、现金流量表、所有者权益变动表及其附注），且无反对意见（或无保留意见）；事业法人提供部门决算报告；/或在开标日期前六个月内其基本开户银行出具的资信证明（附《基本存款账户信息》或《银行开户许可证》）；/或财政部门认可的政府采购专业担保机构出具的投标担保函；/或表明具有良好的商业信誉和健全的财务会计制度的诚信声明；以上四种形式的资料提供任何一种即可，供应商需在项目电子化交易系统中按要求上传相应证明文件并进行电子签章。 ④ 具有履行合同所必需的设备和专业技术能力。提供声明文件，供应商需在项目电子化交易系统中按要求上传相应证明文件并进行电子签章。 ⑤ 具有依法缴纳税收的良好记录。提供缴费所属日期为投标截止时间前6个月内任一月份（投标截止时间当月不计入）的增值税（或所得税）缴费凭据或税务机关出具的完税证明/在法规范围内不需提供的应出具书面说明和证明文件；/或具有依法缴纳税收的诚信声明；以上二种形式的资料提供任何一种即可，供应商需在项目电子化交易系统中按要求上传相应证明文件并进行电子签章。 ⑥ 具有依法缴纳社会保障资金的良好记录。提供缴费所属日期为投标截止时间前6个月内任一月份（投标截止时间当月不计入）的缴费凭据或社保机关出具的缴费证明/在法规范围内不需提供的应出具书面说明和证明文件；/或具有依法缴纳社会保障资金的缴纳记录的诚信声明；以上二种形式的资料提供任何一种即可，供应商需在项目电子化交易系统中按要求上传相应证明文件并进行电子签章。 ⑦ 参加政府采购活动前3年内在经营活动中没有重大违法记录的书面声明，供应商需在项目电子化交易系统中按要求上传相应证明文件并进行电子签章。 ⑧ 法定代表人授权委托书或法定代表人证明书。法定代表人授权委托书（被授权代表参加）或法定代表人证明书（法定代表人直接参加），供应商需在项目电子化交易系统中按要求上传相应证明文件并进行电子签章。 ⑨ 不接受联合体。提供非联合体响应声明函，供应商需在项目电子化交易系统中按要求上传相应证明文件并进行电子签章。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供应商应提交的相关资格证明文件 响应函 法定代表人授权委托书或法定代表人证明书</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电信业务经营许可</w:t>
            </w:r>
          </w:p>
        </w:tc>
        <w:tc>
          <w:tcPr>
            <w:tcW w:type="dxa" w:w="3322"/>
          </w:tcPr>
          <w:p>
            <w:pPr>
              <w:pStyle w:val="null3"/>
            </w:pPr>
            <w:r>
              <w:rPr>
                <w:rFonts w:ascii="仿宋_GB2312" w:hAnsi="仿宋_GB2312" w:cs="仿宋_GB2312" w:eastAsia="仿宋_GB2312"/>
              </w:rPr>
              <w:t>持有增值电信业务许可证（互联网接入服务）</w:t>
            </w:r>
          </w:p>
        </w:tc>
        <w:tc>
          <w:tcPr>
            <w:tcW w:type="dxa" w:w="1661"/>
          </w:tcPr>
          <w:p>
            <w:pPr>
              <w:pStyle w:val="null3"/>
            </w:pPr>
            <w:r>
              <w:rPr>
                <w:rFonts w:ascii="仿宋_GB2312" w:hAnsi="仿宋_GB2312" w:cs="仿宋_GB2312" w:eastAsia="仿宋_GB2312"/>
              </w:rPr>
              <w:t>供应商应提交的相关资格证明文件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仅允许有意愿的法人或其授权的一个分支机构前来参与磋商</w:t>
            </w:r>
          </w:p>
        </w:tc>
        <w:tc>
          <w:tcPr>
            <w:tcW w:type="dxa" w:w="3322"/>
          </w:tcPr>
          <w:p>
            <w:pPr>
              <w:pStyle w:val="null3"/>
            </w:pPr>
            <w:r>
              <w:rPr>
                <w:rFonts w:ascii="仿宋_GB2312" w:hAnsi="仿宋_GB2312" w:cs="仿宋_GB2312" w:eastAsia="仿宋_GB2312"/>
              </w:rPr>
              <w:t>若法人和分支机构同时参与磋商，或授权两个或以上的分支机构前来参与磋商，其磋商响应文件将均被视为无效。分支机构前来参与磋商需提供法人出具的授权函或者承诺函。</w:t>
            </w:r>
          </w:p>
        </w:tc>
        <w:tc>
          <w:tcPr>
            <w:tcW w:type="dxa" w:w="1661"/>
          </w:tcPr>
          <w:p>
            <w:pPr>
              <w:pStyle w:val="null3"/>
            </w:pPr>
            <w:r>
              <w:rPr>
                <w:rFonts w:ascii="仿宋_GB2312" w:hAnsi="仿宋_GB2312" w:cs="仿宋_GB2312" w:eastAsia="仿宋_GB2312"/>
              </w:rPr>
              <w:t>供应商应提交的相关资格证明文件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响应文件的完整性审查</w:t>
            </w:r>
          </w:p>
        </w:tc>
        <w:tc>
          <w:tcPr>
            <w:tcW w:type="dxa" w:w="3322"/>
          </w:tcPr>
          <w:p>
            <w:pPr>
              <w:pStyle w:val="null3"/>
            </w:pPr>
            <w:r>
              <w:rPr>
                <w:rFonts w:ascii="仿宋_GB2312" w:hAnsi="仿宋_GB2312" w:cs="仿宋_GB2312" w:eastAsia="仿宋_GB2312"/>
              </w:rPr>
              <w:t>响应文件是否按照磋商文件要求的格式编写</w:t>
            </w:r>
          </w:p>
        </w:tc>
        <w:tc>
          <w:tcPr>
            <w:tcW w:type="dxa" w:w="1661"/>
          </w:tcPr>
          <w:p>
            <w:pPr>
              <w:pStyle w:val="null3"/>
            </w:pPr>
            <w:r>
              <w:rPr>
                <w:rFonts w:ascii="仿宋_GB2312" w:hAnsi="仿宋_GB2312" w:cs="仿宋_GB2312" w:eastAsia="仿宋_GB2312"/>
              </w:rPr>
              <w:t>响应文件封面 服务内容及服务邀请应答表 商务应答表 服务方案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响应文件的有效性审查</w:t>
            </w:r>
          </w:p>
        </w:tc>
        <w:tc>
          <w:tcPr>
            <w:tcW w:type="dxa" w:w="3322"/>
          </w:tcPr>
          <w:p>
            <w:pPr>
              <w:pStyle w:val="null3"/>
            </w:pPr>
            <w:r>
              <w:rPr>
                <w:rFonts w:ascii="仿宋_GB2312" w:hAnsi="仿宋_GB2312" w:cs="仿宋_GB2312" w:eastAsia="仿宋_GB2312"/>
              </w:rPr>
              <w:t>（1）响应文件的签署、加盖印章是否有效； （2）提供的各种证明文件、数据、资料是否有效。</w:t>
            </w:r>
          </w:p>
        </w:tc>
        <w:tc>
          <w:tcPr>
            <w:tcW w:type="dxa" w:w="1661"/>
          </w:tcPr>
          <w:p>
            <w:pPr>
              <w:pStyle w:val="null3"/>
            </w:pPr>
            <w:r>
              <w:rPr>
                <w:rFonts w:ascii="仿宋_GB2312" w:hAnsi="仿宋_GB2312" w:cs="仿宋_GB2312" w:eastAsia="仿宋_GB2312"/>
              </w:rPr>
              <w:t>响应文件封面 服务内容及服务邀请应答表 商务应答表 服务方案 标的清单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响应文件的响应性审查</w:t>
            </w:r>
          </w:p>
        </w:tc>
        <w:tc>
          <w:tcPr>
            <w:tcW w:type="dxa" w:w="3322"/>
          </w:tcPr>
          <w:p>
            <w:pPr>
              <w:pStyle w:val="null3"/>
            </w:pPr>
            <w:r>
              <w:rPr>
                <w:rFonts w:ascii="仿宋_GB2312" w:hAnsi="仿宋_GB2312" w:cs="仿宋_GB2312" w:eastAsia="仿宋_GB2312"/>
              </w:rPr>
              <w:t>（1）报价是否超过采购预算； （2）响应文件有效期是否符合磋商文件的要求；（3）响应内容是否符合国家法律法规；（4）是否响应实质性条款。</w:t>
            </w:r>
          </w:p>
        </w:tc>
        <w:tc>
          <w:tcPr>
            <w:tcW w:type="dxa" w:w="1661"/>
          </w:tcPr>
          <w:p>
            <w:pPr>
              <w:pStyle w:val="null3"/>
            </w:pPr>
            <w:r>
              <w:rPr>
                <w:rFonts w:ascii="仿宋_GB2312" w:hAnsi="仿宋_GB2312" w:cs="仿宋_GB2312" w:eastAsia="仿宋_GB2312"/>
              </w:rPr>
              <w:t>响应文件封面 服务内容及服务邀请应答表 商务应答表 服务方案 标的清单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详细评审85.0000分</w:t>
            </w:r>
          </w:p>
          <w:p>
            <w:pPr>
              <w:pStyle w:val="null3"/>
            </w:pPr>
            <w:r>
              <w:rPr>
                <w:rFonts w:ascii="仿宋_GB2312" w:hAnsi="仿宋_GB2312" w:cs="仿宋_GB2312" w:eastAsia="仿宋_GB2312"/>
              </w:rPr>
              <w:t>报价得分15.0000分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全部满足采购文件，得38分，标注“▲”符号的条款每偏离1项扣2分；其余未标注“▲”符号的条款偏离每偏离1项扣1分，本项最低0分。</w:t>
            </w:r>
          </w:p>
        </w:tc>
        <w:tc>
          <w:tcPr>
            <w:tcW w:type="dxa" w:w="831"/>
          </w:tcPr>
          <w:p>
            <w:pPr>
              <w:pStyle w:val="null3"/>
              <w:jc w:val="right"/>
            </w:pPr>
            <w:r>
              <w:rPr>
                <w:rFonts w:ascii="仿宋_GB2312" w:hAnsi="仿宋_GB2312" w:cs="仿宋_GB2312" w:eastAsia="仿宋_GB2312"/>
              </w:rPr>
              <w:t>38.0000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技术部分（技术方案）</w:t>
            </w:r>
          </w:p>
        </w:tc>
        <w:tc>
          <w:tcPr>
            <w:tcW w:type="dxa" w:w="2492"/>
          </w:tcPr>
          <w:p>
            <w:pPr>
              <w:pStyle w:val="null3"/>
            </w:pPr>
            <w:r>
              <w:rPr>
                <w:rFonts w:ascii="仿宋_GB2312" w:hAnsi="仿宋_GB2312" w:cs="仿宋_GB2312" w:eastAsia="仿宋_GB2312"/>
              </w:rPr>
              <w:t>方案紧密结合采购人业务需求及发展规划进行设计，整体技术方案论述清楚。 （1）方案设计合理，架构完整，层次清楚，切合本项目实际需求，得5-7分（不含5分）； （2）案设计合理，架构基本完整，层次基本清晰，基本满足本项目实际需求，有待加强，得2-5分（不含2分）； （3）方案设计简单，架构不够完善、层次模糊，有不足或缺陷，得0-2分； （4）未提供不得分。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技术部分（认证计费数据服务部分）</w:t>
            </w:r>
          </w:p>
        </w:tc>
        <w:tc>
          <w:tcPr>
            <w:tcW w:type="dxa" w:w="2492"/>
          </w:tcPr>
          <w:p>
            <w:pPr>
              <w:pStyle w:val="null3"/>
            </w:pPr>
            <w:r>
              <w:rPr>
                <w:rFonts w:ascii="仿宋_GB2312" w:hAnsi="仿宋_GB2312" w:cs="仿宋_GB2312" w:eastAsia="仿宋_GB2312"/>
              </w:rPr>
              <w:t>1.提供符合安全要求的移动端和PC端认证页面，认证界面可以定义修改，认证页面支持http和https一键切换管理，支持证书导入（并附功能截图证明的），得2分，未提供不得分； 2.提供认证计费系统支持用户管理、查询统计、系统运维、策略管理、设备管理、系统配置、用户自助服务等功能，支持可视化配置管理系统及用户自助服务系统的Logo、名称、版权信息、主题颜色等（并附功能截图证明的），得2分，未提供不得分； 3.提供用户登录成功页可在管理后台界面组合勾选显示各种信息内容，包括不限于：用户基本信息，在线记录、登录记录、充值记录等（并附功能证明截图的），得2分，未提供不得分； 4.提供IPv6 Ready第二阶段金牌认证证书，官网可查版本5.0.0以上（并附证明材料的），得2分，未提供不得分。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技术部分（DHCP服务部分）</w:t>
            </w:r>
          </w:p>
        </w:tc>
        <w:tc>
          <w:tcPr>
            <w:tcW w:type="dxa" w:w="2492"/>
          </w:tcPr>
          <w:p>
            <w:pPr>
              <w:pStyle w:val="null3"/>
            </w:pPr>
            <w:r>
              <w:rPr>
                <w:rFonts w:ascii="仿宋_GB2312" w:hAnsi="仿宋_GB2312" w:cs="仿宋_GB2312" w:eastAsia="仿宋_GB2312"/>
              </w:rPr>
              <w:t>1.提供与外部认证源联动后，DHCP分配日志报表可显示该IP对应的账号（并附功能截图证明的），得1分，未提供不得分； 2.提供DHCP服务须带有侦听分析识别IPv6 NDP报文功能，同时还能与IPv6路由器相同的路由通告发布前缀、RDDNS和网关等功能，使之能够完全取代IPv6路由器配合终端完成无状态地址自动配置（SLAAC）（并附功能截图证明的），得2分，未提供不得分。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 项目人员</w:t>
            </w:r>
          </w:p>
        </w:tc>
        <w:tc>
          <w:tcPr>
            <w:tcW w:type="dxa" w:w="2492"/>
          </w:tcPr>
          <w:p>
            <w:pPr>
              <w:pStyle w:val="null3"/>
            </w:pPr>
            <w:r>
              <w:rPr>
                <w:rFonts w:ascii="仿宋_GB2312" w:hAnsi="仿宋_GB2312" w:cs="仿宋_GB2312" w:eastAsia="仿宋_GB2312"/>
              </w:rPr>
              <w:t>1.拟派项目经理具有类似2年及以上相关从业经验并具备PMP证书或系统集成项目管理工程师（中级）或信息系统项目管理师（高级），得2分，未提供不得分； 2.拟派技术负责人具备系统集成项目管理工程师（中级）或信息系统项目管理师（高级），得2分，未提供不得分； 3.项目成员具有获得H3C CCIE/HUAWEI/CISCO高级网络认证工程师，提供得2分，未提供不得分。 4.项目成员具有计算机技术与软件专业技术资格中级及以上证书，提供得2分，未提供不得分。 5.项目成员具有中国信息安全测评中心认证的注册信息安全工程师，提供得2分，未提供不得分。 （注：项目成员指除项目经理、技术负责人以外的其他成员，同一人同时具有以上两项证书的不重复计分。）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1.供应商具通信工程施工总承包证书二级或以上，二级计1分，一级计2分； 2.供应商具有ISO9001 质量管理体系认证证书，计1分； 3.供应商具有ISO14001环境管理体系认证证书，计1分； 4.供应商具有ISO20000信息技术服务管理体系认证证书，计1分； 5.供应商具有ISO27001信息安全管理体系认证证书，计1分。 （注：以上任意一项证书未提供不得分。）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售后服务及承诺</w:t>
            </w:r>
          </w:p>
        </w:tc>
        <w:tc>
          <w:tcPr>
            <w:tcW w:type="dxa" w:w="2492"/>
          </w:tcPr>
          <w:p>
            <w:pPr>
              <w:pStyle w:val="null3"/>
            </w:pPr>
            <w:r>
              <w:rPr>
                <w:rFonts w:ascii="仿宋_GB2312" w:hAnsi="仿宋_GB2312" w:cs="仿宋_GB2312" w:eastAsia="仿宋_GB2312"/>
              </w:rPr>
              <w:t>供应商提供针对本项目的售后服务方案及相关承诺（包括但不限于用户现场服务响应时间、处理解决措施等） （1）售后服务方案内容详细具体、切实可行，承诺内容非常明确得5-7分（不含5分）； （2）售后服务方案内容简要，基本可行，承诺内容基本明确得2-5分（不含2分）； （3）售后服务方案内容粗略，可行性差，承诺内容不明确得0-2分； （4）未提供不得分。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供应商具有2020年1月1日至今同类项目业绩，每提供一个业绩得2分，满分6分。 注：附合同（或协议）扫描件。扫描件要求：至少含首页、双方签字盖章页、反映实施内容页、反映签署日期页。</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供应商业绩</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最后报价）为基准价，其价格分为满分（15分）。其他供应商的价格分统一按照下列公式计算：响应报价得分=(基准价／响应报价（最后报价）)×15分。 注：1、计算分数时四舍五入取小数点后两位；2、落实政府采购政策：详见采购文件。</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详见附件：供应商应提交的相关资格证明文件</w:t>
      </w:r>
    </w:p>
    <w:p>
      <w:pPr>
        <w:pStyle w:val="null3"/>
        <w:ind w:firstLine="960"/>
      </w:pPr>
      <w:r>
        <w:rPr>
          <w:rFonts w:ascii="仿宋_GB2312" w:hAnsi="仿宋_GB2312" w:cs="仿宋_GB2312" w:eastAsia="仿宋_GB2312"/>
        </w:rPr>
        <w:t>详见附件：法定代表人授权委托书或法定代表人证明书</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详见附件：供应商业绩</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