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版本号：SZT2024-SN-SC-ZC-HW-123020250227001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光谱成像路由制备设备采购项目(二次)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SZT2024-SN-SC-ZC-HW-1230</w:t>
      </w:r>
      <w:r>
        <w:br/>
      </w:r>
      <w:r>
        <w:br/>
      </w:r>
      <w:r>
        <w:br/>
      </w:r>
    </w:p>
    <w:p>
      <w:pPr>
        <w:pStyle w:val="null3"/>
        <w:jc w:val="center"/>
        <w:outlineLvl w:val="2"/>
      </w:pPr>
      <w:r>
        <w:rPr>
          <w:rFonts w:ascii="仿宋_GB2312" w:hAnsi="仿宋_GB2312" w:cs="仿宋_GB2312" w:eastAsia="仿宋_GB2312"/>
          <w:sz w:val="28"/>
          <w:b/>
        </w:rPr>
        <w:t>西安工业大学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西安工业大学</w:t>
      </w:r>
      <w:r>
        <w:rPr>
          <w:rFonts w:ascii="仿宋_GB2312" w:hAnsi="仿宋_GB2312" w:cs="仿宋_GB2312" w:eastAsia="仿宋_GB2312"/>
        </w:rPr>
        <w:t>委托，拟对</w:t>
      </w:r>
      <w:r>
        <w:rPr>
          <w:rFonts w:ascii="仿宋_GB2312" w:hAnsi="仿宋_GB2312" w:cs="仿宋_GB2312" w:eastAsia="仿宋_GB2312"/>
        </w:rPr>
        <w:t>光谱成像路由制备设备采购项目(二次)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SZT2024-SN-SC-ZC-HW-1230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光谱成像路由制备设备采购项目(二次)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本项目拟采购光谱成像路由制备设备一台，主要用于光谱滤光片的制备，以满足光谱芯片光谱路由的科学研究需求。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要求：法定代表人授权代表参加投标的，须出具法定代表人授权书及授权代表身份证（法定代表人直接参加投标的，须出具法定代表人身份证）。供应商需在项目电子化交易系统中按要求上传相应证明文件并进行电子签章。</w:t>
      </w:r>
    </w:p>
    <w:p>
      <w:pPr>
        <w:pStyle w:val="null3"/>
      </w:pPr>
      <w:r>
        <w:rPr>
          <w:rFonts w:ascii="仿宋_GB2312" w:hAnsi="仿宋_GB2312" w:cs="仿宋_GB2312" w:eastAsia="仿宋_GB2312"/>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p>
      <w:pPr>
        <w:pStyle w:val="null3"/>
      </w:pPr>
      <w:r>
        <w:rPr>
          <w:rFonts w:ascii="仿宋_GB2312" w:hAnsi="仿宋_GB2312" w:cs="仿宋_GB2312" w:eastAsia="仿宋_GB2312"/>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西安工业大学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未央区学府中路2号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西安工业大学经办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029-86173142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西安工业大学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西安工业大学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西安工业大学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本项目拟采购光谱成像路由制备设备一台，主要用于光谱滤光片的制备，以满足光谱芯片光谱路由的科学研究需求。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4,350,000.00</w:t>
      </w:r>
    </w:p>
    <w:p>
      <w:pPr>
        <w:pStyle w:val="null3"/>
      </w:pPr>
      <w:r>
        <w:rPr>
          <w:rFonts w:ascii="仿宋_GB2312" w:hAnsi="仿宋_GB2312" w:cs="仿宋_GB2312" w:eastAsia="仿宋_GB2312"/>
        </w:rPr>
        <w:t>采购包最高限价（元）: 4,350,000.00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西安工业大学光谱成像路由制备设备采购项目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标的名称：西安工业大学光谱成像路由制备设备采购项目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color w:val="000000"/>
              </w:rPr>
              <w:t>▲1、真空室尺寸≥直径1300mm。</w:t>
            </w:r>
          </w:p>
          <w:p>
            <w:pPr>
              <w:pStyle w:val="null3"/>
            </w:pPr>
            <w:r>
              <w:rPr>
                <w:rFonts w:ascii="仿宋_GB2312" w:hAnsi="仿宋_GB2312" w:cs="仿宋_GB2312" w:eastAsia="仿宋_GB2312"/>
                <w:sz w:val="21"/>
                <w:color w:val="000000"/>
              </w:rPr>
              <w:t>▲2、工件架尺寸≥直径1100mm。</w:t>
            </w:r>
          </w:p>
          <w:p>
            <w:pPr>
              <w:pStyle w:val="null3"/>
            </w:pPr>
            <w:r>
              <w:rPr>
                <w:rFonts w:ascii="仿宋_GB2312" w:hAnsi="仿宋_GB2312" w:cs="仿宋_GB2312" w:eastAsia="仿宋_GB2312"/>
                <w:sz w:val="21"/>
                <w:color w:val="000000"/>
              </w:rPr>
              <w:t>▲3、光学直接膜厚监控系统的光源波长为连续光源，波长范围为 400-1100nm。</w:t>
            </w:r>
          </w:p>
          <w:p>
            <w:pPr>
              <w:pStyle w:val="null3"/>
            </w:pPr>
            <w:r>
              <w:rPr>
                <w:rFonts w:ascii="仿宋_GB2312" w:hAnsi="仿宋_GB2312" w:cs="仿宋_GB2312" w:eastAsia="仿宋_GB2312"/>
                <w:sz w:val="21"/>
                <w:color w:val="000000"/>
              </w:rPr>
              <w:t>4、薄膜厚度晶体监控≥6点的晶控传感器。</w:t>
            </w:r>
          </w:p>
          <w:p>
            <w:pPr>
              <w:pStyle w:val="null3"/>
            </w:pPr>
            <w:r>
              <w:rPr>
                <w:rFonts w:ascii="仿宋_GB2312" w:hAnsi="仿宋_GB2312" w:cs="仿宋_GB2312" w:eastAsia="仿宋_GB2312"/>
                <w:sz w:val="21"/>
                <w:color w:val="000000"/>
              </w:rPr>
              <w:t>▲5、蒸发源：电子枪2套及以上，坩埚≥60mm；功率≥10kW，加速电压-4～-10kV可调；最大偏转角：≥±30°；扫描范围：X,Y轴；最大扫描频率≥1000Hz；最大偏转角度≥180°；阻蒸≥1组，功率≥5Kw。</w:t>
            </w:r>
          </w:p>
          <w:p>
            <w:pPr>
              <w:pStyle w:val="null3"/>
            </w:pPr>
            <w:r>
              <w:rPr>
                <w:rFonts w:ascii="仿宋_GB2312" w:hAnsi="仿宋_GB2312" w:cs="仿宋_GB2312" w:eastAsia="仿宋_GB2312"/>
                <w:sz w:val="21"/>
                <w:color w:val="000000"/>
              </w:rPr>
              <w:t>▲6、离子源:口径≥17cm的射频离子源；最大射频功率：≥900W；电子束流≥1200mA；加速电压：100V～1000V可调；射频中和器：最大射频功率≥300W（13.56MHz）；最大中和电流≥2000mA。</w:t>
            </w:r>
          </w:p>
          <w:p>
            <w:pPr>
              <w:pStyle w:val="null3"/>
            </w:pPr>
            <w:r>
              <w:rPr>
                <w:rFonts w:ascii="仿宋_GB2312" w:hAnsi="仿宋_GB2312" w:cs="仿宋_GB2312" w:eastAsia="仿宋_GB2312"/>
                <w:sz w:val="21"/>
                <w:color w:val="000000"/>
              </w:rPr>
              <w:t>7、排气系统：无油泵+干泵系统1套。</w:t>
            </w:r>
          </w:p>
          <w:p>
            <w:pPr>
              <w:pStyle w:val="null3"/>
            </w:pPr>
            <w:r>
              <w:rPr>
                <w:rFonts w:ascii="仿宋_GB2312" w:hAnsi="仿宋_GB2312" w:cs="仿宋_GB2312" w:eastAsia="仿宋_GB2312"/>
                <w:sz w:val="21"/>
                <w:color w:val="000000"/>
              </w:rPr>
              <w:t>8、加热温度：最高温度≥350℃；加热速度：45分钟温度≥300℃，温度均匀性优于300±10℃。</w:t>
            </w:r>
          </w:p>
          <w:p>
            <w:pPr>
              <w:pStyle w:val="null3"/>
            </w:pPr>
            <w:r>
              <w:rPr>
                <w:rFonts w:ascii="仿宋_GB2312" w:hAnsi="仿宋_GB2312" w:cs="仿宋_GB2312" w:eastAsia="仿宋_GB2312"/>
                <w:sz w:val="21"/>
                <w:color w:val="000000"/>
              </w:rPr>
              <w:t>9、镀膜盘架：公自转行星式。</w:t>
            </w:r>
          </w:p>
          <w:p>
            <w:pPr>
              <w:pStyle w:val="null3"/>
            </w:pPr>
            <w:r>
              <w:rPr>
                <w:rFonts w:ascii="仿宋_GB2312" w:hAnsi="仿宋_GB2312" w:cs="仿宋_GB2312" w:eastAsia="仿宋_GB2312"/>
                <w:sz w:val="21"/>
                <w:color w:val="000000"/>
              </w:rPr>
              <w:t>10、工作模式：电子束扫描蒸发，阻抗式热蒸发，光学监控和石英晶体薄膜厚度控制连用，具备膜厚自修正控制和自动判停功能。</w:t>
            </w:r>
          </w:p>
          <w:p>
            <w:pPr>
              <w:pStyle w:val="null3"/>
            </w:pPr>
            <w:r>
              <w:rPr>
                <w:rFonts w:ascii="仿宋_GB2312" w:hAnsi="仿宋_GB2312" w:cs="仿宋_GB2312" w:eastAsia="仿宋_GB2312"/>
                <w:sz w:val="21"/>
                <w:color w:val="000000"/>
              </w:rPr>
              <w:t>11、粗抽真空：从大气压到10Pa，10分钟以内；极限真空：低于7.0E-5Pa；恢复真空：15分钟之内达到1.3E-3Pa；漏气速率：＜9.0E-5Pa・m3/秒。</w:t>
            </w:r>
          </w:p>
          <w:p>
            <w:pPr>
              <w:pStyle w:val="null3"/>
            </w:pPr>
            <w:r>
              <w:rPr>
                <w:rFonts w:ascii="仿宋_GB2312" w:hAnsi="仿宋_GB2312" w:cs="仿宋_GB2312" w:eastAsia="仿宋_GB2312"/>
                <w:sz w:val="21"/>
                <w:color w:val="000000"/>
              </w:rPr>
              <w:t>▲12、蒸发源电子枪在连续使用24小时后，电流跳动≤3%。</w:t>
            </w:r>
          </w:p>
          <w:p>
            <w:pPr>
              <w:pStyle w:val="null3"/>
            </w:pPr>
            <w:r>
              <w:rPr>
                <w:rFonts w:ascii="仿宋_GB2312" w:hAnsi="仿宋_GB2312" w:cs="仿宋_GB2312" w:eastAsia="仿宋_GB2312"/>
                <w:sz w:val="21"/>
                <w:color w:val="000000"/>
              </w:rPr>
              <w:t>▲13、离子源的束斑均匀性≤5%。</w:t>
            </w:r>
          </w:p>
          <w:p>
            <w:pPr>
              <w:pStyle w:val="null3"/>
            </w:pPr>
            <w:r>
              <w:rPr>
                <w:rFonts w:ascii="仿宋_GB2312" w:hAnsi="仿宋_GB2312" w:cs="仿宋_GB2312" w:eastAsia="仿宋_GB2312"/>
                <w:sz w:val="21"/>
                <w:color w:val="000000"/>
              </w:rPr>
              <w:t>▲14、坩埚：环形式铜坩埚台，驱动方式：指定速度转动,转速范围可调，5～580 min/转；控制方式：旋转模式和固定模式可转换。</w:t>
            </w:r>
          </w:p>
          <w:p>
            <w:pPr>
              <w:pStyle w:val="null3"/>
            </w:pPr>
            <w:r>
              <w:rPr>
                <w:rFonts w:ascii="仿宋_GB2312" w:hAnsi="仿宋_GB2312" w:cs="仿宋_GB2312" w:eastAsia="仿宋_GB2312"/>
                <w:sz w:val="21"/>
                <w:color w:val="000000"/>
              </w:rPr>
              <w:t>▲15、镀膜控制系統：自动镀膜软件，具备溶料功能、镀膜功能、薄膜设计数据读入功能(匹配主流膜系设计软件)，过程数据记录功能等。</w:t>
            </w:r>
          </w:p>
          <w:p>
            <w:pPr>
              <w:pStyle w:val="null3"/>
            </w:pPr>
            <w:r>
              <w:rPr>
                <w:rFonts w:ascii="仿宋_GB2312" w:hAnsi="仿宋_GB2312" w:cs="仿宋_GB2312" w:eastAsia="仿宋_GB2312"/>
                <w:sz w:val="21"/>
                <w:color w:val="000000"/>
              </w:rPr>
              <w:t>16、控制系统：具备自动控制功能，至少具备真空系统自动控制，镀膜系统自动控制，远程控制等功能。</w:t>
            </w:r>
          </w:p>
          <w:p>
            <w:pPr>
              <w:pStyle w:val="null3"/>
            </w:pPr>
            <w:r>
              <w:rPr>
                <w:rFonts w:ascii="仿宋_GB2312" w:hAnsi="仿宋_GB2312" w:cs="仿宋_GB2312" w:eastAsia="仿宋_GB2312"/>
                <w:sz w:val="21"/>
                <w:color w:val="000000"/>
              </w:rPr>
              <w:t>17、反射监控；监控波长范围≥350-1100nm；测光方式：透射式/反射式；波长精度≤±1nm；波长再现性≤±0.25nm；稳定性≤±0.1%/10min；监控点范围分布：200mm-500mm可调。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交货日期：合同签订后90日内货到采购人指定地点；安装调试时间合同签订后90日内。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西安工业大学指定地点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进口设备：达到付款条件起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采购人15日内支付成交金额的100%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1、设备质保期（保修期）为 2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 达到付款条件起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 3、预付款保函（采购人要求）预付款保函期限：半年（根据采购人需要可以适当延长时限）。 预付款保函受益人：西安工业大学。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年度财务审计报告或开标前近12个月内的银行资信证明或财政部门认可的政府采购专业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法定代表人授权要求</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开标记录表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交货期是否响应</w:t>
            </w:r>
          </w:p>
        </w:tc>
        <w:tc>
          <w:tcPr>
            <w:tcW w:type="dxa" w:w="3322"/>
          </w:tcPr>
          <w:p>
            <w:pPr>
              <w:pStyle w:val="null3"/>
            </w:pPr>
            <w:r>
              <w:rPr>
                <w:rFonts w:ascii="仿宋_GB2312" w:hAnsi="仿宋_GB2312" w:cs="仿宋_GB2312" w:eastAsia="仿宋_GB2312"/>
              </w:rPr>
              <w:t>交货期是否按招标文件要求的各项节点响应</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安装期是否响应</w:t>
            </w:r>
          </w:p>
        </w:tc>
        <w:tc>
          <w:tcPr>
            <w:tcW w:type="dxa" w:w="3322"/>
          </w:tcPr>
          <w:p>
            <w:pPr>
              <w:pStyle w:val="null3"/>
            </w:pPr>
            <w:r>
              <w:rPr>
                <w:rFonts w:ascii="仿宋_GB2312" w:hAnsi="仿宋_GB2312" w:cs="仿宋_GB2312" w:eastAsia="仿宋_GB2312"/>
              </w:rPr>
              <w:t>安装期是否按招标文件要求的各项节点响应</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质保期是否响应</w:t>
            </w:r>
          </w:p>
        </w:tc>
        <w:tc>
          <w:tcPr>
            <w:tcW w:type="dxa" w:w="3322"/>
          </w:tcPr>
          <w:p>
            <w:pPr>
              <w:pStyle w:val="null3"/>
            </w:pPr>
            <w:r>
              <w:rPr>
                <w:rFonts w:ascii="仿宋_GB2312" w:hAnsi="仿宋_GB2312" w:cs="仿宋_GB2312" w:eastAsia="仿宋_GB2312"/>
              </w:rPr>
              <w:t>质保期是否按照招标文件的相关要求响应</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付款方式是否响应招标文件的要求</w:t>
            </w:r>
          </w:p>
        </w:tc>
        <w:tc>
          <w:tcPr>
            <w:tcW w:type="dxa" w:w="1661"/>
          </w:tcPr>
          <w:p>
            <w:pPr>
              <w:pStyle w:val="null3"/>
            </w:pPr>
            <w:r>
              <w:rPr>
                <w:rFonts w:ascii="仿宋_GB2312" w:hAnsi="仿宋_GB2312" w:cs="仿宋_GB2312" w:eastAsia="仿宋_GB2312"/>
              </w:rPr>
              <w:t>商务要求偏离表 开标记录表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投标保证金是否按要求缴纳</w:t>
            </w:r>
          </w:p>
        </w:tc>
        <w:tc>
          <w:tcPr>
            <w:tcW w:type="dxa" w:w="3322"/>
          </w:tcPr>
          <w:p>
            <w:pPr>
              <w:pStyle w:val="null3"/>
            </w:pPr>
            <w:r>
              <w:rPr>
                <w:rFonts w:ascii="仿宋_GB2312" w:hAnsi="仿宋_GB2312" w:cs="仿宋_GB2312" w:eastAsia="仿宋_GB2312"/>
              </w:rPr>
              <w:t>投标保证金是否按要求缴纳</w:t>
            </w:r>
          </w:p>
        </w:tc>
        <w:tc>
          <w:tcPr>
            <w:tcW w:type="dxa" w:w="1661"/>
          </w:tcPr>
          <w:p>
            <w:pPr>
              <w:pStyle w:val="null3"/>
            </w:pPr>
            <w:r>
              <w:rPr>
                <w:rFonts w:ascii="仿宋_GB2312" w:hAnsi="仿宋_GB2312" w:cs="仿宋_GB2312" w:eastAsia="仿宋_GB2312"/>
              </w:rPr>
              <w:t>商务要求偏离表 投标保证金缴纳凭证</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投标报价是否超过采购预算或最高限价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开标记录表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40分。结合规格、技术参数偏离表的响应证明材料，按招标文件内配置最低要求，带“▲”号指标项每出现1个负偏离扣4分，非“▲”号指标项每出现1个负偏离，扣1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w:t>
            </w:r>
          </w:p>
          <w:p>
            <w:pPr>
              <w:pStyle w:val="null3"/>
            </w:pPr>
            <w:r>
              <w:rPr>
                <w:rFonts w:ascii="仿宋_GB2312" w:hAnsi="仿宋_GB2312" w:cs="仿宋_GB2312" w:eastAsia="仿宋_GB2312"/>
              </w:rPr>
              <w:t>规格、技术参数偏离表</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选型方案全部满足采购需求，有质量保证承诺得4分；选型方案部分满足采购需求，有质量保证承诺得2分，未提供或选型导致严重负偏离得0分。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货物简要说明一览表</w:t>
            </w:r>
          </w:p>
          <w:p>
            <w:pPr>
              <w:pStyle w:val="null3"/>
            </w:pPr>
            <w:r>
              <w:rPr>
                <w:rFonts w:ascii="仿宋_GB2312" w:hAnsi="仿宋_GB2312" w:cs="仿宋_GB2312" w:eastAsia="仿宋_GB2312"/>
              </w:rPr>
              <w:t>供应商认为有必要说明的其他资料</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6分；实施方案组织合理，有较为详细的调配运输方案，进度保障措施可靠，基本能够保障项目时效性的得4分；实施方案组织基本合理，运输方案不够详尽，有一定的进度保障措施，具备保障项目时效性的承诺的得2分；未提供或无法证明可以达到时效要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服务承诺</w:t>
            </w:r>
          </w:p>
          <w:p>
            <w:pPr>
              <w:pStyle w:val="null3"/>
            </w:pPr>
            <w:r>
              <w:rPr>
                <w:rFonts w:ascii="仿宋_GB2312" w:hAnsi="仿宋_GB2312" w:cs="仿宋_GB2312" w:eastAsia="仿宋_GB2312"/>
              </w:rPr>
              <w:t>拟配备团队情况</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培训方案明确，培训内容完整，计划安排清晰可靠得6分；培训方案不够明确，培训内容基本完整，计划安排清晰得4分；培训内容较完整，计划安排基本清晰得2分；未提供或培训内容缺失得0分。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服务承诺</w:t>
            </w:r>
          </w:p>
          <w:p>
            <w:pPr>
              <w:pStyle w:val="null3"/>
            </w:pPr>
            <w:r>
              <w:rPr>
                <w:rFonts w:ascii="仿宋_GB2312" w:hAnsi="仿宋_GB2312" w:cs="仿宋_GB2312" w:eastAsia="仿宋_GB2312"/>
              </w:rPr>
              <w:t>拟配备团队情况</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p>
            <w:pPr>
              <w:pStyle w:val="null3"/>
            </w:pPr>
            <w:r>
              <w:rPr>
                <w:rFonts w:ascii="仿宋_GB2312" w:hAnsi="仿宋_GB2312" w:cs="仿宋_GB2312" w:eastAsia="仿宋_GB2312"/>
              </w:rPr>
              <w:t>服务承诺</w:t>
            </w:r>
          </w:p>
          <w:p>
            <w:pPr>
              <w:pStyle w:val="null3"/>
            </w:pPr>
            <w:r>
              <w:rPr>
                <w:rFonts w:ascii="仿宋_GB2312" w:hAnsi="仿宋_GB2312" w:cs="仿宋_GB2312" w:eastAsia="仿宋_GB2312"/>
              </w:rPr>
              <w:t>拟配备团队情况</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w:t>
            </w:r>
          </w:p>
          <w:p>
            <w:pPr>
              <w:pStyle w:val="null3"/>
            </w:pPr>
            <w:r>
              <w:rPr>
                <w:rFonts w:ascii="仿宋_GB2312" w:hAnsi="仿宋_GB2312" w:cs="仿宋_GB2312" w:eastAsia="仿宋_GB2312"/>
              </w:rPr>
              <w:t>供应商认为有必要说明的其他资料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提供2021年1月1日至今所投产品业绩（以合同签订时间为准），提供合同复印件（扫描件）加盖供应商公章，每份有效业绩计1分，最高得5分。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详见附件：开标记录表</w:t>
      </w:r>
    </w:p>
    <w:p>
      <w:pPr>
        <w:pStyle w:val="null3"/>
        <w:ind w:firstLine="960"/>
      </w:pPr>
      <w:r>
        <w:rPr>
          <w:rFonts w:ascii="仿宋_GB2312" w:hAnsi="仿宋_GB2312" w:cs="仿宋_GB2312" w:eastAsia="仿宋_GB2312"/>
        </w:rPr>
        <w:t>详见附件：商务要求偏离表</w:t>
      </w:r>
    </w:p>
    <w:p>
      <w:pPr>
        <w:pStyle w:val="null3"/>
        <w:ind w:firstLine="960"/>
      </w:pPr>
      <w:r>
        <w:rPr>
          <w:rFonts w:ascii="仿宋_GB2312" w:hAnsi="仿宋_GB2312" w:cs="仿宋_GB2312" w:eastAsia="仿宋_GB2312"/>
        </w:rPr>
        <w:t>详见附件：货物简要说明一览表</w:t>
      </w:r>
    </w:p>
    <w:p>
      <w:pPr>
        <w:pStyle w:val="null3"/>
        <w:ind w:firstLine="960"/>
      </w:pPr>
      <w:r>
        <w:rPr>
          <w:rFonts w:ascii="仿宋_GB2312" w:hAnsi="仿宋_GB2312" w:cs="仿宋_GB2312" w:eastAsia="仿宋_GB2312"/>
        </w:rPr>
        <w:t>详见附件：规格、技术参数偏离表</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详见附件：拟配备团队情况</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详见附件：供应商认为有必要说明的其他资料</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详见附件：项目业绩一览表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详见附件：进口设备采购协议（模板）20241223更新.docx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