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版本号：COCICC-ZJHQG-25020220250228001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陕西省泾惠渠灌区“十三五”续建配套与节水改造项目尾留工程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COCICC-ZJHQG-250202</w:t>
      </w:r>
      <w:r>
        <w:br/>
      </w:r>
      <w:r>
        <w:br/>
      </w:r>
      <w:r>
        <w:br/>
      </w:r>
    </w:p>
    <w:p>
      <w:pPr>
        <w:pStyle w:val="null3"/>
        <w:jc w:val="center"/>
        <w:outlineLvl w:val="2"/>
      </w:pPr>
      <w:r>
        <w:rPr>
          <w:rFonts w:ascii="仿宋_GB2312" w:hAnsi="仿宋_GB2312" w:cs="仿宋_GB2312" w:eastAsia="仿宋_GB2312"/>
          <w:sz w:val="28"/>
          <w:b/>
        </w:rPr>
        <w:t>陕西省泾惠渠灌溉中心</w:t>
      </w:r>
    </w:p>
    <w:p>
      <w:pPr>
        <w:pStyle w:val="null3"/>
        <w:jc w:val="center"/>
        <w:outlineLvl w:val="2"/>
      </w:pPr>
      <w:r>
        <w:rPr>
          <w:rFonts w:ascii="仿宋_GB2312" w:hAnsi="仿宋_GB2312" w:cs="仿宋_GB2312" w:eastAsia="仿宋_GB2312"/>
          <w:sz w:val="28"/>
          <w:b/>
        </w:rPr>
        <w:t>中海建国际建设咨询集团有限责任公司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中海建国际建设咨询集团有限责任公司</w:t>
      </w:r>
      <w:r>
        <w:rPr>
          <w:rFonts w:ascii="仿宋_GB2312" w:hAnsi="仿宋_GB2312" w:cs="仿宋_GB2312" w:eastAsia="仿宋_GB2312"/>
        </w:rPr>
        <w:t>（以下简称“代理机构”）受</w:t>
      </w:r>
      <w:r>
        <w:rPr>
          <w:rFonts w:ascii="仿宋_GB2312" w:hAnsi="仿宋_GB2312" w:cs="仿宋_GB2312" w:eastAsia="仿宋_GB2312"/>
        </w:rPr>
        <w:t>陕西省泾惠渠灌溉中心</w:t>
      </w:r>
      <w:r>
        <w:rPr>
          <w:rFonts w:ascii="仿宋_GB2312" w:hAnsi="仿宋_GB2312" w:cs="仿宋_GB2312" w:eastAsia="仿宋_GB2312"/>
        </w:rPr>
        <w:t>委托，拟对</w:t>
      </w:r>
      <w:r>
        <w:rPr>
          <w:rFonts w:ascii="仿宋_GB2312" w:hAnsi="仿宋_GB2312" w:cs="仿宋_GB2312" w:eastAsia="仿宋_GB2312"/>
        </w:rPr>
        <w:t>陕西省泾惠渠灌区“十三五”续建配套与节水改造项目尾留工程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COCICC-ZJHQG-250202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陕西省泾惠渠灌区“十三五”续建配套与节水改造项目尾留工程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三支渠道衬砌改造1.437km，改造建筑物11座（农桥2座，斗门8座，节制闸1座）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采购包1（陕西省泾惠渠灌区“十三五”续建配套与节水改造项目尾留工程）：属于专门面向中小企业采购。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1、企业资质：具备水利水电工程施工总承包三级（含三级）以上资质，并具有建设行政主管部门颁发的安全生产许可证。</w:t>
      </w:r>
    </w:p>
    <w:p>
      <w:pPr>
        <w:pStyle w:val="null3"/>
      </w:pPr>
      <w:r>
        <w:rPr>
          <w:rFonts w:ascii="仿宋_GB2312" w:hAnsi="仿宋_GB2312" w:cs="仿宋_GB2312" w:eastAsia="仿宋_GB2312"/>
        </w:rPr>
        <w:t>2、拟派项目经理（项目负责人）：具备水利水电工程二级（含二级）以上建造师注册证书，同时具有水利行政主管部门颁发的《安全生产考核合格证》且无不良信用记录、无在建工程（提供无不良记录、无在建工程承诺书）。</w:t>
      </w:r>
    </w:p>
    <w:p>
      <w:pPr>
        <w:pStyle w:val="null3"/>
      </w:pPr>
      <w:r>
        <w:rPr>
          <w:rFonts w:ascii="仿宋_GB2312" w:hAnsi="仿宋_GB2312" w:cs="仿宋_GB2312" w:eastAsia="仿宋_GB2312"/>
        </w:rPr>
        <w:t>3、技术负责人：为本单位在册，具备水利相关专业中级及以上职称，且无不良信用记录、无在建工程（提供无不良记录、无在建工程承诺书）。</w:t>
      </w:r>
    </w:p>
    <w:p>
      <w:pPr>
        <w:pStyle w:val="null3"/>
      </w:pPr>
      <w:r>
        <w:rPr>
          <w:rFonts w:ascii="仿宋_GB2312" w:hAnsi="仿宋_GB2312" w:cs="仿宋_GB2312" w:eastAsia="仿宋_GB2312"/>
        </w:rPr>
        <w:t>4、企业负责人及专职安全员：具有水利行政主管部门颁发的《安全生产考核合格证》。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陕西省泾惠渠灌溉中心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陕西省咸阳市三原县宴友思大街1号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029-32250209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中海建国际建设咨询集团有限责任公司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陕西省西安市二环南路西段154号易和蓝钻23层西侧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王雅薇 郭骐玮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029-88852536转6007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承包人在本签订合同前向发包人缴纳中标金额10%的履约担保，根据国务院办公厅《关于清理规范工程建设领域保证金的通知》（国办发【2016】49号）规定，在工程项目完工前，已经缴纳履约保证金的，施工过程结算时不再扣留质量保证金。工程完工证书颁发后14天内，承包人按实际结算投资的3%向发包人缴纳工程质量保证金。完工验收合格后一年为缺陷责任期，缺陷责任期满经发包人、承包人、监理三方联合检查，无质量缺陷，质量保证金在第1.1.4.5目约定的缺陷责任期（工程质量保修期）满后30个工作日内，发包人将质量保证金退还给承包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代理服务费收费标准：本项目采购代理服务费以成交价作为收费基数，按照国家计委 (计价格【2002】1980号)《招标代理服务收费管理暂行办法》规定的收费标准,参考市场行情,确定代理费用为2.0万元整。</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陕西省泾惠渠灌溉中心</w:t>
      </w:r>
      <w:r>
        <w:rPr>
          <w:rFonts w:ascii="仿宋_GB2312" w:hAnsi="仿宋_GB2312" w:cs="仿宋_GB2312" w:eastAsia="仿宋_GB2312"/>
        </w:rPr>
        <w:t>和</w:t>
      </w:r>
      <w:r>
        <w:rPr>
          <w:rFonts w:ascii="仿宋_GB2312" w:hAnsi="仿宋_GB2312" w:cs="仿宋_GB2312" w:eastAsia="仿宋_GB2312"/>
        </w:rPr>
        <w:t>中海建国际建设咨询集团有限责任公司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陕西省泾惠渠灌溉中心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中海建国际建设咨询集团有限责任公司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陕西省泾惠渠灌溉中心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中海建国际建设咨询集团有限责任公司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参照水利工程的验收规范标准进行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联系人：郭骐玮</w:t>
      </w:r>
    </w:p>
    <w:p>
      <w:pPr>
        <w:pStyle w:val="null3"/>
      </w:pPr>
      <w:r>
        <w:rPr>
          <w:rFonts w:ascii="仿宋_GB2312" w:hAnsi="仿宋_GB2312" w:cs="仿宋_GB2312" w:eastAsia="仿宋_GB2312"/>
        </w:rPr>
        <w:t>联系电话：029-88852536-6007</w:t>
      </w:r>
    </w:p>
    <w:p>
      <w:pPr>
        <w:pStyle w:val="null3"/>
      </w:pPr>
      <w:r>
        <w:rPr>
          <w:rFonts w:ascii="仿宋_GB2312" w:hAnsi="仿宋_GB2312" w:cs="仿宋_GB2312" w:eastAsia="仿宋_GB2312"/>
        </w:rPr>
        <w:t>地址：西安市雁塔区南二环西段154号易和蓝钻23楼西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2,390,000.00</w:t>
      </w:r>
    </w:p>
    <w:p>
      <w:pPr>
        <w:pStyle w:val="null3"/>
      </w:pPr>
      <w:r>
        <w:rPr>
          <w:rFonts w:ascii="仿宋_GB2312" w:hAnsi="仿宋_GB2312" w:cs="仿宋_GB2312" w:eastAsia="仿宋_GB2312"/>
        </w:rPr>
        <w:t>采购包最高限价（元）: 2,389,990.00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施工标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标的名称：施工标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b/>
              </w:rPr>
              <w:t>一、</w:t>
            </w:r>
            <w:r>
              <w:rPr>
                <w:rFonts w:ascii="仿宋_GB2312" w:hAnsi="仿宋_GB2312" w:cs="仿宋_GB2312" w:eastAsia="仿宋_GB2312"/>
                <w:b/>
              </w:rPr>
              <w:t>建设</w:t>
            </w:r>
            <w:r>
              <w:rPr>
                <w:rFonts w:ascii="仿宋_GB2312" w:hAnsi="仿宋_GB2312" w:cs="仿宋_GB2312" w:eastAsia="仿宋_GB2312"/>
                <w:b/>
              </w:rPr>
              <w:t>内容</w:t>
            </w:r>
          </w:p>
          <w:p>
            <w:pPr>
              <w:pStyle w:val="null3"/>
              <w:jc w:val="both"/>
            </w:pPr>
            <w:r>
              <w:rPr>
                <w:rFonts w:ascii="仿宋_GB2312" w:hAnsi="仿宋_GB2312" w:cs="仿宋_GB2312" w:eastAsia="仿宋_GB2312"/>
              </w:rPr>
              <w:t>三支渠道衬砌改造</w:t>
            </w:r>
            <w:r>
              <w:rPr>
                <w:rFonts w:ascii="仿宋_GB2312" w:hAnsi="仿宋_GB2312" w:cs="仿宋_GB2312" w:eastAsia="仿宋_GB2312"/>
              </w:rPr>
              <w:t>1.437km,改造建筑物11座（农桥2座，斗门8座，节制闸1座）。</w:t>
            </w:r>
          </w:p>
          <w:p>
            <w:pPr>
              <w:pStyle w:val="null3"/>
              <w:jc w:val="both"/>
            </w:pPr>
            <w:r>
              <w:rPr>
                <w:rFonts w:ascii="仿宋_GB2312" w:hAnsi="仿宋_GB2312" w:cs="仿宋_GB2312" w:eastAsia="仿宋_GB2312"/>
                <w:b/>
              </w:rPr>
              <w:t>二、工程技术标准及要求</w:t>
            </w:r>
          </w:p>
          <w:p>
            <w:pPr>
              <w:pStyle w:val="null3"/>
              <w:jc w:val="both"/>
            </w:pPr>
            <w:r>
              <w:rPr>
                <w:rFonts w:ascii="仿宋_GB2312" w:hAnsi="仿宋_GB2312" w:cs="仿宋_GB2312" w:eastAsia="仿宋_GB2312"/>
              </w:rPr>
              <w:t>1.本工程的施工过程和成果必须符合设计的图纸并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jc w:val="both"/>
            </w:pPr>
            <w:r>
              <w:rPr>
                <w:rFonts w:ascii="仿宋_GB2312" w:hAnsi="仿宋_GB2312" w:cs="仿宋_GB2312" w:eastAsia="仿宋_GB2312"/>
              </w:rPr>
              <w:t>2.本工程其他技术标准及要求执行现行规范和采购人实际需求。</w:t>
            </w:r>
          </w:p>
          <w:p>
            <w:pPr>
              <w:pStyle w:val="null3"/>
              <w:jc w:val="both"/>
            </w:pPr>
            <w:r>
              <w:rPr>
                <w:rFonts w:ascii="仿宋_GB2312" w:hAnsi="仿宋_GB2312" w:cs="仿宋_GB2312" w:eastAsia="仿宋_GB2312"/>
              </w:rPr>
              <w:t>3.在施工过程中，如果国家或有关部门颁布了新的技术部分标准或规范，则承包人应采用新的标准或规范进行施工。</w:t>
            </w:r>
          </w:p>
          <w:p>
            <w:pPr>
              <w:pStyle w:val="null3"/>
              <w:jc w:val="both"/>
            </w:pPr>
            <w:r>
              <w:rPr>
                <w:rFonts w:ascii="仿宋_GB2312" w:hAnsi="仿宋_GB2312" w:cs="仿宋_GB2312" w:eastAsia="仿宋_GB2312"/>
              </w:rPr>
              <w:t>4.采购人提供工程的施工方案和相关技术文件，是采购人现有的能被供应商利用的资料，采购人对供应商做出的任何推论、理解均不负责任。</w:t>
            </w:r>
          </w:p>
          <w:p>
            <w:pPr>
              <w:pStyle w:val="null3"/>
              <w:jc w:val="both"/>
            </w:pPr>
            <w:r>
              <w:rPr>
                <w:rFonts w:ascii="仿宋_GB2312" w:hAnsi="仿宋_GB2312" w:cs="仿宋_GB2312" w:eastAsia="仿宋_GB2312"/>
              </w:rPr>
              <w:t>5.供应商应先</w:t>
            </w:r>
            <w:r>
              <w:rPr>
                <w:rFonts w:ascii="仿宋_GB2312" w:hAnsi="仿宋_GB2312" w:cs="仿宋_GB2312" w:eastAsia="仿宋_GB2312"/>
              </w:rPr>
              <w:t>自行</w:t>
            </w:r>
            <w:r>
              <w:rPr>
                <w:rFonts w:ascii="仿宋_GB2312" w:hAnsi="仿宋_GB2312" w:cs="仿宋_GB2312" w:eastAsia="仿宋_GB2312"/>
              </w:rPr>
              <w:t>到工地踏勘以充分了解工地位置、地质情况、进出场道路、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jc w:val="both"/>
            </w:pPr>
            <w:r>
              <w:rPr>
                <w:rFonts w:ascii="仿宋_GB2312" w:hAnsi="仿宋_GB2312" w:cs="仿宋_GB2312" w:eastAsia="仿宋_GB2312"/>
                <w:b/>
              </w:rPr>
              <w:t>三</w:t>
            </w:r>
            <w:r>
              <w:rPr>
                <w:rFonts w:ascii="仿宋_GB2312" w:hAnsi="仿宋_GB2312" w:cs="仿宋_GB2312" w:eastAsia="仿宋_GB2312"/>
                <w:b/>
              </w:rPr>
              <w:t>、工</w:t>
            </w:r>
            <w:r>
              <w:rPr>
                <w:rFonts w:ascii="仿宋_GB2312" w:hAnsi="仿宋_GB2312" w:cs="仿宋_GB2312" w:eastAsia="仿宋_GB2312"/>
                <w:b/>
                <w:shd w:fill="FFFFFF" w:val="clear"/>
              </w:rPr>
              <w:t>期：</w:t>
            </w:r>
            <w:r>
              <w:rPr>
                <w:rFonts w:ascii="仿宋_GB2312" w:hAnsi="仿宋_GB2312" w:cs="仿宋_GB2312" w:eastAsia="仿宋_GB2312"/>
                <w:b/>
                <w:u w:val="single"/>
                <w:shd w:fill="FFFFFF" w:val="clear"/>
              </w:rPr>
              <w:t xml:space="preserve">    </w:t>
            </w:r>
            <w:r>
              <w:rPr>
                <w:rFonts w:ascii="仿宋_GB2312" w:hAnsi="仿宋_GB2312" w:cs="仿宋_GB2312" w:eastAsia="仿宋_GB2312"/>
                <w:b/>
                <w:u w:val="single"/>
                <w:shd w:fill="FFFFFF" w:val="clear"/>
              </w:rPr>
              <w:t xml:space="preserve">60      </w:t>
            </w:r>
            <w:r>
              <w:rPr>
                <w:rFonts w:ascii="仿宋_GB2312" w:hAnsi="仿宋_GB2312" w:cs="仿宋_GB2312" w:eastAsia="仿宋_GB2312"/>
                <w:b/>
                <w:shd w:fill="FFFFFF" w:val="clear"/>
              </w:rPr>
              <w:t>日历天</w:t>
            </w:r>
            <w:r>
              <w:rPr>
                <w:rFonts w:ascii="仿宋_GB2312" w:hAnsi="仿宋_GB2312" w:cs="仿宋_GB2312" w:eastAsia="仿宋_GB2312"/>
                <w:b/>
                <w:shd w:fill="FFFFFF" w:val="clear"/>
              </w:rPr>
              <w:t>。</w:t>
            </w:r>
          </w:p>
          <w:p>
            <w:pPr>
              <w:pStyle w:val="null3"/>
              <w:jc w:val="both"/>
            </w:pPr>
            <w:r>
              <w:rPr>
                <w:rFonts w:ascii="仿宋_GB2312" w:hAnsi="仿宋_GB2312" w:cs="仿宋_GB2312" w:eastAsia="仿宋_GB2312"/>
                <w:b/>
              </w:rPr>
              <w:t>四</w:t>
            </w:r>
            <w:r>
              <w:rPr>
                <w:rFonts w:ascii="仿宋_GB2312" w:hAnsi="仿宋_GB2312" w:cs="仿宋_GB2312" w:eastAsia="仿宋_GB2312"/>
                <w:b/>
              </w:rPr>
              <w:t>、</w:t>
            </w:r>
            <w:r>
              <w:rPr>
                <w:rFonts w:ascii="仿宋_GB2312" w:hAnsi="仿宋_GB2312" w:cs="仿宋_GB2312" w:eastAsia="仿宋_GB2312"/>
                <w:b/>
              </w:rPr>
              <w:t>验收</w:t>
            </w:r>
            <w:r>
              <w:rPr>
                <w:rFonts w:ascii="仿宋_GB2312" w:hAnsi="仿宋_GB2312" w:cs="仿宋_GB2312" w:eastAsia="仿宋_GB2312"/>
                <w:b/>
              </w:rPr>
              <w:t>：</w:t>
            </w:r>
          </w:p>
          <w:p>
            <w:pPr>
              <w:pStyle w:val="null3"/>
              <w:jc w:val="both"/>
            </w:pPr>
            <w:r>
              <w:rPr>
                <w:rFonts w:ascii="仿宋_GB2312" w:hAnsi="仿宋_GB2312" w:cs="仿宋_GB2312" w:eastAsia="仿宋_GB2312"/>
              </w:rPr>
              <w:t>(1)</w:t>
            </w:r>
            <w:r>
              <w:rPr>
                <w:rFonts w:ascii="仿宋_GB2312" w:hAnsi="仿宋_GB2312" w:cs="仿宋_GB2312" w:eastAsia="仿宋_GB2312"/>
              </w:rPr>
              <w:t>参照水利工程的验收规范标准进行。</w:t>
            </w:r>
          </w:p>
          <w:p>
            <w:pPr>
              <w:pStyle w:val="null3"/>
              <w:jc w:val="both"/>
            </w:pPr>
            <w:r>
              <w:rPr>
                <w:rFonts w:ascii="仿宋_GB2312" w:hAnsi="仿宋_GB2312" w:cs="仿宋_GB2312" w:eastAsia="仿宋_GB2312"/>
              </w:rPr>
              <w:t>在施工过程中，</w:t>
            </w:r>
            <w:r>
              <w:rPr>
                <w:rFonts w:ascii="仿宋_GB2312" w:hAnsi="仿宋_GB2312" w:cs="仿宋_GB2312" w:eastAsia="仿宋_GB2312"/>
              </w:rPr>
              <w:t>采购人同有关人员将对施工过程中的隐蔽工程、材料进行全过程监督验收。</w:t>
            </w:r>
          </w:p>
          <w:p>
            <w:pPr>
              <w:pStyle w:val="null3"/>
              <w:jc w:val="both"/>
            </w:pPr>
            <w:r>
              <w:rPr>
                <w:rFonts w:ascii="仿宋_GB2312" w:hAnsi="仿宋_GB2312" w:cs="仿宋_GB2312" w:eastAsia="仿宋_GB2312"/>
              </w:rPr>
              <w:t>(2) 竣工验收：中标单位按国家工程竣工验收有关规定，向采购人提供完整竣工资料及竣工验收报告； 采购人收到竣工验收报告后组织有关单位验收，验收合格后予以认可或提出修改意见；中标单位按要求修改， 并承担由自身原因造成的修改费用；工程竣工验收通过后，中标单位送交竣工验收报告日期为实际竣工日期；采购人要求修改后通过竣工验收的，实际竣工日期为中标单位修改后提请验收的日期。</w:t>
            </w:r>
          </w:p>
          <w:p>
            <w:pPr>
              <w:pStyle w:val="null3"/>
              <w:jc w:val="both"/>
            </w:pPr>
            <w:r>
              <w:rPr>
                <w:rFonts w:ascii="仿宋_GB2312" w:hAnsi="仿宋_GB2312" w:cs="仿宋_GB2312" w:eastAsia="仿宋_GB2312"/>
              </w:rPr>
              <w:t>(3)验收不合格的中标单位，必须在接到通知后按要求进行修改与完善，不执行者须赔偿采购人的损失。</w:t>
            </w:r>
          </w:p>
          <w:p>
            <w:pPr>
              <w:pStyle w:val="null3"/>
              <w:jc w:val="both"/>
            </w:pPr>
            <w:r>
              <w:rPr>
                <w:rFonts w:ascii="仿宋_GB2312" w:hAnsi="仿宋_GB2312" w:cs="仿宋_GB2312" w:eastAsia="仿宋_GB2312"/>
                <w:b/>
              </w:rPr>
              <w:t>五</w:t>
            </w:r>
            <w:r>
              <w:rPr>
                <w:rFonts w:ascii="仿宋_GB2312" w:hAnsi="仿宋_GB2312" w:cs="仿宋_GB2312" w:eastAsia="仿宋_GB2312"/>
                <w:b/>
              </w:rPr>
              <w:t>、报价要求</w:t>
            </w:r>
          </w:p>
          <w:p>
            <w:pPr>
              <w:pStyle w:val="null3"/>
              <w:jc w:val="both"/>
            </w:pPr>
            <w:r>
              <w:rPr>
                <w:rFonts w:ascii="仿宋_GB2312" w:hAnsi="仿宋_GB2312" w:cs="仿宋_GB2312" w:eastAsia="仿宋_GB2312"/>
              </w:rPr>
              <w:t>1.供应商应充分考虑磋商文件的各项条款和所掌握的市场情况及本工程的实际情况，且应根据企业自身情况自主做出填报总价及单价。</w:t>
            </w:r>
          </w:p>
          <w:p>
            <w:pPr>
              <w:pStyle w:val="null3"/>
              <w:jc w:val="both"/>
            </w:pPr>
            <w:r>
              <w:rPr>
                <w:rFonts w:ascii="仿宋_GB2312" w:hAnsi="仿宋_GB2312" w:cs="仿宋_GB2312" w:eastAsia="仿宋_GB2312"/>
              </w:rPr>
              <w:t>2.所有材料必须使用合格产品，磋商文件如对材料的材质、品牌等有明确要求的，不得变更相关要求，使用前应当由采购人认质确认后方可投入使用。工程施工完毕后需对施工场地进行保洁，保洁标准达到采购人要求。</w:t>
            </w:r>
          </w:p>
          <w:p>
            <w:pPr>
              <w:pStyle w:val="null3"/>
              <w:jc w:val="both"/>
            </w:pPr>
            <w:r>
              <w:rPr>
                <w:rFonts w:ascii="仿宋_GB2312" w:hAnsi="仿宋_GB2312" w:cs="仿宋_GB2312" w:eastAsia="仿宋_GB2312"/>
              </w:rPr>
              <w:t>3.最终报价只报总价，供应商最终报价较首次报价降价的，成交后，签订合同时应按照成交价较首次报价的下浮比率修改分项报价表中的相应报价。</w:t>
            </w:r>
          </w:p>
          <w:p>
            <w:pPr>
              <w:pStyle w:val="null3"/>
              <w:jc w:val="both"/>
            </w:pPr>
            <w:r>
              <w:rPr>
                <w:rFonts w:ascii="仿宋_GB2312" w:hAnsi="仿宋_GB2312" w:cs="仿宋_GB2312" w:eastAsia="仿宋_GB2312"/>
                <w:sz w:val="21"/>
              </w:rPr>
              <w:t>4.要求的其他相关费用以本磋商文件的内容和要求作为磋商响应依据。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工程质量符合国家现行有关施工质量验收规范要求“合格”标准，缺陷责任期（工程质量保修期）：工程完工验收合格后 1 年。</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满足磋商文件、工程量清单、图纸要求（详见附件）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2、需要落实的政府采购政策：（1）、《国务院办公厅关于建立政府强制采购节能产品制度的通知》（国办发 〔2007〕51号）；（2）、《财政部 司法部关于政府采购支持监狱企业发展有关问题的通知》（财库〔2014〕68号）；（3）、《三部门联合发布关于促进残疾人就业政府采购政策的通知》（财库〔2017〕141号）；（4）、《财政部 发展改革 委 生态环境部 市场监管总局关于调整优化节能产品、环境标志产品政府采购执行机制的通知》（财库〔2019〕9号）；（5）、《关于运用政府采购政策支持乡村产业振兴的通知》（财库〔2021〕19号）；（6）、《政府采购促进中小企业发展 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2、投标人需要在线提交所有通过电子化交易平台实施的政府采购项目的投标文件，同时，线下提交投标文件正本壹份、副本肆份、电子版壹套（U盘一套标明投标人名称，随正本密封，电子版内容：投标文件签字盖章的扫描PDF版及Word版））。若电子投标文件与纸质投标文件不一致的，以线上提交的电子投标文件为准。线下提交投标文件截止时间：同线上递交截止时间（北京时间）线下提交投标文件地点：西安市二环南路西段154号易和蓝钻23层西侧；联系电话：029-88852536-6007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3、提供参加政府采购活动前三年内，在经营活动中没有重大违法记录书面声明（需单独承诺）； 4、提供具有履行合同所必需的设备和专业技术能力的承诺书（需单独承诺）； 供应商需在项目电子化交易系统中按要求填写《响应函》完成承诺并进行电子签章。 5、投标人不得为“信用中国(www.creditchina.gov.cn)”中列入失信被执行人和重大税收违法案件当事人名单的投标人，不得为“ 中国政府采购网(www.ccgp.gov.cn)” 政府采购严重违法失信行为记录名单中被财政部门禁止参加政府采购活动的投标人（采购代理机构查询，采购代理机构查询时限为投标文件递交截止之日）。 6.非联合体投标,提供非联合体投标声明。</w:t>
            </w:r>
          </w:p>
        </w:tc>
        <w:tc>
          <w:tcPr>
            <w:tcW w:type="dxa" w:w="1661"/>
          </w:tcPr>
          <w:p>
            <w:pPr>
              <w:pStyle w:val="null3"/>
            </w:pPr>
            <w:r>
              <w:rPr>
                <w:rFonts w:ascii="仿宋_GB2312" w:hAnsi="仿宋_GB2312" w:cs="仿宋_GB2312" w:eastAsia="仿宋_GB2312"/>
              </w:rPr>
              <w:t>响应文件封面 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1、提供2023年度的财务审计报告（成立时间至提交投标文件截止时间不足一年的可提供成立后任意时段的资产负债表）或其基本存款账户开户银行出具的资信证明及基本存款账户开户许可证或基本账户存款信息。 2、提供投标截止日前一年内已缴纳的至少三个月的纳税证明或完税证明（任意税种），依法免税的单位应提供相关证明材料； 3、提供投标截止日前一年内已缴存的至少三个月的社会保障资金缴存单据或社保机构开具的社会保险参保缴费情况证明，依法不需要缴纳社会保障资金的单位应提供相关证明材料。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具备水利水电工程施工总承包三级（含三级）以上资质，并具有建设行政主管部门颁发的安全生产许可证。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拟派项目经理（项目负责人）</w:t>
            </w:r>
          </w:p>
        </w:tc>
        <w:tc>
          <w:tcPr>
            <w:tcW w:type="dxa" w:w="3322"/>
          </w:tcPr>
          <w:p>
            <w:pPr>
              <w:pStyle w:val="null3"/>
            </w:pPr>
            <w:r>
              <w:rPr>
                <w:rFonts w:ascii="仿宋_GB2312" w:hAnsi="仿宋_GB2312" w:cs="仿宋_GB2312" w:eastAsia="仿宋_GB2312"/>
              </w:rPr>
              <w:t>具备水利水电工程二级（含二级）以上建造师注册证书，同时具有水利行政主管部门颁发的《安全生产考核合格证》且无不良信用记录、无在建工程（提供无不良记录、无在建工程承诺书）。</w:t>
            </w:r>
          </w:p>
        </w:tc>
        <w:tc>
          <w:tcPr>
            <w:tcW w:type="dxa" w:w="1661"/>
          </w:tcPr>
          <w:p>
            <w:pPr>
              <w:pStyle w:val="null3"/>
            </w:pPr>
            <w:r>
              <w:rPr>
                <w:rFonts w:ascii="仿宋_GB2312" w:hAnsi="仿宋_GB2312" w:cs="仿宋_GB2312" w:eastAsia="仿宋_GB2312"/>
              </w:rPr>
              <w:t>项目组织机构.docx 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为本单位在册，具备水利相关专业中级及以上职称，且无不良信用记录、无在建工程（提供无不良记录、无在建工程承诺书）。</w:t>
            </w:r>
          </w:p>
        </w:tc>
        <w:tc>
          <w:tcPr>
            <w:tcW w:type="dxa" w:w="1661"/>
          </w:tcPr>
          <w:p>
            <w:pPr>
              <w:pStyle w:val="null3"/>
            </w:pPr>
            <w:r>
              <w:rPr>
                <w:rFonts w:ascii="仿宋_GB2312" w:hAnsi="仿宋_GB2312" w:cs="仿宋_GB2312" w:eastAsia="仿宋_GB2312"/>
              </w:rPr>
              <w:t>项目组织机构.docx 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企业负责人及专职安全员</w:t>
            </w:r>
          </w:p>
        </w:tc>
        <w:tc>
          <w:tcPr>
            <w:tcW w:type="dxa" w:w="3322"/>
          </w:tcPr>
          <w:p>
            <w:pPr>
              <w:pStyle w:val="null3"/>
            </w:pPr>
            <w:r>
              <w:rPr>
                <w:rFonts w:ascii="仿宋_GB2312" w:hAnsi="仿宋_GB2312" w:cs="仿宋_GB2312" w:eastAsia="仿宋_GB2312"/>
              </w:rPr>
              <w:t>具有水利行政主管部门颁发的《安全生产考核合格证》。</w:t>
            </w:r>
          </w:p>
        </w:tc>
        <w:tc>
          <w:tcPr>
            <w:tcW w:type="dxa" w:w="1661"/>
          </w:tcPr>
          <w:p>
            <w:pPr>
              <w:pStyle w:val="null3"/>
            </w:pPr>
            <w:r>
              <w:rPr>
                <w:rFonts w:ascii="仿宋_GB2312" w:hAnsi="仿宋_GB2312" w:cs="仿宋_GB2312" w:eastAsia="仿宋_GB2312"/>
              </w:rPr>
              <w:t>项目组织机构.docx 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供应商应提供的资格证明文件.docx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工程质量及保修期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技术服务合同条款及其他商务要求应答表.docx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强制优先采购产品承诺函.pdf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内容完整、有一定深度得4分；一般得2分；差得0分。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方案技术先进，措施全面，具有针对性且无盲点区域得15分；方案基本可行得8~15分（不含）；方案可行性及措施较差得0~8分（不含）。</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目标明确，管理体系健全，职责明确，预控和动态控制措施完整，实施手段先进可靠，组织措施功能完善、管理幅度适宜，得5分；目标基本明确，控制措施基本全面得2~5分（不含）；质量管理体系与控制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健全，事故预防和动态控制措施及制度完整到位，组织措施功能完善可靠，得5分；安全管理、事故防控体系与控制措施基本全面得2~5分（不含）；安全管理、事故防控体系与控制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环境保护、水土保持保证体系及保证措施</w:t>
            </w:r>
          </w:p>
        </w:tc>
        <w:tc>
          <w:tcPr>
            <w:tcW w:type="dxa" w:w="2492"/>
          </w:tcPr>
          <w:p>
            <w:pPr>
              <w:pStyle w:val="null3"/>
            </w:pPr>
            <w:r>
              <w:rPr>
                <w:rFonts w:ascii="仿宋_GB2312" w:hAnsi="仿宋_GB2312" w:cs="仿宋_GB2312" w:eastAsia="仿宋_GB2312"/>
              </w:rPr>
              <w:t>环境保护、水土保持管理体系健全，预防和动态控制措施及制度完整到位，组织措施功能完善可靠，得5分；环境保护管理体系与控制措施基本全面得2~5分（不含）；环境保护管理体系与控制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总工期满足要求，施工进度、节点工期安排合理，进度计划网络图或横道图完善者得5分；施工进度、节点工期安排基本合理，进度计划网络图或横道图较完善者得2~5分（不含）；安排合理性较差、进度计划网络图或横道图有严重问题者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施工设备、试验检测仪器设备、劳动力、资金等配备计划科学合理，资源充足，满足施工要求得5分；配备计划基本合理，资源基本充足，基本满足施工要求得2~5分（不含）；资源配置较差得0~2分（不含）。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文明施工计划与措施</w:t>
            </w:r>
          </w:p>
        </w:tc>
        <w:tc>
          <w:tcPr>
            <w:tcW w:type="dxa" w:w="2492"/>
          </w:tcPr>
          <w:p>
            <w:pPr>
              <w:pStyle w:val="null3"/>
            </w:pPr>
            <w:r>
              <w:rPr>
                <w:rFonts w:ascii="仿宋_GB2312" w:hAnsi="仿宋_GB2312" w:cs="仿宋_GB2312" w:eastAsia="仿宋_GB2312"/>
              </w:rPr>
              <w:t>文明施工计划安排合理，组织措施功能完善可靠，得5分；文明施工计划与措施基本合理，得2~5分（不含）；文明施工计划与措施较差，得0~2分（不含）。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近5年内具有类似水利工程施工经历且担任过一项项目经理得1分，每多一项加0.5分，满分1.5分。 项目经理业绩的认定：提供的相关证明材料复印件（中标通知书或合同协议书或中标结果公示截图或陕西省水利建设市场主体信用信息管理平台网页截图等）应体现其担任项目经理，否则不予认定。</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1、具有水利类高级职称得1分； 2、近5年内具有类似水利工程施工管理经历得0.5分； 两项合计最高得1.5分。 技术负责人业绩的认定：提供的相关证明材料复印件（中标通知书或合同协议书或中标结果公示截图或陕西省水利建设市场主体信用信息管理平台网页截图等），否则不予认定。</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项目组织机构.docx</w:t>
            </w:r>
          </w:p>
        </w:tc>
      </w:tr>
      <w:tr>
        <w:tc>
          <w:tcPr>
            <w:tcW w:type="dxa" w:w="831"/>
            <w:vMerge/>
          </w:tcPr>
          <w:p/>
        </w:tc>
        <w:tc>
          <w:tcPr>
            <w:tcW w:type="dxa" w:w="1661"/>
          </w:tcPr>
          <w:p>
            <w:pPr>
              <w:pStyle w:val="null3"/>
            </w:pPr>
            <w:r>
              <w:rPr>
                <w:rFonts w:ascii="仿宋_GB2312" w:hAnsi="仿宋_GB2312" w:cs="仿宋_GB2312" w:eastAsia="仿宋_GB2312"/>
              </w:rPr>
              <w:t>配备有施工员、质检员、材料员等管理人员</w:t>
            </w:r>
          </w:p>
        </w:tc>
        <w:tc>
          <w:tcPr>
            <w:tcW w:type="dxa" w:w="2492"/>
          </w:tcPr>
          <w:p>
            <w:pPr>
              <w:pStyle w:val="null3"/>
            </w:pPr>
            <w:r>
              <w:rPr>
                <w:rFonts w:ascii="仿宋_GB2312" w:hAnsi="仿宋_GB2312" w:cs="仿宋_GB2312" w:eastAsia="仿宋_GB2312"/>
              </w:rPr>
              <w:t>施工员、质检员、材料员、资料员、造价人员、安全员配备齐全且具备相应证件齐全得5分，缺一人扣1分。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投标人近五年承建过类似水利工程每1项得1分，最高得6分； 提供的相关证明材料复印件（中标通知书或合同协议书或中标结果公示截图或陕西省水利建设市场主体信用信息管理平台网页截图等）注：提供合同复印件，至少包括封面、关键页、盖章页。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1、近三年（2021~2023年）财务状况均良好，不提供不得分，此项最高1.5分。提供近3年审计报告，成立时间不足3年的可提供成立以来的审计报告或财务报告。 2、投标人承诺提供流动资金在100万元以上得0.5分，否则不得分。提供承诺及证明资料。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评标基准价计算方法：有效投标报价中报价最低的为评标基准价； 在评标基准价确定之前，应按有关规定对所有投标文件的工程量清单进行核对，对算术错误进行修正得到评标报价。 总报价得分的计算：投标总价为评标基准价时得35分，其他投标报价=评标基准价/投标报价×35。 因本项目专门面向中小企业，不再进行小微企业价格扣除</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详见附件：强制优先采购产品承诺函.pdf</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详见附件：合同范本-陕西省泾惠渠灌区“十三五”续建配套与节水改造项目尾留工程.docx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