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版本号：SXGLZFCG2025-008号20250312001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操场提升项目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SXGLZFCG2025-008号</w:t>
      </w:r>
      <w:r>
        <w:br/>
      </w:r>
      <w:r>
        <w:br/>
      </w:r>
      <w:r>
        <w:br/>
      </w:r>
    </w:p>
    <w:p>
      <w:pPr>
        <w:pStyle w:val="null3"/>
        <w:jc w:val="center"/>
        <w:outlineLvl w:val="2"/>
      </w:pPr>
      <w:r>
        <w:rPr>
          <w:rFonts w:ascii="仿宋_GB2312" w:hAnsi="仿宋_GB2312" w:cs="仿宋_GB2312" w:eastAsia="仿宋_GB2312"/>
          <w:sz w:val="28"/>
          <w:b/>
        </w:rPr>
        <w:t>陕西省建材技工学校</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陕西省建材技工学校</w:t>
      </w:r>
      <w:r>
        <w:rPr>
          <w:rFonts w:ascii="仿宋_GB2312" w:hAnsi="仿宋_GB2312" w:cs="仿宋_GB2312" w:eastAsia="仿宋_GB2312"/>
        </w:rPr>
        <w:t>委托，拟对</w:t>
      </w:r>
      <w:r>
        <w:rPr>
          <w:rFonts w:ascii="仿宋_GB2312" w:hAnsi="仿宋_GB2312" w:cs="仿宋_GB2312" w:eastAsia="仿宋_GB2312"/>
        </w:rPr>
        <w:t>操场提升项目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SXGLZFCG2025-008号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操场提升项目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操场提升项目，具体内容详见磋商文件及工程量清单。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采购包1（陕西省建材技工学校操场提升项目）：属于专门面向小微企业采购。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1、合格供应商：具有独立承担民事责任能力的法人、其他组织或自然人，并出具合法有效的营业执 照或事业单位法人证书等国家规定的相关证明， 自然人参与的提供其身份证明</w:t>
      </w:r>
    </w:p>
    <w:p>
      <w:pPr>
        <w:pStyle w:val="null3"/>
      </w:pPr>
      <w:r>
        <w:rPr>
          <w:rFonts w:ascii="仿宋_GB2312" w:hAnsi="仿宋_GB2312" w:cs="仿宋_GB2312" w:eastAsia="仿宋_GB2312"/>
        </w:rPr>
        <w:t>2、法人身份证明或授权委托书：法定代表人参加磋商须出具法定代表人身份证明（并附有效证件），被授权代理人 参加磋商须出具法定代表人授权书及被授权人有效证件</w:t>
      </w:r>
    </w:p>
    <w:p>
      <w:pPr>
        <w:pStyle w:val="null3"/>
      </w:pPr>
      <w:r>
        <w:rPr>
          <w:rFonts w:ascii="仿宋_GB2312" w:hAnsi="仿宋_GB2312" w:cs="仿宋_GB2312" w:eastAsia="仿宋_GB2312"/>
        </w:rPr>
        <w:t>3、企业资质：具备省级及以上建筑主管部门颁发的建筑工程施工总承包三级（含三级）以上资质，并具备企业的安全生产许可证，且均在有效期内</w:t>
      </w:r>
    </w:p>
    <w:p>
      <w:pPr>
        <w:pStyle w:val="null3"/>
      </w:pPr>
      <w:r>
        <w:rPr>
          <w:rFonts w:ascii="仿宋_GB2312" w:hAnsi="仿宋_GB2312" w:cs="仿宋_GB2312" w:eastAsia="仿宋_GB2312"/>
        </w:rPr>
        <w:t>4、拟派项目负责人资质和专业要求：证书等级：注册建造师二级（含二级）以上执业资格，且在有效期内 专业：建筑工程 补充说明：并具备有效的安全生产考核证书</w:t>
      </w:r>
    </w:p>
    <w:p>
      <w:pPr>
        <w:pStyle w:val="null3"/>
      </w:pPr>
      <w:r>
        <w:rPr>
          <w:rFonts w:ascii="仿宋_GB2312" w:hAnsi="仿宋_GB2312" w:cs="仿宋_GB2312" w:eastAsia="仿宋_GB2312"/>
        </w:rPr>
        <w:t>5、供应商信誉：供应商不得为“信用中国” 网站（www.creditchina.gov.cn）中列入失信被执行人 和重大税收违法失信主体名单的供应商，不得为中国政府采购网（www.ccgp.go v.cn）政府采购严重违法失信行为记录名单中被财政部门禁止参加政府采购活动的 供应商</w:t>
      </w:r>
    </w:p>
    <w:p>
      <w:pPr>
        <w:pStyle w:val="null3"/>
      </w:pPr>
      <w:r>
        <w:rPr>
          <w:rFonts w:ascii="仿宋_GB2312" w:hAnsi="仿宋_GB2312" w:cs="仿宋_GB2312" w:eastAsia="仿宋_GB2312"/>
        </w:rPr>
        <w:t>6、财务状况报告：供应商提供2023年财务审计报告(成立时间至提交响应文件截止时间不足一年的可提供成立后任意时段的资产负债表)，或其基本存款账户开户银行出具的资信或资金证明(复印件加盖供应商公章)</w:t>
      </w:r>
    </w:p>
    <w:p>
      <w:pPr>
        <w:pStyle w:val="null3"/>
      </w:pPr>
      <w:r>
        <w:rPr>
          <w:rFonts w:ascii="仿宋_GB2312" w:hAnsi="仿宋_GB2312" w:cs="仿宋_GB2312" w:eastAsia="仿宋_GB2312"/>
        </w:rPr>
        <w:t>7、承诺：具有履行合同所必需的设备和专业技术能力，提供证明材料或书面承诺并加盖公章</w:t>
      </w:r>
    </w:p>
    <w:p>
      <w:pPr>
        <w:pStyle w:val="null3"/>
      </w:pPr>
      <w:r>
        <w:rPr>
          <w:rFonts w:ascii="仿宋_GB2312" w:hAnsi="仿宋_GB2312" w:cs="仿宋_GB2312" w:eastAsia="仿宋_GB2312"/>
        </w:rPr>
        <w:t>8、声明：参加政府采购活动近三年内，在经营活动中没有重大违法记录，提供书面声明</w:t>
      </w:r>
    </w:p>
    <w:p>
      <w:pPr>
        <w:pStyle w:val="null3"/>
      </w:pPr>
      <w:r>
        <w:rPr>
          <w:rFonts w:ascii="仿宋_GB2312" w:hAnsi="仿宋_GB2312" w:cs="仿宋_GB2312" w:eastAsia="仿宋_GB2312"/>
        </w:rPr>
        <w:t>9、税收缴纳证明：提供响应文件递交截止时间前6个月内任意1个月已缴纳完税凭证（任意税种）或税 务机关开具的完税证明（任意税种）</w:t>
      </w:r>
    </w:p>
    <w:p>
      <w:pPr>
        <w:pStyle w:val="null3"/>
      </w:pPr>
      <w:r>
        <w:rPr>
          <w:rFonts w:ascii="仿宋_GB2312" w:hAnsi="仿宋_GB2312" w:cs="仿宋_GB2312" w:eastAsia="仿宋_GB2312"/>
        </w:rPr>
        <w:t>10、社会保障资金缴纳证明：提供响应文件递交截止时间前6个月内任意1个月已缴存的任意时段的社会保障资 金缴存单据或社保机构开具的社会保险参保缴费情况证明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陕西省建材技工学校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陕西省铜川市耀州区东关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陕西省建材技工学校经办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15029399966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陕西省铜川市新区铁诺南路6号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陕西省建材技工学校</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陕西省建材技工学校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陕西省建材技工学校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以双方最终签订和合同内具体条款约定为准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地址：陕西省铜川市新区铁诺南路6号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3,900,000.00</w:t>
      </w:r>
    </w:p>
    <w:p>
      <w:pPr>
        <w:pStyle w:val="null3"/>
      </w:pPr>
      <w:r>
        <w:rPr>
          <w:rFonts w:ascii="仿宋_GB2312" w:hAnsi="仿宋_GB2312" w:cs="仿宋_GB2312" w:eastAsia="仿宋_GB2312"/>
        </w:rPr>
        <w:t>采购包最高限价（元）: 3,900,000.00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400米综合操场</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right"/>
            </w:pPr>
            <w:r>
              <w:rPr>
                <w:rFonts w:ascii="仿宋_GB2312" w:hAnsi="仿宋_GB2312" w:cs="仿宋_GB2312" w:eastAsia="仿宋_GB2312"/>
              </w:rPr>
              <w:t>3,900,000.00</w:t>
            </w:r>
          </w:p>
        </w:tc>
        <w:tc>
          <w:tcPr>
            <w:tcW w:type="dxa" w:w="1384"/>
          </w:tcPr>
          <w:p>
            <w:pPr>
              <w:pStyle w:val="null3"/>
            </w:pPr>
            <w:r>
              <w:rPr>
                <w:rFonts w:ascii="仿宋_GB2312" w:hAnsi="仿宋_GB2312" w:cs="仿宋_GB2312" w:eastAsia="仿宋_GB2312"/>
              </w:rPr>
              <w:t>平方米</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标的名称：400米综合操场</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操场改造等工程</w:t>
            </w:r>
          </w:p>
        </w:tc>
        <w:tc>
          <w:tcPr>
            <w:tcW w:type="dxa" w:w="2076"/>
          </w:tcPr>
          <w:p>
            <w:pPr>
              <w:pStyle w:val="null3"/>
              <w:jc w:val="both"/>
            </w:pPr>
            <w:r>
              <w:rPr>
                <w:rFonts w:ascii="仿宋_GB2312" w:hAnsi="仿宋_GB2312" w:cs="仿宋_GB2312" w:eastAsia="仿宋_GB2312"/>
                <w:sz w:val="21"/>
              </w:rPr>
              <w:t>主要内容为</w:t>
            </w:r>
            <w:r>
              <w:rPr>
                <w:rFonts w:ascii="仿宋_GB2312" w:hAnsi="仿宋_GB2312" w:cs="仿宋_GB2312" w:eastAsia="仿宋_GB2312"/>
                <w:sz w:val="21"/>
              </w:rPr>
              <w:t>400</w:t>
            </w:r>
            <w:r>
              <w:rPr>
                <w:rFonts w:ascii="仿宋_GB2312" w:hAnsi="仿宋_GB2312" w:cs="仿宋_GB2312" w:eastAsia="仿宋_GB2312"/>
                <w:sz w:val="21"/>
              </w:rPr>
              <w:t>米综合操场</w:t>
            </w:r>
            <w:r>
              <w:rPr>
                <w:rFonts w:ascii="仿宋_GB2312" w:hAnsi="仿宋_GB2312" w:cs="仿宋_GB2312" w:eastAsia="仿宋_GB2312"/>
                <w:sz w:val="21"/>
              </w:rPr>
              <w:t>改造</w:t>
            </w:r>
            <w:r>
              <w:rPr>
                <w:rFonts w:ascii="仿宋_GB2312" w:hAnsi="仿宋_GB2312" w:cs="仿宋_GB2312" w:eastAsia="仿宋_GB2312"/>
                <w:sz w:val="21"/>
              </w:rPr>
              <w:t>等工程</w:t>
            </w:r>
            <w:r>
              <w:rPr>
                <w:rFonts w:ascii="仿宋_GB2312" w:hAnsi="仿宋_GB2312" w:cs="仿宋_GB2312" w:eastAsia="仿宋_GB2312"/>
                <w:sz w:val="21"/>
              </w:rPr>
              <w:t>（具体工程内容以本项目磋商文件中所提供的工程量清单为准）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由于本项目最高限价经过审核，故本项目的最高限价为3809982.31元（其中单位工程—建筑工程含175000元预留金，各供应商报价时不得调整，否则按无效报价对待），各供应商报的总价时不得等于或超过，否则按无效报价对待，其余指标不再评审。 2、本项目工期要求为75个日历天，各供应商所报工期不得超过此期限，否则按无效响应文件对待。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中小企业声明函 商务要求应答表.docx 施工组织设计.docx 响应文件封面 拟派项目经理简历表.docx 法定代表人身份证明书.docx 供应商应提交的相关资格证明材料.docx 拟投入本项目人员配置情况表.docx 残疾人福利性单位声明函 报价函 标的清单 响应函 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度经审计的财务报告（包含审计报告和审计报告中所涉及的财务报表和报表附注），②可提供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 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法人身份证明或授权委托书</w:t>
            </w:r>
          </w:p>
        </w:tc>
        <w:tc>
          <w:tcPr>
            <w:tcW w:type="dxa" w:w="3322"/>
          </w:tcPr>
          <w:p>
            <w:pPr>
              <w:pStyle w:val="null3"/>
            </w:pPr>
            <w:r>
              <w:rPr>
                <w:rFonts w:ascii="仿宋_GB2312" w:hAnsi="仿宋_GB2312" w:cs="仿宋_GB2312" w:eastAsia="仿宋_GB2312"/>
              </w:rPr>
              <w:t>法定代表人参加磋商须出具法定代表人身份证明（并附有效证件），被授权代理人 参加磋商须出具法定代表人授权书及被授权人有效证件</w:t>
            </w:r>
          </w:p>
        </w:tc>
        <w:tc>
          <w:tcPr>
            <w:tcW w:type="dxa" w:w="1661"/>
          </w:tcPr>
          <w:p>
            <w:pPr>
              <w:pStyle w:val="null3"/>
            </w:pPr>
            <w:r>
              <w:rPr>
                <w:rFonts w:ascii="仿宋_GB2312" w:hAnsi="仿宋_GB2312" w:cs="仿宋_GB2312" w:eastAsia="仿宋_GB2312"/>
              </w:rPr>
              <w:t>法定代表人身份证明书.docx 供应商应提交的相关资格证明材料.docx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具备省级及以上建筑主管部门颁发的建筑工程施工总承包三级（含三级）以上资质，并具备企业的安全生产许可证，且均在有效期内</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证书等级：注册建造师二级（含二级）以上执业资格，且在有效期内 专业：建筑工程 补充说明：并具备有效的安全生产考核证书</w:t>
            </w:r>
          </w:p>
        </w:tc>
        <w:tc>
          <w:tcPr>
            <w:tcW w:type="dxa" w:w="1661"/>
          </w:tcPr>
          <w:p>
            <w:pPr>
              <w:pStyle w:val="null3"/>
            </w:pPr>
            <w:r>
              <w:rPr>
                <w:rFonts w:ascii="仿宋_GB2312" w:hAnsi="仿宋_GB2312" w:cs="仿宋_GB2312" w:eastAsia="仿宋_GB2312"/>
              </w:rPr>
              <w:t>拟派项目经理简历表.docx 拟投入本项目人员配置情况表.docx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 网站（www.creditchina.gov.cn）中列入失信被执行人 和重大税收违法失信主体名单的供应商，不得为中国政府采购网（www.ccgp.go v.cn）政府采购严重违法失信行为记录名单中被财政部门禁止参加政府采购活动的 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供应商提供2023年财务审计报告(成立时间至提交响应文件截止时间不足一年的可提供成立后任意时段的资产负债表)，或其基本存款账户开户银行出具的资信或资金证明(复印件加盖供应商公章)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提供响应文件递交截止时间前6个月内任意1个月已缴纳完税凭证（任意税种）或税 务机关开具的完税证明（任意税种）</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提供响应文件递交截止时间前6个月内任意1个月已缴存的任意时段的社会保障资 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响应文件签字及盖章</w:t>
            </w:r>
          </w:p>
        </w:tc>
        <w:tc>
          <w:tcPr>
            <w:tcW w:type="dxa" w:w="3322"/>
          </w:tcPr>
          <w:p>
            <w:pPr>
              <w:pStyle w:val="null3"/>
            </w:pPr>
            <w:r>
              <w:rPr>
                <w:rFonts w:ascii="仿宋_GB2312" w:hAnsi="仿宋_GB2312" w:cs="仿宋_GB2312" w:eastAsia="仿宋_GB2312"/>
              </w:rPr>
              <w:t>各供应商所提交的响应文件签字及盖章符合本项目磋商文件要求；若不符合，则为不通过，后续不再参与最终报价和评审。</w:t>
            </w:r>
          </w:p>
        </w:tc>
        <w:tc>
          <w:tcPr>
            <w:tcW w:type="dxa" w:w="1661"/>
          </w:tcPr>
          <w:p>
            <w:pPr>
              <w:pStyle w:val="null3"/>
            </w:pPr>
            <w:r>
              <w:rPr>
                <w:rFonts w:ascii="仿宋_GB2312" w:hAnsi="仿宋_GB2312" w:cs="仿宋_GB2312" w:eastAsia="仿宋_GB2312"/>
              </w:rPr>
              <w:t>已标价工程量清单 中小企业声明函 商务要求应答表.docx 施工组织设计.docx 响应文件封面 拟派项目经理简历表.docx 法定代表人身份证明书.docx 供应商应提交的相关资格证明材料.docx 拟投入本项目人员配置情况表.docx 残疾人福利性单位声明函 报价函 标的清单 响应函 法定代表人授权委托书.docx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主要工程施工方案</w:t>
            </w:r>
          </w:p>
        </w:tc>
        <w:tc>
          <w:tcPr>
            <w:tcW w:type="dxa" w:w="2492"/>
          </w:tcPr>
          <w:p>
            <w:pPr>
              <w:pStyle w:val="null3"/>
            </w:pPr>
            <w:r>
              <w:rPr>
                <w:rFonts w:ascii="仿宋_GB2312" w:hAnsi="仿宋_GB2312" w:cs="仿宋_GB2312" w:eastAsia="仿宋_GB2312"/>
              </w:rPr>
              <w:t>供应商能够针对本项目提供完整、合理、详尽的施工方案，内容全面完整，可行性强，得 13.1-20分； 供应商能够针对本项目提供完整、合理、详尽的施工方案，内容较完整，具 有一定的可行性，得6.1-13分； 供应商针对本项目提出的施工方案不完整，得1-6分； 严重缺项得0分。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质量目标明确，预控和动态控制措施完整，管理休系和组织措施功能完善、管理幅度适宜 , 有关措施针对性强，得7.1-10分； 质量目标基本明确，控制措施基本全面得3.1-7分； 质量控制部分一般但不被评定为不响应的，得1-3分；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工期保证措施得当，对本项目的工期重要性理解特别透彻，按时完工可靠性高，得7.1-1 0分； 工期保证措施基本可行，内容较为充实、全面的，得3.1-7分； 工期保证措施一般 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本项目安全组织机构、技术措施等完善的，得7.1-10分； 安全保证措施基本可行，内容 较为充实、全面的，得3.1-7分； 安全保证措施一般但不被评定为不响应的得1-3分； 严 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本项目施工环境等保护的组织机构、技术措施、制度完善的，得7.1-10分； 本项目 施工 环境等保护的组织机构、技术措施、制度完善一般的，得3.1-7分； 施工环保措 施一般 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文明施工保证措施</w:t>
            </w:r>
          </w:p>
        </w:tc>
        <w:tc>
          <w:tcPr>
            <w:tcW w:type="dxa" w:w="2492"/>
          </w:tcPr>
          <w:p>
            <w:pPr>
              <w:pStyle w:val="null3"/>
            </w:pPr>
            <w:r>
              <w:rPr>
                <w:rFonts w:ascii="仿宋_GB2312" w:hAnsi="仿宋_GB2312" w:cs="仿宋_GB2312" w:eastAsia="仿宋_GB2312"/>
              </w:rPr>
              <w:t>本项目文明施工的组织机构、技术措施、制度完善的，得7.1-10分； 本项目文明施工组织机构、技术措施、制度完善一般的，得3.1-7分； 本项目文明施工措施一般 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磋商报价：以最终报价为准，并计算。 计算方式：统一采用低价优先法计算，即满足磋商文件要求且磋商价格最低的投标报价为评标基准价，其价格分为满分。其他供应商的价 格分统一按照下列公式计算： 磋商报价得分=（磋商基准价/最终磋商报价） ×30计算得 分；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详见附件：拟派项目经理简历表.docx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