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版本号：KY2025-1-32120250318001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省直机关三爻小区立体车库维保养护项目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KY2025-1-321</w:t>
      </w:r>
      <w:r>
        <w:br/>
      </w:r>
      <w:r>
        <w:br/>
      </w:r>
      <w:r>
        <w:br/>
      </w:r>
    </w:p>
    <w:p>
      <w:pPr>
        <w:pStyle w:val="null3"/>
        <w:jc w:val="center"/>
        <w:outlineLvl w:val="2"/>
      </w:pPr>
      <w:r>
        <w:rPr>
          <w:rFonts w:ascii="仿宋_GB2312" w:hAnsi="仿宋_GB2312" w:cs="仿宋_GB2312" w:eastAsia="仿宋_GB2312"/>
          <w:sz w:val="28"/>
          <w:b/>
        </w:rPr>
        <w:t>陕西省省级机关建工路办公区服务中心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陕西省省级机关建工路办公区服务中心</w:t>
      </w:r>
      <w:r>
        <w:rPr>
          <w:rFonts w:ascii="仿宋_GB2312" w:hAnsi="仿宋_GB2312" w:cs="仿宋_GB2312" w:eastAsia="仿宋_GB2312"/>
        </w:rPr>
        <w:t>委托，拟对</w:t>
      </w:r>
      <w:r>
        <w:rPr>
          <w:rFonts w:ascii="仿宋_GB2312" w:hAnsi="仿宋_GB2312" w:cs="仿宋_GB2312" w:eastAsia="仿宋_GB2312"/>
        </w:rPr>
        <w:t>省直机关三爻小区立体车库维保养护项目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省直机关三爻小区立体车库维保养护项目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省直机关三爻小区立体车库维保养护项目，1项，具体内容详见采购文件第三章。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采购包1（省直机关三爻小区立体车库维保养护项目）：属于专门面向中小企业采购。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8、中小企业声明函：本项目专门面向中小企业采购，供应商须提供中小企业声明函。</w:t>
      </w:r>
    </w:p>
    <w:p>
      <w:pPr>
        <w:pStyle w:val="null3"/>
      </w:pPr>
      <w:r>
        <w:rPr>
          <w:rFonts w:ascii="仿宋_GB2312" w:hAnsi="仿宋_GB2312" w:cs="仿宋_GB2312" w:eastAsia="仿宋_GB2312"/>
        </w:rPr>
        <w:t>9、特定资质：供应商须具备独立的《特种设备生产许可证》 ,许可项目为：机械式停车设备。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陕西省省级机关建工路办公区服务中心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029-88669882(转8608)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采购包1：2,842,000.00元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陕西省省级机关建工路办公区服务中心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陕西省省级机关建工路办公区服务中心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陕西省省级机关建工路办公区服务中心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联系人：杭琨、丁嘉伟</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省直机关三爻小区立体车库维保养护项目，1项，具体内容详见采购文件第三章。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2,842,000.00</w:t>
      </w:r>
    </w:p>
    <w:p>
      <w:pPr>
        <w:pStyle w:val="null3"/>
      </w:pPr>
      <w:r>
        <w:rPr>
          <w:rFonts w:ascii="仿宋_GB2312" w:hAnsi="仿宋_GB2312" w:cs="仿宋_GB2312" w:eastAsia="仿宋_GB2312"/>
        </w:rPr>
        <w:t>采购包最高限价（元）: 2,842,000.00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立体车库维保养护项目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2,842,000.00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标的名称：立体车库维保养护项目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150" w:after="150"/>
              <w:ind w:right="30"/>
              <w:jc w:val="both"/>
            </w:pPr>
            <w:r>
              <w:rPr>
                <w:rFonts w:ascii="仿宋_GB2312" w:hAnsi="仿宋_GB2312" w:cs="仿宋_GB2312" w:eastAsia="仿宋_GB2312"/>
                <w:sz w:val="24"/>
                <w:b/>
              </w:rPr>
              <w:t>一、招标范围</w:t>
            </w:r>
          </w:p>
          <w:p>
            <w:pPr>
              <w:pStyle w:val="null3"/>
              <w:ind w:firstLine="480"/>
              <w:jc w:val="both"/>
            </w:pPr>
            <w:r>
              <w:rPr>
                <w:rFonts w:ascii="仿宋_GB2312" w:hAnsi="仿宋_GB2312" w:cs="仿宋_GB2312" w:eastAsia="仿宋_GB2312"/>
                <w:sz w:val="24"/>
              </w:rPr>
              <w:t>一、采购内容</w:t>
            </w:r>
          </w:p>
          <w:p>
            <w:pPr>
              <w:pStyle w:val="null3"/>
              <w:ind w:firstLine="480"/>
              <w:jc w:val="both"/>
            </w:pPr>
            <w:r>
              <w:rPr>
                <w:rFonts w:ascii="仿宋_GB2312" w:hAnsi="仿宋_GB2312" w:cs="仿宋_GB2312" w:eastAsia="仿宋_GB2312"/>
                <w:sz w:val="24"/>
              </w:rPr>
              <w:t>省直机关三爻小区位于西安市雁塔区，朱雀南路和清凉寺北路交叉口，西南侧为清凉山森林公园。总建筑面积为</w:t>
            </w:r>
            <w:r>
              <w:rPr>
                <w:rFonts w:ascii="仿宋_GB2312" w:hAnsi="仿宋_GB2312" w:cs="仿宋_GB2312" w:eastAsia="仿宋_GB2312"/>
                <w:sz w:val="24"/>
              </w:rPr>
              <w:t>83.2万平方米，居住总户数5744户。三爻小区共分为六个区域，其中住宅楼33幢，单元42个，地下车库共五个、电梯86部，共计257</w:t>
            </w:r>
            <w:r>
              <w:rPr>
                <w:rFonts w:ascii="仿宋_GB2312" w:hAnsi="仿宋_GB2312" w:cs="仿宋_GB2312" w:eastAsia="仿宋_GB2312"/>
                <w:sz w:val="24"/>
              </w:rPr>
              <w:t>1</w:t>
            </w:r>
            <w:r>
              <w:rPr>
                <w:rFonts w:ascii="仿宋_GB2312" w:hAnsi="仿宋_GB2312" w:cs="仿宋_GB2312" w:eastAsia="仿宋_GB2312"/>
                <w:sz w:val="24"/>
              </w:rPr>
              <w:t>个机械车位。</w:t>
            </w:r>
          </w:p>
          <w:p>
            <w:pPr>
              <w:pStyle w:val="null3"/>
              <w:ind w:firstLine="480"/>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车库维保人员主要负责日常维护维修、常规检查、损坏零部件更换、故障排除等工作，负责车位损坏零部件及日常材料消耗。车场管理人员主要负责引导车辆入库、协助业主存取车、车位复位以及环境卫生、服务纠纷处理等工作。</w:t>
            </w:r>
          </w:p>
          <w:p>
            <w:pPr>
              <w:pStyle w:val="null3"/>
              <w:ind w:firstLine="480"/>
              <w:jc w:val="both"/>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1、服务质量：合格。</w:t>
            </w:r>
          </w:p>
          <w:p>
            <w:pPr>
              <w:pStyle w:val="null3"/>
              <w:ind w:firstLine="480"/>
              <w:jc w:val="both"/>
            </w:pPr>
            <w:r>
              <w:rPr>
                <w:rFonts w:ascii="仿宋_GB2312" w:hAnsi="仿宋_GB2312" w:cs="仿宋_GB2312" w:eastAsia="仿宋_GB2312"/>
                <w:sz w:val="24"/>
              </w:rPr>
              <w:t>2、服务期限：1年（合同一年一签）。</w:t>
            </w:r>
          </w:p>
          <w:p>
            <w:pPr>
              <w:pStyle w:val="null3"/>
              <w:ind w:firstLine="480"/>
              <w:jc w:val="both"/>
            </w:pPr>
            <w:r>
              <w:rPr>
                <w:rFonts w:ascii="仿宋_GB2312" w:hAnsi="仿宋_GB2312" w:cs="仿宋_GB2312" w:eastAsia="仿宋_GB2312"/>
                <w:sz w:val="24"/>
              </w:rPr>
              <w:t>3、安全目标：无人员伤亡事故及财产损失。</w:t>
            </w:r>
          </w:p>
          <w:p>
            <w:pPr>
              <w:pStyle w:val="null3"/>
              <w:ind w:firstLine="480"/>
              <w:jc w:val="both"/>
            </w:pPr>
            <w:r>
              <w:rPr>
                <w:rFonts w:ascii="仿宋_GB2312" w:hAnsi="仿宋_GB2312" w:cs="仿宋_GB2312" w:eastAsia="仿宋_GB2312"/>
                <w:sz w:val="24"/>
              </w:rPr>
              <w:t>4、外包模式：全包形式（机械车位维保、维修、配件更换及车场管理）。</w:t>
            </w:r>
          </w:p>
          <w:p>
            <w:pPr>
              <w:pStyle w:val="null3"/>
              <w:ind w:firstLine="480"/>
              <w:jc w:val="both"/>
            </w:pPr>
            <w:r>
              <w:rPr>
                <w:rFonts w:ascii="仿宋_GB2312" w:hAnsi="仿宋_GB2312" w:cs="仿宋_GB2312" w:eastAsia="仿宋_GB2312"/>
                <w:sz w:val="24"/>
              </w:rPr>
              <w:t>5、项目包含：机械停车设备维保服务项目包含人员工资、工装费、办公用品、社保、人员保险（人身意外伤害险）、设备保险（公众责任险）、食宿、车库保洁、日常材料消耗、配件更换（非自然或不可抗力损坏除外）、损坏及更换的配件费等。</w:t>
            </w:r>
          </w:p>
          <w:p>
            <w:pPr>
              <w:pStyle w:val="null3"/>
              <w:ind w:firstLine="480"/>
              <w:jc w:val="both"/>
            </w:pPr>
            <w:r>
              <w:rPr>
                <w:rFonts w:ascii="仿宋_GB2312" w:hAnsi="仿宋_GB2312" w:cs="仿宋_GB2312" w:eastAsia="仿宋_GB2312"/>
                <w:sz w:val="24"/>
              </w:rPr>
              <w:t>6、派员长驻本项目所在区域，提供24小时管理和应急处置服务。准备充足备件，12小时内完成损坏零部件更换。</w:t>
            </w:r>
          </w:p>
          <w:p>
            <w:pPr>
              <w:pStyle w:val="null3"/>
              <w:ind w:firstLine="480"/>
              <w:jc w:val="both"/>
            </w:pPr>
            <w:r>
              <w:rPr>
                <w:rFonts w:ascii="仿宋_GB2312" w:hAnsi="仿宋_GB2312" w:cs="仿宋_GB2312" w:eastAsia="仿宋_GB2312"/>
                <w:sz w:val="24"/>
              </w:rPr>
              <w:t>7、工作人员年龄不得超过55岁，工作人员不得低于24人（各区含1名换休人员），主要负责日常维修、常规检查、损坏零部件更换、故障排除、车辆入库引导、协助业主取车存车、车位复位、车场管理等工作，保证车场正常运行、设备正常运转。</w:t>
            </w:r>
          </w:p>
          <w:p>
            <w:pPr>
              <w:pStyle w:val="null3"/>
              <w:ind w:firstLine="480"/>
              <w:jc w:val="both"/>
            </w:pPr>
            <w:r>
              <w:rPr>
                <w:rFonts w:ascii="仿宋_GB2312" w:hAnsi="仿宋_GB2312" w:cs="仿宋_GB2312" w:eastAsia="仿宋_GB2312"/>
                <w:sz w:val="24"/>
              </w:rPr>
              <w:t>8、所有管理人员须按管理要求持证上岗，并确保在岗在位。维保人员须严格履行维保计划，加强设施设备维护保养，并及时到位排除故障，维修保养时应设置明显的检修标志，并停止设备运行。</w:t>
            </w:r>
          </w:p>
          <w:p>
            <w:pPr>
              <w:pStyle w:val="null3"/>
              <w:ind w:firstLine="480"/>
              <w:jc w:val="both"/>
            </w:pPr>
            <w:r>
              <w:rPr>
                <w:rFonts w:ascii="仿宋_GB2312" w:hAnsi="仿宋_GB2312" w:cs="仿宋_GB2312" w:eastAsia="仿宋_GB2312"/>
                <w:sz w:val="24"/>
              </w:rPr>
              <w:t>9、问题报修后必须1个小时内处理，如造成损失，由维保方全权负责，承担一切经济损失。</w:t>
            </w:r>
          </w:p>
          <w:p>
            <w:pPr>
              <w:pStyle w:val="null3"/>
              <w:ind w:firstLine="480"/>
              <w:jc w:val="both"/>
            </w:pPr>
            <w:r>
              <w:rPr>
                <w:rFonts w:ascii="仿宋_GB2312" w:hAnsi="仿宋_GB2312" w:cs="仿宋_GB2312" w:eastAsia="仿宋_GB2312"/>
                <w:sz w:val="24"/>
              </w:rPr>
              <w:t>10、对服务管理中发生的故障、纠纷等及时跟进处理，并做好调解、赔付、安抚等工作，及时妥善解决车主投诉的问题，并将解决情况及时向采购人报告。</w:t>
            </w:r>
          </w:p>
          <w:p>
            <w:pPr>
              <w:pStyle w:val="null3"/>
              <w:ind w:firstLine="480"/>
              <w:jc w:val="both"/>
            </w:pPr>
            <w:r>
              <w:rPr>
                <w:rFonts w:ascii="仿宋_GB2312" w:hAnsi="仿宋_GB2312" w:cs="仿宋_GB2312" w:eastAsia="仿宋_GB2312"/>
                <w:sz w:val="24"/>
              </w:rPr>
              <w:t>11、依照相关法律法规要求，严格规范管理，建立完善相关台账、制定管理制度，落实维保计划，每月将维保计划和引导操作人员排班表报采购人，并接受监督。</w:t>
            </w:r>
          </w:p>
          <w:p>
            <w:pPr>
              <w:pStyle w:val="null3"/>
              <w:ind w:firstLine="480"/>
              <w:jc w:val="both"/>
            </w:pPr>
            <w:r>
              <w:rPr>
                <w:rFonts w:ascii="仿宋_GB2312" w:hAnsi="仿宋_GB2312" w:cs="仿宋_GB2312" w:eastAsia="仿宋_GB2312"/>
                <w:sz w:val="24"/>
              </w:rPr>
              <w:t>12、配合相关部门和甲方，完成临时安排事项和任务。服从监管和调度。</w:t>
            </w:r>
          </w:p>
          <w:p>
            <w:pPr>
              <w:pStyle w:val="null3"/>
              <w:ind w:firstLine="480"/>
              <w:jc w:val="both"/>
            </w:pPr>
            <w:r>
              <w:rPr>
                <w:rFonts w:ascii="仿宋_GB2312" w:hAnsi="仿宋_GB2312" w:cs="仿宋_GB2312" w:eastAsia="仿宋_GB2312"/>
                <w:sz w:val="24"/>
              </w:rPr>
              <w:t>13、严格落实清扫计划，确保库容库貌干净整洁。</w:t>
            </w:r>
          </w:p>
          <w:p>
            <w:pPr>
              <w:pStyle w:val="null3"/>
              <w:ind w:firstLine="480"/>
              <w:jc w:val="both"/>
            </w:pPr>
            <w:r>
              <w:rPr>
                <w:rFonts w:ascii="仿宋_GB2312" w:hAnsi="仿宋_GB2312" w:cs="仿宋_GB2312" w:eastAsia="仿宋_GB2312"/>
                <w:sz w:val="24"/>
              </w:rPr>
              <w:t>14、严格按要求加强停车秩序管理，减少和杜绝乱停乱发和违规入库停车行为。</w:t>
            </w:r>
          </w:p>
          <w:p>
            <w:pPr>
              <w:pStyle w:val="null3"/>
              <w:ind w:firstLine="480"/>
              <w:jc w:val="both"/>
            </w:pPr>
            <w:r>
              <w:rPr>
                <w:rFonts w:ascii="仿宋_GB2312" w:hAnsi="仿宋_GB2312" w:cs="仿宋_GB2312" w:eastAsia="仿宋_GB2312"/>
                <w:sz w:val="24"/>
              </w:rPr>
              <w:t>15、应对其聘用在本车库内的操作引导人员定期进行基本操作培训和安全知识培训，并进行实操考核。 做好设备故障时的应急预案，并定期组织演练。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陕西省省级机关建工路办公区服务中心指定地点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第一季度服务期满后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第二季度服务期满后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第三季度服务期满后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第四季度服务期满后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1、采购文件要求签字或盖章之处，非法人单位均参照执行。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供应商须具备独立的《特种设备生产许可证》 ,许可项目为：机械式停车设备。</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报价表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中小企业声明函.docx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分项报价表.docx 中小企业声明函.docx 标的清单 服务内容及服务要求应答表.docx 供应商资格证明文件.docx 响应函 供应商承诺书.docx 商务条款响应说明.docx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管理及维保养护方案</w:t>
            </w:r>
          </w:p>
        </w:tc>
        <w:tc>
          <w:tcPr>
            <w:tcW w:type="dxa" w:w="2492"/>
          </w:tcPr>
          <w:p>
            <w:pPr>
              <w:pStyle w:val="null3"/>
            </w:pPr>
            <w:r>
              <w:rPr>
                <w:rFonts w:ascii="仿宋_GB2312" w:hAnsi="仿宋_GB2312" w:cs="仿宋_GB2312" w:eastAsia="仿宋_GB2312"/>
              </w:rPr>
              <w:t>1.管理及维保养护服务方案详细全面，科学合理，可实施性高，能够有利保证立体车库的正常运作，得25.1-35分； 2.管理及维保养护服务方案基本详细全面，科学合理，具有可实施性得15.1-25分； 3.管理及维保养护服务一般，较为科学合理得8.1-15分； 4.管理及维保服务方案较为简略，不够全面详细，可实施性不足，存在漏洞和隐患得0.1-8分； 5.未提供不得分。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服务质量及保证措施</w:t>
            </w:r>
          </w:p>
        </w:tc>
        <w:tc>
          <w:tcPr>
            <w:tcW w:type="dxa" w:w="2492"/>
          </w:tcPr>
          <w:p>
            <w:pPr>
              <w:pStyle w:val="null3"/>
            </w:pPr>
            <w:r>
              <w:rPr>
                <w:rFonts w:ascii="仿宋_GB2312" w:hAnsi="仿宋_GB2312" w:cs="仿宋_GB2312" w:eastAsia="仿宋_GB2312"/>
              </w:rPr>
              <w:t>1.质量保证措施完善，可行性高，有详细管理、检查与考核标准，得7.1-10分； 2.质量保证措施较为完善，具有一定的可行性，管理、检查与考核标准较为详细全面、较为科学合理，得3.1-7分； 3.质量保证措施不够完善全面，可行性较差，管理、检查与考核标准不够详细，不够科学合理得0.1-3分。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服务机具及劳动力</w:t>
            </w:r>
          </w:p>
        </w:tc>
        <w:tc>
          <w:tcPr>
            <w:tcW w:type="dxa" w:w="2492"/>
          </w:tcPr>
          <w:p>
            <w:pPr>
              <w:pStyle w:val="null3"/>
            </w:pPr>
            <w:r>
              <w:rPr>
                <w:rFonts w:ascii="仿宋_GB2312" w:hAnsi="仿宋_GB2312" w:cs="仿宋_GB2312" w:eastAsia="仿宋_GB2312"/>
              </w:rPr>
              <w:t>主要机具、设备和劳动力配备情况：磋商小组根据供应商响应情况进行综合评审。 1.设备配套完整，人员配备合理完善，能够满足采购需求，得7.1-10分； 2.设备配套一般，人员配备基本合理，得3.1-7分； 3.设备配套较差，人员配备不合理，岗位职责不清晰，得0.1-3分；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1.应急预案考虑周全，方案描述详细，科学合理，可靠性高得7.1-10分； 2.应急预案较为全面详细，较为科学合理得3.1-7分； 3.应急预案不够全面详细，科学合理性较差得0.1-3分；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保险理赔</w:t>
            </w:r>
          </w:p>
        </w:tc>
        <w:tc>
          <w:tcPr>
            <w:tcW w:type="dxa" w:w="2492"/>
          </w:tcPr>
          <w:p>
            <w:pPr>
              <w:pStyle w:val="null3"/>
            </w:pPr>
            <w:r>
              <w:rPr>
                <w:rFonts w:ascii="仿宋_GB2312" w:hAnsi="仿宋_GB2312" w:cs="仿宋_GB2312" w:eastAsia="仿宋_GB2312"/>
              </w:rPr>
              <w:t>1.保险及事故理赔方案全面详细、合理，得7.1-10分； 2.保险及事故理赔方案较为全面详细合理，得3.1-7分； 3.保险及事故理赔方案不够全面详细合理，得0.1-3分；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提供自2022年1月1日至今（以合同签订日期为准）类似项目的业绩合同，每份得2分，满分10分。 注：需提供项目合同或协议的关键页（包括但不限于合同首尾页、项目内容页，签字盖章页）扫描件，加盖公章。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服务评价</w:t>
            </w:r>
          </w:p>
        </w:tc>
        <w:tc>
          <w:tcPr>
            <w:tcW w:type="dxa" w:w="2492"/>
          </w:tcPr>
          <w:p>
            <w:pPr>
              <w:pStyle w:val="null3"/>
            </w:pPr>
            <w:r>
              <w:rPr>
                <w:rFonts w:ascii="仿宋_GB2312" w:hAnsi="仿宋_GB2312" w:cs="仿宋_GB2312" w:eastAsia="仿宋_GB2312"/>
              </w:rPr>
              <w:t>提供近3年（2022年1月1日至今）类似项目用户满意服务评价证明，每提供一份有效证明得1分，本项最高5分。（与所提供有效业绩合同对应，否则不得分）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