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B0618">
      <w:pPr>
        <w:pStyle w:val="2"/>
        <w:jc w:val="center"/>
        <w:rPr>
          <w:rFonts w:ascii="宋体" w:hAnsi="宋体" w:cs="宋体"/>
          <w:highlight w:val="none"/>
        </w:rPr>
      </w:pPr>
      <w:bookmarkStart w:id="0" w:name="_Toc26935"/>
      <w:bookmarkStart w:id="1" w:name="_Toc28117"/>
      <w:bookmarkStart w:id="2" w:name="_Toc426457695"/>
      <w:bookmarkStart w:id="3" w:name="_Toc476"/>
      <w:r>
        <w:rPr>
          <w:rFonts w:hint="eastAsia"/>
          <w:highlight w:val="none"/>
        </w:rPr>
        <w:t>合同条款及格式前附表</w:t>
      </w:r>
      <w:bookmarkEnd w:id="0"/>
      <w:bookmarkEnd w:id="1"/>
      <w:bookmarkEnd w:id="2"/>
      <w:bookmarkEnd w:id="3"/>
    </w:p>
    <w:p w14:paraId="65C359F0">
      <w:pPr>
        <w:rPr>
          <w:highlight w:val="none"/>
        </w:rPr>
      </w:pPr>
      <w:r>
        <w:rPr>
          <w:rFonts w:hint="eastAsia"/>
          <w:b/>
          <w:bCs/>
          <w:highlight w:val="none"/>
        </w:rPr>
        <w:t>本表是对合同条款的具体补充和修改，如有矛盾，应以本资料表为准。</w:t>
      </w:r>
    </w:p>
    <w:tbl>
      <w:tblPr>
        <w:tblStyle w:val="6"/>
        <w:tblW w:w="941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65"/>
        <w:gridCol w:w="8546"/>
      </w:tblGrid>
      <w:tr w14:paraId="5C9DB8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865" w:type="dxa"/>
            <w:vAlign w:val="center"/>
          </w:tcPr>
          <w:p w14:paraId="1AFA48B4">
            <w:pPr>
              <w:spacing w:line="360" w:lineRule="auto"/>
              <w:jc w:val="center"/>
              <w:rPr>
                <w:rFonts w:hAnsi="宋体" w:cs="宋体"/>
                <w:b/>
                <w:szCs w:val="24"/>
                <w:highlight w:val="none"/>
              </w:rPr>
            </w:pPr>
            <w:bookmarkStart w:id="4" w:name="_Toc426457694"/>
            <w:bookmarkStart w:id="5" w:name="_Toc11810"/>
            <w:bookmarkStart w:id="6" w:name="_Toc3798"/>
            <w:bookmarkStart w:id="7" w:name="_Toc15898"/>
            <w:bookmarkStart w:id="8" w:name="_Toc403077645"/>
            <w:r>
              <w:rPr>
                <w:rFonts w:hint="eastAsia" w:hAnsi="宋体" w:cs="宋体"/>
                <w:b/>
                <w:szCs w:val="24"/>
                <w:highlight w:val="none"/>
              </w:rPr>
              <w:t>序号</w:t>
            </w:r>
          </w:p>
        </w:tc>
        <w:tc>
          <w:tcPr>
            <w:tcW w:w="8546" w:type="dxa"/>
            <w:vAlign w:val="center"/>
          </w:tcPr>
          <w:p w14:paraId="295CC8DF">
            <w:pPr>
              <w:spacing w:line="360" w:lineRule="auto"/>
              <w:jc w:val="center"/>
              <w:rPr>
                <w:rFonts w:hAnsi="宋体" w:cs="宋体"/>
                <w:b/>
                <w:szCs w:val="24"/>
                <w:highlight w:val="none"/>
              </w:rPr>
            </w:pPr>
            <w:r>
              <w:rPr>
                <w:rFonts w:hint="eastAsia" w:hAnsi="宋体" w:cs="宋体"/>
                <w:b/>
                <w:szCs w:val="24"/>
                <w:highlight w:val="none"/>
              </w:rPr>
              <w:t>内      容</w:t>
            </w:r>
          </w:p>
        </w:tc>
      </w:tr>
      <w:tr w14:paraId="65869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8" w:hRule="atLeast"/>
        </w:trPr>
        <w:tc>
          <w:tcPr>
            <w:tcW w:w="865" w:type="dxa"/>
            <w:vAlign w:val="center"/>
          </w:tcPr>
          <w:p w14:paraId="7F98BD37">
            <w:pPr>
              <w:spacing w:line="360" w:lineRule="auto"/>
              <w:jc w:val="center"/>
              <w:rPr>
                <w:rFonts w:hAnsi="宋体" w:cs="宋体"/>
                <w:szCs w:val="24"/>
                <w:highlight w:val="none"/>
              </w:rPr>
            </w:pPr>
            <w:r>
              <w:rPr>
                <w:rFonts w:hint="eastAsia" w:hAnsi="宋体" w:cs="宋体"/>
                <w:szCs w:val="24"/>
                <w:highlight w:val="none"/>
              </w:rPr>
              <w:t>1</w:t>
            </w:r>
          </w:p>
        </w:tc>
        <w:tc>
          <w:tcPr>
            <w:tcW w:w="8546" w:type="dxa"/>
            <w:vAlign w:val="center"/>
          </w:tcPr>
          <w:p w14:paraId="1F575CBB">
            <w:pPr>
              <w:spacing w:line="360" w:lineRule="auto"/>
              <w:rPr>
                <w:rFonts w:hint="default" w:hAnsi="宋体" w:eastAsia="宋体" w:cs="宋体"/>
                <w:b/>
                <w:szCs w:val="24"/>
                <w:highlight w:val="none"/>
                <w:lang w:val="en-US" w:eastAsia="zh-CN"/>
              </w:rPr>
            </w:pPr>
            <w:r>
              <w:rPr>
                <w:rFonts w:hint="eastAsia" w:hAnsi="宋体" w:cs="宋体"/>
                <w:b/>
                <w:szCs w:val="24"/>
                <w:highlight w:val="none"/>
              </w:rPr>
              <w:t>采购人名称</w:t>
            </w:r>
            <w:r>
              <w:rPr>
                <w:rFonts w:hint="eastAsia" w:hAnsi="宋体" w:cs="宋体"/>
                <w:szCs w:val="24"/>
                <w:highlight w:val="none"/>
              </w:rPr>
              <w:t>：陕西省残疾人辅助技术中心</w:t>
            </w:r>
          </w:p>
          <w:p w14:paraId="32160B97">
            <w:pPr>
              <w:spacing w:line="360" w:lineRule="auto"/>
              <w:rPr>
                <w:rFonts w:hint="default" w:hAnsi="宋体" w:eastAsia="宋体" w:cs="宋体"/>
                <w:szCs w:val="24"/>
                <w:highlight w:val="none"/>
                <w:lang w:val="en-US" w:eastAsia="zh-CN"/>
              </w:rPr>
            </w:pPr>
            <w:r>
              <w:rPr>
                <w:rFonts w:hint="eastAsia" w:hAnsi="宋体" w:cs="宋体"/>
                <w:b/>
                <w:szCs w:val="24"/>
                <w:highlight w:val="none"/>
              </w:rPr>
              <w:t>项目名称</w:t>
            </w:r>
            <w:r>
              <w:rPr>
                <w:rFonts w:hint="eastAsia" w:hAnsi="宋体" w:cs="宋体"/>
                <w:szCs w:val="24"/>
                <w:highlight w:val="none"/>
              </w:rPr>
              <w:t>：残疾人假肢矫形器装配（装配材料）项目</w:t>
            </w:r>
            <w:r>
              <w:rPr>
                <w:rFonts w:hint="eastAsia" w:hAnsi="宋体" w:cs="宋体"/>
                <w:szCs w:val="24"/>
                <w:highlight w:val="none"/>
                <w:lang w:val="en-US" w:eastAsia="zh-CN"/>
              </w:rPr>
              <w:t xml:space="preserve">  </w:t>
            </w:r>
          </w:p>
          <w:p w14:paraId="07B9C1EA">
            <w:pPr>
              <w:spacing w:line="360" w:lineRule="auto"/>
              <w:rPr>
                <w:rFonts w:hAnsi="宋体" w:cs="宋体"/>
                <w:szCs w:val="24"/>
                <w:highlight w:val="none"/>
              </w:rPr>
            </w:pPr>
            <w:r>
              <w:rPr>
                <w:rFonts w:hint="eastAsia" w:hAnsi="宋体" w:cs="宋体"/>
                <w:b/>
                <w:szCs w:val="24"/>
                <w:highlight w:val="none"/>
              </w:rPr>
              <w:t>资金来源：</w:t>
            </w:r>
            <w:r>
              <w:rPr>
                <w:rFonts w:hint="eastAsia" w:hAnsi="宋体" w:cs="宋体"/>
                <w:szCs w:val="24"/>
                <w:highlight w:val="none"/>
              </w:rPr>
              <w:t>财政拨款</w:t>
            </w:r>
          </w:p>
        </w:tc>
      </w:tr>
      <w:tr w14:paraId="05F8B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933" w:hRule="atLeast"/>
        </w:trPr>
        <w:tc>
          <w:tcPr>
            <w:tcW w:w="865" w:type="dxa"/>
            <w:vAlign w:val="center"/>
          </w:tcPr>
          <w:p w14:paraId="6D7E93D7">
            <w:pPr>
              <w:spacing w:line="360" w:lineRule="auto"/>
              <w:jc w:val="center"/>
              <w:rPr>
                <w:rFonts w:hAnsi="宋体" w:cs="宋体"/>
                <w:szCs w:val="24"/>
                <w:highlight w:val="none"/>
              </w:rPr>
            </w:pPr>
            <w:r>
              <w:rPr>
                <w:rFonts w:hint="eastAsia" w:hAnsi="宋体" w:cs="宋体"/>
                <w:szCs w:val="24"/>
                <w:highlight w:val="none"/>
              </w:rPr>
              <w:t>2</w:t>
            </w:r>
          </w:p>
        </w:tc>
        <w:tc>
          <w:tcPr>
            <w:tcW w:w="8546" w:type="dxa"/>
            <w:vAlign w:val="center"/>
          </w:tcPr>
          <w:p w14:paraId="6FD7DB76">
            <w:pPr>
              <w:spacing w:line="360" w:lineRule="auto"/>
              <w:rPr>
                <w:rFonts w:hAnsi="宋体" w:cs="宋体"/>
                <w:szCs w:val="24"/>
                <w:highlight w:val="none"/>
              </w:rPr>
            </w:pPr>
            <w:r>
              <w:rPr>
                <w:rFonts w:hint="eastAsia" w:hAnsi="宋体" w:cs="宋体"/>
                <w:b/>
                <w:szCs w:val="24"/>
                <w:highlight w:val="none"/>
              </w:rPr>
              <w:t>名词解释：</w:t>
            </w:r>
            <w:r>
              <w:rPr>
                <w:rFonts w:hint="eastAsia" w:hAnsi="宋体" w:cs="宋体"/>
                <w:szCs w:val="24"/>
                <w:highlight w:val="none"/>
              </w:rPr>
              <w:t>本章节中出现的 “投标人”，在招标投标阶段措辞为“投标人”；在项目招标结束，中标结果确定后，措辞由“投标人”转为“中标人”；在采购人与中标人签订合同，履约、实施阶段，措辞由“中标人”转为“投标人”。</w:t>
            </w:r>
          </w:p>
        </w:tc>
      </w:tr>
      <w:tr w14:paraId="607AE2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4" w:hRule="atLeast"/>
        </w:trPr>
        <w:tc>
          <w:tcPr>
            <w:tcW w:w="865" w:type="dxa"/>
            <w:vAlign w:val="center"/>
          </w:tcPr>
          <w:p w14:paraId="63354C23">
            <w:pPr>
              <w:spacing w:line="360" w:lineRule="auto"/>
              <w:jc w:val="center"/>
              <w:rPr>
                <w:rFonts w:hAnsi="宋体" w:cs="宋体"/>
                <w:szCs w:val="24"/>
                <w:highlight w:val="none"/>
              </w:rPr>
            </w:pPr>
            <w:r>
              <w:rPr>
                <w:rFonts w:hint="eastAsia" w:hAnsi="宋体" w:cs="宋体"/>
                <w:szCs w:val="24"/>
                <w:highlight w:val="none"/>
              </w:rPr>
              <w:t>3</w:t>
            </w:r>
          </w:p>
        </w:tc>
        <w:tc>
          <w:tcPr>
            <w:tcW w:w="8546" w:type="dxa"/>
            <w:vAlign w:val="center"/>
          </w:tcPr>
          <w:p w14:paraId="0ADA5892">
            <w:pPr>
              <w:spacing w:line="360" w:lineRule="auto"/>
              <w:rPr>
                <w:rFonts w:hAnsi="宋体" w:cs="宋体"/>
                <w:b/>
                <w:szCs w:val="24"/>
                <w:highlight w:val="none"/>
              </w:rPr>
            </w:pPr>
            <w:r>
              <w:rPr>
                <w:rFonts w:hint="eastAsia" w:hAnsi="宋体" w:cs="宋体"/>
                <w:b/>
                <w:szCs w:val="24"/>
                <w:highlight w:val="none"/>
              </w:rPr>
              <w:t>项目实施地点：采购人指定地点</w:t>
            </w:r>
          </w:p>
        </w:tc>
      </w:tr>
      <w:tr w14:paraId="2861A3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0" w:hRule="exact"/>
        </w:trPr>
        <w:tc>
          <w:tcPr>
            <w:tcW w:w="865" w:type="dxa"/>
            <w:vAlign w:val="center"/>
          </w:tcPr>
          <w:p w14:paraId="70747B02">
            <w:pPr>
              <w:spacing w:line="360" w:lineRule="auto"/>
              <w:jc w:val="center"/>
              <w:rPr>
                <w:rFonts w:hAnsi="宋体" w:cs="宋体"/>
                <w:szCs w:val="24"/>
                <w:highlight w:val="none"/>
              </w:rPr>
            </w:pPr>
            <w:r>
              <w:rPr>
                <w:rFonts w:hint="eastAsia" w:hAnsi="宋体" w:cs="宋体"/>
                <w:szCs w:val="24"/>
                <w:highlight w:val="none"/>
              </w:rPr>
              <w:t>4</w:t>
            </w:r>
          </w:p>
        </w:tc>
        <w:tc>
          <w:tcPr>
            <w:tcW w:w="8546" w:type="dxa"/>
            <w:vAlign w:val="center"/>
          </w:tcPr>
          <w:p w14:paraId="669CC0C5">
            <w:pPr>
              <w:spacing w:line="360" w:lineRule="auto"/>
              <w:rPr>
                <w:szCs w:val="24"/>
                <w:highlight w:val="none"/>
              </w:rPr>
            </w:pPr>
            <w:bookmarkStart w:id="9" w:name="OLE_LINK5"/>
            <w:bookmarkStart w:id="10" w:name="OLE_LINK6"/>
            <w:r>
              <w:rPr>
                <w:rFonts w:hint="eastAsia" w:hAnsi="宋体" w:cs="宋体"/>
                <w:b/>
                <w:szCs w:val="24"/>
                <w:highlight w:val="none"/>
              </w:rPr>
              <w:t>合同履行期限：</w:t>
            </w:r>
            <w:bookmarkEnd w:id="9"/>
            <w:bookmarkEnd w:id="10"/>
            <w:r>
              <w:rPr>
                <w:rFonts w:hint="eastAsia" w:hAnsi="宋体" w:cs="宋体"/>
                <w:b/>
                <w:szCs w:val="24"/>
                <w:highlight w:val="none"/>
              </w:rPr>
              <w:t>自合同签订之日起</w:t>
            </w:r>
            <w:r>
              <w:rPr>
                <w:rFonts w:hint="eastAsia" w:hAnsi="宋体" w:cs="宋体"/>
                <w:b/>
                <w:szCs w:val="24"/>
                <w:highlight w:val="none"/>
                <w:lang w:val="en-US" w:eastAsia="zh-CN"/>
              </w:rPr>
              <w:t>60</w:t>
            </w:r>
            <w:r>
              <w:rPr>
                <w:rFonts w:hint="eastAsia" w:hAnsi="宋体" w:cs="宋体"/>
                <w:b/>
                <w:szCs w:val="24"/>
                <w:highlight w:val="none"/>
              </w:rPr>
              <w:t>日历天；</w:t>
            </w:r>
          </w:p>
        </w:tc>
      </w:tr>
      <w:tr w14:paraId="32444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34" w:hRule="exact"/>
        </w:trPr>
        <w:tc>
          <w:tcPr>
            <w:tcW w:w="865" w:type="dxa"/>
            <w:vAlign w:val="center"/>
          </w:tcPr>
          <w:p w14:paraId="57F06546">
            <w:pPr>
              <w:spacing w:line="360" w:lineRule="auto"/>
              <w:jc w:val="center"/>
              <w:rPr>
                <w:rFonts w:hAnsi="宋体" w:cs="宋体"/>
                <w:szCs w:val="24"/>
                <w:highlight w:val="none"/>
              </w:rPr>
            </w:pPr>
            <w:r>
              <w:rPr>
                <w:rFonts w:hint="eastAsia" w:hAnsi="宋体" w:cs="宋体"/>
                <w:szCs w:val="24"/>
                <w:highlight w:val="none"/>
              </w:rPr>
              <w:t>5</w:t>
            </w:r>
          </w:p>
        </w:tc>
        <w:tc>
          <w:tcPr>
            <w:tcW w:w="8546" w:type="dxa"/>
            <w:vAlign w:val="center"/>
          </w:tcPr>
          <w:p w14:paraId="0B000C1F">
            <w:pPr>
              <w:spacing w:line="360" w:lineRule="auto"/>
              <w:rPr>
                <w:rFonts w:hAnsi="宋体" w:cs="宋体"/>
                <w:b/>
                <w:szCs w:val="24"/>
                <w:highlight w:val="none"/>
              </w:rPr>
            </w:pPr>
            <w:r>
              <w:rPr>
                <w:rFonts w:hint="eastAsia" w:hAnsi="宋体" w:cs="宋体"/>
                <w:b/>
                <w:szCs w:val="24"/>
                <w:highlight w:val="none"/>
              </w:rPr>
              <w:t>质保期：以招标文件不同类型产品要求的使用年限为质保期；</w:t>
            </w:r>
          </w:p>
        </w:tc>
      </w:tr>
      <w:tr w14:paraId="4FBE9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78" w:hRule="exact"/>
        </w:trPr>
        <w:tc>
          <w:tcPr>
            <w:tcW w:w="865" w:type="dxa"/>
            <w:vAlign w:val="center"/>
          </w:tcPr>
          <w:p w14:paraId="685CC60B">
            <w:pPr>
              <w:spacing w:line="360" w:lineRule="auto"/>
              <w:jc w:val="center"/>
              <w:rPr>
                <w:rFonts w:hAnsi="宋体" w:cs="宋体"/>
                <w:szCs w:val="24"/>
                <w:highlight w:val="none"/>
              </w:rPr>
            </w:pPr>
            <w:r>
              <w:rPr>
                <w:rFonts w:hint="eastAsia" w:hAnsi="宋体" w:cs="宋体"/>
                <w:szCs w:val="24"/>
                <w:highlight w:val="none"/>
              </w:rPr>
              <w:t>6</w:t>
            </w:r>
          </w:p>
        </w:tc>
        <w:tc>
          <w:tcPr>
            <w:tcW w:w="8546" w:type="dxa"/>
            <w:vAlign w:val="center"/>
          </w:tcPr>
          <w:p w14:paraId="26795C3C">
            <w:pPr>
              <w:spacing w:line="360" w:lineRule="auto"/>
              <w:rPr>
                <w:rFonts w:hAnsi="宋体" w:cs="宋体"/>
                <w:b/>
                <w:szCs w:val="24"/>
                <w:highlight w:val="none"/>
              </w:rPr>
            </w:pPr>
            <w:r>
              <w:rPr>
                <w:rFonts w:hint="eastAsia" w:hAnsi="宋体" w:cs="宋体"/>
                <w:b/>
                <w:szCs w:val="24"/>
                <w:highlight w:val="none"/>
              </w:rPr>
              <w:t>付款：</w:t>
            </w:r>
          </w:p>
          <w:p w14:paraId="7DADCD7D">
            <w:pPr>
              <w:spacing w:line="360" w:lineRule="auto"/>
              <w:rPr>
                <w:rFonts w:hAnsi="宋体" w:cs="宋体"/>
                <w:bCs/>
                <w:szCs w:val="24"/>
                <w:highlight w:val="none"/>
              </w:rPr>
            </w:pPr>
            <w:r>
              <w:rPr>
                <w:rFonts w:hint="eastAsia" w:hAnsi="宋体" w:cs="宋体"/>
                <w:bCs/>
                <w:szCs w:val="24"/>
                <w:highlight w:val="none"/>
              </w:rPr>
              <w:t>1.合同总价即中标价，不受市场价变化或实际工作量变化的影响。</w:t>
            </w:r>
          </w:p>
          <w:p w14:paraId="4F4E6618">
            <w:pPr>
              <w:spacing w:line="360" w:lineRule="auto"/>
              <w:rPr>
                <w:rFonts w:hAnsi="宋体" w:cs="宋体"/>
                <w:bCs/>
                <w:szCs w:val="24"/>
                <w:highlight w:val="none"/>
              </w:rPr>
            </w:pPr>
            <w:r>
              <w:rPr>
                <w:rFonts w:hint="eastAsia" w:hAnsi="宋体" w:cs="宋体"/>
                <w:bCs/>
                <w:szCs w:val="24"/>
                <w:highlight w:val="none"/>
              </w:rPr>
              <w:t>2.付款方式和程序：</w:t>
            </w:r>
          </w:p>
          <w:p w14:paraId="7FCD9F0A">
            <w:pPr>
              <w:spacing w:line="360" w:lineRule="auto"/>
              <w:ind w:firstLine="480" w:firstLineChars="200"/>
              <w:rPr>
                <w:rFonts w:hAnsi="宋体" w:cs="宋体"/>
                <w:bCs/>
                <w:szCs w:val="24"/>
                <w:highlight w:val="none"/>
              </w:rPr>
            </w:pPr>
            <w:r>
              <w:rPr>
                <w:rFonts w:hint="eastAsia" w:hAnsi="宋体" w:cs="宋体"/>
                <w:bCs/>
                <w:szCs w:val="24"/>
                <w:highlight w:val="none"/>
              </w:rPr>
              <w:t>2.1由采购人负责结算，在付款前，投标人必须开具全额发票给采购人（附详细清单）。</w:t>
            </w:r>
          </w:p>
          <w:p w14:paraId="5258A134">
            <w:pPr>
              <w:spacing w:line="360" w:lineRule="auto"/>
              <w:ind w:firstLine="482" w:firstLineChars="200"/>
              <w:rPr>
                <w:rFonts w:hAnsi="宋体" w:cs="宋体"/>
                <w:b/>
                <w:szCs w:val="24"/>
                <w:highlight w:val="none"/>
              </w:rPr>
            </w:pPr>
            <w:r>
              <w:rPr>
                <w:rFonts w:hint="eastAsia" w:hAnsi="宋体" w:cs="宋体"/>
                <w:b/>
                <w:szCs w:val="24"/>
                <w:highlight w:val="none"/>
              </w:rPr>
              <w:t>2.2付款方式：</w:t>
            </w:r>
          </w:p>
          <w:p w14:paraId="76402705">
            <w:pPr>
              <w:spacing w:line="360" w:lineRule="auto"/>
              <w:ind w:firstLine="480" w:firstLineChars="200"/>
              <w:rPr>
                <w:rFonts w:hAnsi="宋体" w:cs="宋体"/>
                <w:bCs/>
                <w:szCs w:val="24"/>
                <w:highlight w:val="none"/>
              </w:rPr>
            </w:pPr>
            <w:r>
              <w:rPr>
                <w:rFonts w:hint="eastAsia" w:hAnsi="宋体" w:cs="宋体"/>
                <w:bCs/>
                <w:szCs w:val="24"/>
                <w:highlight w:val="none"/>
              </w:rPr>
              <w:t> 合同签订后，达到付款条件起10日内，支付合同总金额的40.00%</w:t>
            </w:r>
            <w:r>
              <w:rPr>
                <w:rFonts w:hint="eastAsia" w:hAnsi="宋体" w:cs="宋体"/>
                <w:bCs/>
                <w:szCs w:val="24"/>
                <w:highlight w:val="none"/>
                <w:lang w:eastAsia="zh-CN"/>
              </w:rPr>
              <w:t>；</w:t>
            </w:r>
            <w:r>
              <w:rPr>
                <w:rFonts w:hint="eastAsia" w:hAnsi="宋体" w:cs="宋体"/>
                <w:bCs/>
                <w:szCs w:val="24"/>
                <w:highlight w:val="none"/>
              </w:rPr>
              <w:t>供货并验收通过后，达到付款条件起10日内，支付合同总金额的60.00%。</w:t>
            </w:r>
          </w:p>
          <w:p w14:paraId="5CDD8B72">
            <w:pPr>
              <w:spacing w:line="360" w:lineRule="auto"/>
              <w:ind w:firstLine="482" w:firstLineChars="200"/>
              <w:rPr>
                <w:rFonts w:hAnsi="宋体" w:cs="宋体"/>
                <w:b/>
                <w:szCs w:val="24"/>
                <w:highlight w:val="none"/>
              </w:rPr>
            </w:pPr>
            <w:r>
              <w:rPr>
                <w:rFonts w:hint="eastAsia" w:hAnsi="宋体" w:cs="宋体"/>
                <w:b/>
                <w:szCs w:val="24"/>
                <w:highlight w:val="none"/>
              </w:rPr>
              <w:t>2.3支付方式：银行转账</w:t>
            </w:r>
          </w:p>
        </w:tc>
      </w:tr>
      <w:tr w14:paraId="407CA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trPr>
        <w:tc>
          <w:tcPr>
            <w:tcW w:w="865" w:type="dxa"/>
            <w:vAlign w:val="center"/>
          </w:tcPr>
          <w:p w14:paraId="690F6FAA">
            <w:pPr>
              <w:spacing w:line="360" w:lineRule="auto"/>
              <w:jc w:val="center"/>
              <w:rPr>
                <w:rFonts w:hAnsi="宋体" w:cs="宋体"/>
                <w:szCs w:val="24"/>
                <w:highlight w:val="none"/>
              </w:rPr>
            </w:pPr>
            <w:r>
              <w:rPr>
                <w:rFonts w:hint="eastAsia" w:hAnsi="宋体" w:cs="宋体"/>
                <w:szCs w:val="24"/>
                <w:highlight w:val="none"/>
              </w:rPr>
              <w:t>7</w:t>
            </w:r>
          </w:p>
        </w:tc>
        <w:tc>
          <w:tcPr>
            <w:tcW w:w="8546" w:type="dxa"/>
            <w:vAlign w:val="center"/>
          </w:tcPr>
          <w:p w14:paraId="458CFB7B">
            <w:pPr>
              <w:spacing w:line="360" w:lineRule="auto"/>
              <w:rPr>
                <w:rFonts w:hAnsi="宋体" w:cs="宋体"/>
                <w:b/>
                <w:szCs w:val="24"/>
                <w:highlight w:val="none"/>
              </w:rPr>
            </w:pPr>
            <w:r>
              <w:rPr>
                <w:rFonts w:hint="eastAsia" w:hAnsi="宋体" w:cs="宋体"/>
                <w:b/>
                <w:szCs w:val="24"/>
                <w:highlight w:val="none"/>
              </w:rPr>
              <w:t>运输、安装、调试要求：</w:t>
            </w:r>
          </w:p>
          <w:p w14:paraId="0BBBACD1">
            <w:pPr>
              <w:spacing w:line="360" w:lineRule="auto"/>
              <w:ind w:firstLine="480" w:firstLineChars="200"/>
              <w:jc w:val="left"/>
              <w:rPr>
                <w:rFonts w:hAnsi="宋体" w:cs="宋体"/>
                <w:szCs w:val="24"/>
                <w:highlight w:val="none"/>
              </w:rPr>
            </w:pPr>
            <w:r>
              <w:rPr>
                <w:rFonts w:hint="eastAsia" w:hAnsi="宋体" w:cs="宋体"/>
                <w:szCs w:val="24"/>
                <w:highlight w:val="none"/>
              </w:rPr>
              <w:t>1.供应商根据产品特性，自行选择运输及包装方式，保证产品到达之后各项功能完好无损，且符合国家相关包装及运输要求。供应商承担一切包装及运输费用，包括从生产厂商到采购人指定交货地点所需的装卸、运输（含保险费）及其他一切费用。</w:t>
            </w:r>
          </w:p>
          <w:p w14:paraId="0DBD63D4">
            <w:pPr>
              <w:spacing w:line="360" w:lineRule="auto"/>
              <w:ind w:firstLine="480" w:firstLineChars="200"/>
              <w:jc w:val="left"/>
              <w:rPr>
                <w:rFonts w:hAnsi="宋体" w:cs="宋体"/>
                <w:szCs w:val="24"/>
                <w:highlight w:val="none"/>
              </w:rPr>
            </w:pPr>
            <w:r>
              <w:rPr>
                <w:rFonts w:hint="eastAsia" w:hAnsi="宋体" w:cs="宋体"/>
                <w:szCs w:val="24"/>
                <w:highlight w:val="none"/>
              </w:rPr>
              <w:t>2.由供应商提供安装、调试及试运行的进度计划表。</w:t>
            </w:r>
          </w:p>
          <w:p w14:paraId="098877BC">
            <w:pPr>
              <w:spacing w:line="360" w:lineRule="auto"/>
              <w:ind w:firstLine="480" w:firstLineChars="200"/>
              <w:jc w:val="left"/>
              <w:rPr>
                <w:rFonts w:hAnsi="宋体" w:cs="宋体"/>
                <w:szCs w:val="24"/>
                <w:highlight w:val="none"/>
              </w:rPr>
            </w:pPr>
            <w:r>
              <w:rPr>
                <w:rFonts w:hint="eastAsia" w:hAnsi="宋体" w:cs="宋体"/>
                <w:szCs w:val="24"/>
                <w:highlight w:val="none"/>
              </w:rPr>
              <w:t>3.供应商应在合同规定的安装调试期内完成该项工作。如因供应商责任而造成延期，每超过一天按合同总价款的（5%）支付采购人误期赔偿金，直至交货或提供服务结束为止，所有因延期而产生的费用由供应商承担。</w:t>
            </w:r>
          </w:p>
          <w:p w14:paraId="06E0093D">
            <w:pPr>
              <w:spacing w:line="360" w:lineRule="auto"/>
              <w:ind w:firstLine="480" w:firstLineChars="200"/>
              <w:jc w:val="left"/>
              <w:rPr>
                <w:rFonts w:hAnsi="宋体" w:cs="宋体"/>
                <w:szCs w:val="24"/>
                <w:highlight w:val="none"/>
              </w:rPr>
            </w:pPr>
            <w:r>
              <w:rPr>
                <w:rFonts w:hint="eastAsia" w:hAnsi="宋体" w:cs="宋体"/>
                <w:szCs w:val="24"/>
                <w:highlight w:val="none"/>
              </w:rPr>
              <w:t>4.安装和调试期间所发生的费用均由供应商负责。</w:t>
            </w:r>
          </w:p>
          <w:p w14:paraId="08895B95">
            <w:pPr>
              <w:spacing w:line="360" w:lineRule="auto"/>
              <w:ind w:firstLine="480" w:firstLineChars="200"/>
              <w:rPr>
                <w:rFonts w:hAnsi="宋体" w:cs="宋体"/>
                <w:szCs w:val="24"/>
                <w:highlight w:val="none"/>
              </w:rPr>
            </w:pPr>
            <w:r>
              <w:rPr>
                <w:rFonts w:hint="eastAsia" w:hAnsi="宋体" w:cs="宋体"/>
                <w:szCs w:val="24"/>
                <w:highlight w:val="none"/>
              </w:rPr>
              <w:t>5.供应商应对安装调试、整改等实施过程的安全负责，如发生人身伤亡、财产损失的由供应商负责解决并承担全部责任。</w:t>
            </w:r>
          </w:p>
        </w:tc>
      </w:tr>
      <w:tr w14:paraId="06E1F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trPr>
        <w:tc>
          <w:tcPr>
            <w:tcW w:w="865" w:type="dxa"/>
            <w:vAlign w:val="center"/>
          </w:tcPr>
          <w:p w14:paraId="0E53DA9B">
            <w:pPr>
              <w:spacing w:line="360" w:lineRule="auto"/>
              <w:jc w:val="center"/>
              <w:rPr>
                <w:rFonts w:hAnsi="宋体" w:cs="宋体"/>
                <w:szCs w:val="24"/>
                <w:highlight w:val="none"/>
              </w:rPr>
            </w:pPr>
            <w:r>
              <w:rPr>
                <w:rFonts w:hint="eastAsia" w:hAnsi="宋体" w:cs="宋体"/>
                <w:szCs w:val="24"/>
                <w:highlight w:val="none"/>
              </w:rPr>
              <w:t>8</w:t>
            </w:r>
          </w:p>
        </w:tc>
        <w:tc>
          <w:tcPr>
            <w:tcW w:w="8546" w:type="dxa"/>
            <w:vAlign w:val="center"/>
          </w:tcPr>
          <w:p w14:paraId="3CA24EBC">
            <w:pPr>
              <w:spacing w:line="360" w:lineRule="auto"/>
              <w:rPr>
                <w:rFonts w:hAnsi="宋体" w:cs="宋体"/>
                <w:b/>
                <w:szCs w:val="24"/>
                <w:highlight w:val="none"/>
              </w:rPr>
            </w:pPr>
            <w:r>
              <w:rPr>
                <w:rFonts w:hint="eastAsia" w:hAnsi="宋体" w:cs="宋体"/>
                <w:b/>
                <w:szCs w:val="24"/>
                <w:highlight w:val="none"/>
              </w:rPr>
              <w:t>技术支持：</w:t>
            </w:r>
          </w:p>
          <w:p w14:paraId="2DB66420">
            <w:pPr>
              <w:pStyle w:val="4"/>
              <w:spacing w:line="360" w:lineRule="auto"/>
              <w:ind w:firstLine="480" w:firstLineChars="200"/>
              <w:rPr>
                <w:rFonts w:hAnsi="宋体" w:cs="宋体"/>
                <w:bCs/>
                <w:kern w:val="0"/>
                <w:sz w:val="24"/>
                <w:szCs w:val="21"/>
                <w:highlight w:val="none"/>
              </w:rPr>
            </w:pPr>
            <w:r>
              <w:rPr>
                <w:rFonts w:hint="eastAsia" w:hAnsi="宋体" w:cs="宋体"/>
                <w:bCs/>
                <w:kern w:val="0"/>
                <w:sz w:val="24"/>
                <w:szCs w:val="21"/>
                <w:highlight w:val="none"/>
              </w:rPr>
              <w:t>1.提供质保期内每周7×24小时的技术咨询服务。供应商怠于或无法提供技术支持的，采购人有权委托第三方处理，由此产生的费用和后果由供应商负责，费用直接从应付款中扣除。供应商指定的项目负责人必须是供应商公司管理层人员。本项目实施过程中一旦出现重大问题，项目负责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356FE5DA">
            <w:pPr>
              <w:spacing w:line="360" w:lineRule="auto"/>
              <w:ind w:firstLine="480" w:firstLineChars="200"/>
              <w:rPr>
                <w:rFonts w:hAnsi="宋体" w:cs="宋体"/>
                <w:szCs w:val="24"/>
                <w:highlight w:val="none"/>
              </w:rPr>
            </w:pPr>
            <w:r>
              <w:rPr>
                <w:rFonts w:hint="eastAsia" w:hAnsi="宋体" w:cs="宋体"/>
                <w:bCs/>
                <w:szCs w:val="21"/>
                <w:highlight w:val="none"/>
              </w:rPr>
              <w:t>2.供应商在项目实施过程中，质量保障人员、资源不足或者执行不力，给项目质量带来的风险超出采购人认定的允许范围时，采购人可终止本项目的合作并进行索赔。</w:t>
            </w:r>
          </w:p>
        </w:tc>
      </w:tr>
      <w:tr w14:paraId="1CE329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45CD970C">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9</w:t>
            </w:r>
          </w:p>
        </w:tc>
        <w:tc>
          <w:tcPr>
            <w:tcW w:w="8546" w:type="dxa"/>
            <w:shd w:val="clear" w:color="auto" w:fill="auto"/>
            <w:vAlign w:val="center"/>
          </w:tcPr>
          <w:p w14:paraId="3BCB8043">
            <w:pPr>
              <w:spacing w:line="360" w:lineRule="auto"/>
              <w:rPr>
                <w:rFonts w:hAnsi="宋体" w:cs="宋体"/>
                <w:b/>
                <w:szCs w:val="24"/>
                <w:highlight w:val="none"/>
              </w:rPr>
            </w:pPr>
            <w:r>
              <w:rPr>
                <w:rFonts w:hint="eastAsia" w:hAnsi="宋体" w:cs="宋体"/>
                <w:b/>
                <w:szCs w:val="24"/>
                <w:highlight w:val="none"/>
              </w:rPr>
              <w:t>技术资料要求：</w:t>
            </w:r>
          </w:p>
          <w:p w14:paraId="229B460C">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供应商应向采购人提供全套中文技术资料一套，其费用包括在投标价格中：</w:t>
            </w:r>
          </w:p>
          <w:p w14:paraId="4E43F3B6">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1.完整的产品说明书、产品合格证、装箱清单、图纸（线路图、原理图等）等；</w:t>
            </w:r>
          </w:p>
          <w:p w14:paraId="414CC8EF">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2.制造厂的检验、测试报告、产品检验合格证书，质量保证书等文件验收时须一并提供；</w:t>
            </w:r>
          </w:p>
          <w:p w14:paraId="7417D70A">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3.产品验收标准；</w:t>
            </w:r>
          </w:p>
          <w:p w14:paraId="033BA813">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4.技术说明书及必须的其它技术资料;</w:t>
            </w:r>
          </w:p>
          <w:p w14:paraId="58C89EE7">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5.系统安装，调试、维修线路图及原理图；</w:t>
            </w:r>
          </w:p>
          <w:p w14:paraId="14472A6F">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6.零部件目录；</w:t>
            </w:r>
          </w:p>
          <w:p w14:paraId="6240664A">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7.项目完工后提供验收报告；</w:t>
            </w:r>
          </w:p>
          <w:p w14:paraId="07076244">
            <w:pPr>
              <w:spacing w:line="360" w:lineRule="auto"/>
              <w:ind w:firstLine="480" w:firstLineChars="200"/>
              <w:jc w:val="left"/>
              <w:rPr>
                <w:rFonts w:hAnsi="宋体" w:cs="宋体"/>
                <w:szCs w:val="24"/>
                <w:highlight w:val="none"/>
              </w:rPr>
            </w:pPr>
            <w:r>
              <w:rPr>
                <w:rFonts w:hint="eastAsia" w:hAnsi="宋体" w:cs="宋体"/>
                <w:szCs w:val="24"/>
                <w:highlight w:val="none"/>
              </w:rPr>
              <w:t>8.合同中要求的其他文件资料。</w:t>
            </w:r>
          </w:p>
        </w:tc>
      </w:tr>
      <w:tr w14:paraId="3F406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52" w:hRule="atLeast"/>
        </w:trPr>
        <w:tc>
          <w:tcPr>
            <w:tcW w:w="865" w:type="dxa"/>
            <w:vAlign w:val="center"/>
          </w:tcPr>
          <w:p w14:paraId="7040F38F">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10</w:t>
            </w:r>
          </w:p>
        </w:tc>
        <w:tc>
          <w:tcPr>
            <w:tcW w:w="8546" w:type="dxa"/>
            <w:vAlign w:val="center"/>
          </w:tcPr>
          <w:p w14:paraId="5FD1F4C6">
            <w:pPr>
              <w:tabs>
                <w:tab w:val="left" w:pos="480"/>
              </w:tabs>
              <w:spacing w:line="360" w:lineRule="auto"/>
              <w:rPr>
                <w:rFonts w:hAnsi="宋体" w:cs="宋体"/>
                <w:b/>
                <w:szCs w:val="24"/>
                <w:highlight w:val="none"/>
              </w:rPr>
            </w:pPr>
            <w:r>
              <w:rPr>
                <w:rFonts w:hint="eastAsia" w:hAnsi="宋体" w:cs="宋体"/>
                <w:b/>
                <w:szCs w:val="24"/>
                <w:highlight w:val="none"/>
              </w:rPr>
              <w:t>技术培训：</w:t>
            </w:r>
          </w:p>
          <w:p w14:paraId="27DB9950">
            <w:pPr>
              <w:spacing w:line="360" w:lineRule="auto"/>
              <w:ind w:firstLine="480" w:firstLineChars="200"/>
              <w:jc w:val="left"/>
              <w:rPr>
                <w:rFonts w:hAnsi="宋体" w:cs="宋体"/>
                <w:bCs/>
                <w:szCs w:val="24"/>
                <w:highlight w:val="none"/>
              </w:rPr>
            </w:pPr>
            <w:r>
              <w:rPr>
                <w:rFonts w:hint="eastAsia" w:hAnsi="宋体" w:cs="宋体"/>
                <w:bCs/>
                <w:szCs w:val="24"/>
                <w:highlight w:val="none"/>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tc>
      </w:tr>
      <w:tr w14:paraId="0AC66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019D497E">
            <w:pPr>
              <w:pStyle w:val="4"/>
              <w:spacing w:line="360" w:lineRule="auto"/>
              <w:jc w:val="center"/>
              <w:rPr>
                <w:rFonts w:hAnsi="宋体" w:cs="宋体"/>
                <w:b/>
                <w:bCs/>
                <w:kern w:val="0"/>
                <w:sz w:val="24"/>
                <w:szCs w:val="24"/>
                <w:highlight w:val="none"/>
              </w:rPr>
            </w:pPr>
            <w:r>
              <w:rPr>
                <w:rFonts w:hint="eastAsia" w:hAnsi="宋体" w:cs="宋体"/>
                <w:kern w:val="0"/>
                <w:sz w:val="24"/>
                <w:szCs w:val="24"/>
                <w:highlight w:val="none"/>
              </w:rPr>
              <w:t>11</w:t>
            </w:r>
          </w:p>
        </w:tc>
        <w:tc>
          <w:tcPr>
            <w:tcW w:w="8546" w:type="dxa"/>
            <w:vAlign w:val="center"/>
          </w:tcPr>
          <w:p w14:paraId="743FE7C3">
            <w:pPr>
              <w:pStyle w:val="4"/>
              <w:spacing w:line="360" w:lineRule="auto"/>
              <w:rPr>
                <w:rFonts w:hAnsi="宋体" w:cs="宋体"/>
                <w:b/>
                <w:kern w:val="0"/>
                <w:sz w:val="24"/>
                <w:szCs w:val="24"/>
                <w:highlight w:val="none"/>
              </w:rPr>
            </w:pPr>
            <w:r>
              <w:rPr>
                <w:rFonts w:hint="eastAsia" w:hAnsi="宋体" w:cs="宋体"/>
                <w:b/>
                <w:kern w:val="0"/>
                <w:sz w:val="24"/>
                <w:szCs w:val="24"/>
                <w:highlight w:val="none"/>
              </w:rPr>
              <w:t>质量保证：</w:t>
            </w:r>
          </w:p>
          <w:p w14:paraId="6AD78CF5">
            <w:pPr>
              <w:tabs>
                <w:tab w:val="left" w:pos="480"/>
              </w:tabs>
              <w:spacing w:line="360" w:lineRule="auto"/>
              <w:ind w:firstLine="470" w:firstLineChars="196"/>
              <w:rPr>
                <w:rFonts w:hAnsi="宋体" w:cs="宋体"/>
                <w:szCs w:val="24"/>
                <w:highlight w:val="none"/>
              </w:rPr>
            </w:pPr>
            <w:r>
              <w:rPr>
                <w:rFonts w:hint="eastAsia" w:hAnsi="宋体" w:cs="宋体"/>
                <w:szCs w:val="24"/>
                <w:highlight w:val="none"/>
              </w:rPr>
              <w:t>乙方所供货物必须执行下列条款：</w:t>
            </w:r>
          </w:p>
          <w:p w14:paraId="21342C1C">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（一）货物到达甲方指定地点后，甲方根据合同要求，进行外观验收，确认产地、规格、型号和数量。产品</w:t>
            </w:r>
            <w:r>
              <w:rPr>
                <w:rFonts w:hint="eastAsia" w:hAnsi="宋体" w:cs="宋体"/>
                <w:bCs/>
                <w:szCs w:val="24"/>
                <w:highlight w:val="none"/>
              </w:rPr>
              <w:t>性能及质量符合招标文件要求</w:t>
            </w:r>
            <w:r>
              <w:rPr>
                <w:rFonts w:hint="eastAsia" w:hAnsi="宋体" w:cs="宋体"/>
                <w:b/>
                <w:bCs/>
                <w:szCs w:val="24"/>
                <w:highlight w:val="none"/>
              </w:rPr>
              <w:t>。</w:t>
            </w:r>
            <w:r>
              <w:rPr>
                <w:rFonts w:hint="eastAsia" w:hAnsi="宋体" w:cs="宋体"/>
                <w:bCs/>
                <w:szCs w:val="24"/>
                <w:highlight w:val="none"/>
              </w:rPr>
              <w:t>进口货物需加报海关清关证明（包括但不限于进口货物报关单）。</w:t>
            </w:r>
          </w:p>
          <w:p w14:paraId="6FF2CFFA">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（二）保证技术指标先进、质量性能可靠、进货渠道正常，配置合理，全面满足磋商要求。</w:t>
            </w:r>
          </w:p>
          <w:p w14:paraId="7B5E0388">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（三）符合国家有关规范要求，确保达到最佳运行状态。</w:t>
            </w:r>
          </w:p>
          <w:p w14:paraId="7647CFCB">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（四）具有良好的外观，适合安装场所的使用。</w:t>
            </w:r>
          </w:p>
          <w:p w14:paraId="2ACA9750">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（五）自安装、调试正常运行并验收合格之日起：</w:t>
            </w:r>
          </w:p>
          <w:p w14:paraId="6A91C980">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自验收合格之日起提供</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rPr>
              <w:t>年免费质保服务（主要设备须原厂质保），免费保修期内，同一主要部件出现质量问题经过两次维修后仍无法正常使用，可以更换同型号、同规格的产品，如设备出现故障,接到使用客户维修电话，</w:t>
            </w:r>
            <w:r>
              <w:rPr>
                <w:rFonts w:hint="eastAsia" w:hAnsi="宋体" w:cs="宋体"/>
                <w:szCs w:val="24"/>
                <w:highlight w:val="none"/>
                <w:u w:val="single"/>
              </w:rPr>
              <w:t xml:space="preserve"> 2 </w:t>
            </w:r>
            <w:r>
              <w:rPr>
                <w:rFonts w:hint="eastAsia" w:hAnsi="宋体" w:cs="宋体"/>
                <w:szCs w:val="24"/>
                <w:highlight w:val="none"/>
              </w:rPr>
              <w:t>小时响应，</w:t>
            </w:r>
            <w:r>
              <w:rPr>
                <w:rFonts w:hint="eastAsia" w:hAnsi="宋体" w:cs="宋体"/>
                <w:szCs w:val="24"/>
                <w:highlight w:val="none"/>
                <w:u w:val="single"/>
              </w:rPr>
              <w:t xml:space="preserve"> 24 </w:t>
            </w:r>
            <w:r>
              <w:rPr>
                <w:rFonts w:hint="eastAsia" w:hAnsi="宋体" w:cs="宋体"/>
                <w:szCs w:val="24"/>
                <w:highlight w:val="none"/>
              </w:rPr>
              <w:t>小时内工程师到位，对问题较大短期（24小时）内暂不能解决的，为不影响甲方正常工作，乙方需免费提供替代产品，确保正常运行</w:t>
            </w:r>
            <w:r>
              <w:rPr>
                <w:rFonts w:hint="eastAsia" w:hAnsi="宋体" w:cs="宋体"/>
                <w:szCs w:val="24"/>
                <w:highlight w:val="none"/>
                <w:lang w:val="de-DE"/>
              </w:rPr>
              <w:t>；</w:t>
            </w:r>
          </w:p>
          <w:p w14:paraId="49168649">
            <w:pPr>
              <w:tabs>
                <w:tab w:val="left" w:pos="480"/>
              </w:tabs>
              <w:spacing w:line="360" w:lineRule="auto"/>
              <w:ind w:firstLine="480" w:firstLineChars="200"/>
              <w:rPr>
                <w:rFonts w:hAnsi="宋体" w:cs="宋体"/>
                <w:szCs w:val="24"/>
                <w:highlight w:val="none"/>
              </w:rPr>
            </w:pPr>
            <w:r>
              <w:rPr>
                <w:rFonts w:hint="eastAsia" w:hAnsi="宋体" w:cs="宋体"/>
                <w:szCs w:val="24"/>
                <w:highlight w:val="none"/>
              </w:rPr>
              <w:t>（六）设备到位后，工程师应立即进行安装、调试，同时对操作人员进行严格的规范化培训。</w:t>
            </w:r>
          </w:p>
          <w:p w14:paraId="1B641BBD">
            <w:pPr>
              <w:tabs>
                <w:tab w:val="left" w:pos="480"/>
              </w:tabs>
              <w:spacing w:line="360" w:lineRule="auto"/>
              <w:ind w:firstLine="480" w:firstLineChars="200"/>
              <w:rPr>
                <w:rFonts w:hAnsi="宋体" w:cs="宋体"/>
                <w:szCs w:val="24"/>
                <w:highlight w:val="none"/>
              </w:rPr>
            </w:pPr>
            <w:r>
              <w:rPr>
                <w:rFonts w:hint="eastAsia" w:hAnsi="宋体" w:cs="宋体"/>
                <w:szCs w:val="24"/>
                <w:highlight w:val="none"/>
                <w:lang w:val="de-DE"/>
              </w:rPr>
              <w:t>（</w:t>
            </w:r>
            <w:r>
              <w:rPr>
                <w:rFonts w:hint="eastAsia" w:hAnsi="宋体" w:cs="宋体"/>
                <w:szCs w:val="24"/>
                <w:highlight w:val="none"/>
              </w:rPr>
              <w:t>七</w:t>
            </w:r>
            <w:r>
              <w:rPr>
                <w:rFonts w:hint="eastAsia" w:hAnsi="宋体" w:cs="宋体"/>
                <w:szCs w:val="24"/>
                <w:highlight w:val="none"/>
                <w:lang w:val="de-DE"/>
              </w:rPr>
              <w:t>）技术文件：提供配套的设备清单。</w:t>
            </w:r>
          </w:p>
        </w:tc>
      </w:tr>
      <w:tr w14:paraId="258E2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2D6D586E">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12</w:t>
            </w:r>
          </w:p>
        </w:tc>
        <w:tc>
          <w:tcPr>
            <w:tcW w:w="8546" w:type="dxa"/>
            <w:vAlign w:val="center"/>
          </w:tcPr>
          <w:p w14:paraId="2BC9BBBB">
            <w:pPr>
              <w:spacing w:line="360" w:lineRule="auto"/>
              <w:ind w:firstLine="480" w:firstLineChars="200"/>
              <w:rPr>
                <w:rFonts w:hAnsi="宋体" w:cs="宋体"/>
                <w:szCs w:val="24"/>
                <w:highlight w:val="none"/>
              </w:rPr>
            </w:pPr>
            <w:r>
              <w:rPr>
                <w:rFonts w:hint="eastAsia" w:hAnsi="宋体" w:cs="宋体"/>
                <w:szCs w:val="24"/>
                <w:highlight w:val="none"/>
              </w:rPr>
              <w:t>由采购人和投标人共同对项目进行整体验收。其内容包括所有产品清单的供货、使用等是否达到验收规范“合格”标准、是否按照采购人要求按时完成。</w:t>
            </w:r>
          </w:p>
          <w:p w14:paraId="18706984">
            <w:pPr>
              <w:spacing w:line="520" w:lineRule="exact"/>
              <w:ind w:firstLine="480" w:firstLineChars="200"/>
              <w:rPr>
                <w:rFonts w:hAnsi="宋体" w:cs="宋体"/>
                <w:szCs w:val="24"/>
                <w:highlight w:val="none"/>
              </w:rPr>
            </w:pPr>
            <w:r>
              <w:rPr>
                <w:rFonts w:hint="eastAsia" w:hAnsi="宋体" w:cs="宋体"/>
                <w:szCs w:val="24"/>
                <w:highlight w:val="none"/>
              </w:rPr>
              <w:t>1.所验各项内容最终验收达不到招标文件要求和投标文件承诺的，或在后续使用中发现采购人不能容忍的缺陷等，将视为验收不合格，投标人应在采购人要求的时间内无条件整改及恢复。</w:t>
            </w:r>
          </w:p>
          <w:p w14:paraId="4E909318">
            <w:pPr>
              <w:spacing w:line="520" w:lineRule="exact"/>
              <w:ind w:firstLine="480" w:firstLineChars="200"/>
              <w:rPr>
                <w:rFonts w:hAnsi="宋体" w:cs="宋体"/>
                <w:szCs w:val="24"/>
                <w:highlight w:val="none"/>
              </w:rPr>
            </w:pPr>
            <w:r>
              <w:rPr>
                <w:rFonts w:hint="eastAsia" w:hAnsi="宋体" w:cs="宋体"/>
                <w:szCs w:val="24"/>
                <w:highlight w:val="none"/>
              </w:rPr>
              <w:t>2.若发现投标人有弄虚作假的，在招标阶段故意或随意夸大技术能力、服务质量的，采购人有权解除合同，并且要求投标人赔偿相关损失。</w:t>
            </w:r>
          </w:p>
          <w:p w14:paraId="70A2A364">
            <w:pPr>
              <w:spacing w:line="520" w:lineRule="exact"/>
              <w:ind w:firstLine="480" w:firstLineChars="200"/>
              <w:rPr>
                <w:rFonts w:hAnsi="宋体" w:cs="宋体"/>
                <w:szCs w:val="24"/>
                <w:highlight w:val="none"/>
              </w:rPr>
            </w:pPr>
            <w:r>
              <w:rPr>
                <w:rFonts w:hint="eastAsia" w:hAnsi="宋体" w:cs="宋体"/>
                <w:szCs w:val="24"/>
                <w:highlight w:val="none"/>
              </w:rPr>
              <w:t>3.验收标准：按招标文件、投标文件及澄清函等技术指标进行验收。各项指标均应符合验收标准及要求。</w:t>
            </w:r>
          </w:p>
          <w:p w14:paraId="2A4BAAFA">
            <w:pPr>
              <w:spacing w:line="360" w:lineRule="auto"/>
              <w:ind w:firstLine="480" w:firstLineChars="200"/>
              <w:rPr>
                <w:rFonts w:hAnsi="宋体" w:cs="宋体"/>
                <w:szCs w:val="24"/>
                <w:highlight w:val="none"/>
              </w:rPr>
            </w:pPr>
            <w:r>
              <w:rPr>
                <w:rFonts w:hint="eastAsia" w:hAnsi="宋体" w:cs="宋体"/>
                <w:szCs w:val="24"/>
                <w:highlight w:val="none"/>
              </w:rPr>
              <w:t>4.验收合格后，填写验收单，双方签字生效。</w:t>
            </w:r>
          </w:p>
          <w:p w14:paraId="5BCB2A1E">
            <w:pPr>
              <w:spacing w:line="360" w:lineRule="auto"/>
              <w:ind w:firstLine="480" w:firstLineChars="200"/>
              <w:rPr>
                <w:szCs w:val="24"/>
                <w:highlight w:val="none"/>
              </w:rPr>
            </w:pPr>
            <w:r>
              <w:rPr>
                <w:rFonts w:hint="eastAsia" w:hAnsi="宋体" w:cs="宋体"/>
                <w:szCs w:val="24"/>
                <w:highlight w:val="none"/>
              </w:rPr>
              <w:t>5.验收依据：</w:t>
            </w:r>
          </w:p>
          <w:p w14:paraId="2CCCE03E">
            <w:pPr>
              <w:numPr>
                <w:ilvl w:val="0"/>
                <w:numId w:val="1"/>
              </w:numPr>
              <w:tabs>
                <w:tab w:val="left" w:pos="498"/>
                <w:tab w:val="clear" w:pos="840"/>
              </w:tabs>
              <w:spacing w:line="360" w:lineRule="auto"/>
              <w:ind w:hanging="625"/>
              <w:rPr>
                <w:rFonts w:hAnsi="宋体" w:cs="宋体"/>
                <w:szCs w:val="24"/>
                <w:highlight w:val="none"/>
              </w:rPr>
            </w:pPr>
            <w:r>
              <w:rPr>
                <w:rFonts w:hint="eastAsia" w:hAnsi="宋体" w:cs="宋体"/>
                <w:szCs w:val="24"/>
                <w:highlight w:val="none"/>
              </w:rPr>
              <w:t>合同文本；</w:t>
            </w:r>
          </w:p>
          <w:p w14:paraId="5EC2EDC4">
            <w:pPr>
              <w:numPr>
                <w:ilvl w:val="0"/>
                <w:numId w:val="1"/>
              </w:numPr>
              <w:tabs>
                <w:tab w:val="left" w:pos="498"/>
                <w:tab w:val="clear" w:pos="840"/>
              </w:tabs>
              <w:spacing w:line="360" w:lineRule="auto"/>
              <w:ind w:hanging="625"/>
              <w:rPr>
                <w:rFonts w:hAnsi="宋体" w:cs="宋体"/>
                <w:szCs w:val="24"/>
                <w:highlight w:val="none"/>
              </w:rPr>
            </w:pPr>
            <w:r>
              <w:rPr>
                <w:rFonts w:hint="eastAsia" w:hAnsi="宋体" w:cs="宋体"/>
                <w:szCs w:val="24"/>
                <w:highlight w:val="none"/>
              </w:rPr>
              <w:t>招标文件及澄清函、投标文件；</w:t>
            </w:r>
          </w:p>
          <w:p w14:paraId="25B9A030">
            <w:pPr>
              <w:numPr>
                <w:ilvl w:val="0"/>
                <w:numId w:val="1"/>
              </w:numPr>
              <w:tabs>
                <w:tab w:val="left" w:pos="498"/>
                <w:tab w:val="clear" w:pos="840"/>
              </w:tabs>
              <w:spacing w:line="360" w:lineRule="auto"/>
              <w:ind w:hanging="625"/>
              <w:rPr>
                <w:rFonts w:hAnsi="宋体" w:cs="宋体"/>
                <w:szCs w:val="24"/>
                <w:highlight w:val="none"/>
              </w:rPr>
            </w:pPr>
            <w:r>
              <w:rPr>
                <w:rFonts w:hint="eastAsia" w:hAnsi="宋体" w:cs="宋体"/>
                <w:szCs w:val="24"/>
                <w:highlight w:val="none"/>
              </w:rPr>
              <w:t>国家和行业制定的相应的标准和规范；</w:t>
            </w:r>
          </w:p>
          <w:p w14:paraId="4E9B9133">
            <w:pPr>
              <w:widowControl/>
              <w:spacing w:line="560" w:lineRule="exact"/>
              <w:ind w:firstLine="480" w:firstLineChars="200"/>
              <w:rPr>
                <w:rFonts w:hAnsi="宋体" w:cs="宋体"/>
                <w:szCs w:val="24"/>
                <w:highlight w:val="none"/>
              </w:rPr>
            </w:pPr>
            <w:r>
              <w:rPr>
                <w:rFonts w:hint="eastAsia" w:hAnsi="宋体" w:cs="宋体"/>
                <w:szCs w:val="24"/>
                <w:highlight w:val="none"/>
              </w:rPr>
              <w:t>验收清单</w:t>
            </w:r>
            <w:r>
              <w:rPr>
                <w:rFonts w:hint="eastAsia"/>
                <w:highlight w:val="none"/>
              </w:rPr>
              <w:t>。</w:t>
            </w:r>
          </w:p>
        </w:tc>
      </w:tr>
      <w:tr w14:paraId="486DA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1F5402B5">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13</w:t>
            </w:r>
          </w:p>
        </w:tc>
        <w:tc>
          <w:tcPr>
            <w:tcW w:w="8546" w:type="dxa"/>
            <w:vAlign w:val="center"/>
          </w:tcPr>
          <w:p w14:paraId="599BA8FC">
            <w:pPr>
              <w:spacing w:line="360" w:lineRule="auto"/>
              <w:rPr>
                <w:highlight w:val="none"/>
              </w:rPr>
            </w:pPr>
            <w:r>
              <w:rPr>
                <w:rFonts w:hint="eastAsia"/>
                <w:highlight w:val="none"/>
              </w:rPr>
              <w:t>售后服务：</w:t>
            </w:r>
          </w:p>
          <w:p w14:paraId="6FCE58C4">
            <w:pPr>
              <w:spacing w:line="360" w:lineRule="auto"/>
              <w:ind w:firstLine="480" w:firstLineChars="200"/>
              <w:rPr>
                <w:highlight w:val="none"/>
              </w:rPr>
            </w:pPr>
            <w:r>
              <w:rPr>
                <w:rFonts w:hint="eastAsia"/>
                <w:highlight w:val="none"/>
              </w:rPr>
              <w:t>1.供应商应提供可承担维修职能的公司、全资分公司或办事处，并驻守多名维护技术人员，并提供地点、联系人（常驻工程师）及联系电话（服务热线），随时解答各种疑问。</w:t>
            </w:r>
          </w:p>
          <w:p w14:paraId="68D99DF6">
            <w:pPr>
              <w:spacing w:line="360" w:lineRule="auto"/>
              <w:ind w:firstLine="480" w:firstLineChars="200"/>
              <w:rPr>
                <w:highlight w:val="none"/>
              </w:rPr>
            </w:pPr>
            <w:r>
              <w:rPr>
                <w:rFonts w:hint="eastAsia"/>
                <w:highlight w:val="none"/>
              </w:rPr>
              <w:t>2.服务方式:现场服务，质保期内维修费用含在合同总价中，提供终身维修（护）。在质量保证期内发生重大故障，维修工程师抵达现场时间≤8小时，3个工作日内无法恢复的故障提供免费备机服务。产品实行“三包”，并承担由此产生的包装、运输等的一切费用。</w:t>
            </w:r>
          </w:p>
          <w:p w14:paraId="6E626C1A">
            <w:pPr>
              <w:spacing w:line="360" w:lineRule="auto"/>
              <w:ind w:firstLine="480" w:firstLineChars="200"/>
              <w:rPr>
                <w:highlight w:val="none"/>
              </w:rPr>
            </w:pPr>
            <w:r>
              <w:rPr>
                <w:rFonts w:hint="eastAsia"/>
                <w:highlight w:val="none"/>
              </w:rPr>
              <w:t>3.每年至少2次免费上门维护，回访。</w:t>
            </w:r>
          </w:p>
          <w:p w14:paraId="71562292">
            <w:pPr>
              <w:spacing w:line="360" w:lineRule="auto"/>
              <w:ind w:firstLine="480" w:firstLineChars="200"/>
              <w:rPr>
                <w:highlight w:val="none"/>
              </w:rPr>
            </w:pPr>
            <w:r>
              <w:rPr>
                <w:rFonts w:hint="eastAsia"/>
                <w:highlight w:val="none"/>
              </w:rPr>
              <w:t>4.对于存在质量问题或者短少的产品，供应商应在接到采购人的通知2个日历日内负责修复，调换、重新制作或补齐。</w:t>
            </w:r>
          </w:p>
          <w:p w14:paraId="745080B6">
            <w:pPr>
              <w:spacing w:line="360" w:lineRule="auto"/>
              <w:ind w:firstLine="480" w:firstLineChars="200"/>
              <w:rPr>
                <w:highlight w:val="none"/>
              </w:rPr>
            </w:pPr>
            <w:r>
              <w:rPr>
                <w:rFonts w:hint="eastAsia"/>
                <w:highlight w:val="none"/>
              </w:rPr>
              <w:t>5.在最终验收后的质量保证期内，供应商应对设计、工艺或材料等的缺陷而产生的故障负责（负责解决并承担全部费用）。质保期满后如出现此类问题亦应负责。</w:t>
            </w:r>
          </w:p>
          <w:p w14:paraId="58B2B464">
            <w:pPr>
              <w:spacing w:line="360" w:lineRule="auto"/>
              <w:ind w:firstLine="480" w:firstLineChars="200"/>
              <w:rPr>
                <w:highlight w:val="none"/>
              </w:rPr>
            </w:pPr>
            <w:r>
              <w:rPr>
                <w:rFonts w:hint="eastAsia"/>
                <w:highlight w:val="none"/>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满足招标文件要求对待。</w:t>
            </w:r>
          </w:p>
          <w:p w14:paraId="45496696">
            <w:pPr>
              <w:spacing w:line="360" w:lineRule="auto"/>
              <w:ind w:firstLine="480" w:firstLineChars="200"/>
              <w:rPr>
                <w:highlight w:val="none"/>
              </w:rPr>
            </w:pPr>
            <w:r>
              <w:rPr>
                <w:rFonts w:hint="eastAsia"/>
                <w:highlight w:val="none"/>
              </w:rPr>
              <w:t>7.对于未按约定提供质保服务的供应商或违约的供应商，采购人有权拒绝其参加采购人单位的政府采购项目。且采购人有权委托第三方进行维修，所产生的费用由供应商承担，采购人有权从质保金中直接扣除，不足部分应由供应商支付。</w:t>
            </w:r>
          </w:p>
          <w:p w14:paraId="0801F45A">
            <w:pPr>
              <w:spacing w:line="360" w:lineRule="auto"/>
              <w:ind w:firstLine="480" w:firstLineChars="200"/>
              <w:rPr>
                <w:highlight w:val="none"/>
              </w:rPr>
            </w:pPr>
            <w:r>
              <w:rPr>
                <w:rFonts w:hint="eastAsia"/>
                <w:highlight w:val="none"/>
              </w:rPr>
              <w:t>8.维修响应速度：接到通知后1小时内做出维修方案决定；如2小时内无法通过电话解决问题,维修人员必须在接到故障报告后24小时内到达学校，不管是否节假日；</w:t>
            </w:r>
          </w:p>
          <w:p w14:paraId="4ABA491B">
            <w:pPr>
              <w:widowControl/>
              <w:spacing w:line="560" w:lineRule="exact"/>
              <w:ind w:firstLine="480" w:firstLineChars="200"/>
              <w:rPr>
                <w:highlight w:val="none"/>
              </w:rPr>
            </w:pPr>
            <w:r>
              <w:rPr>
                <w:rFonts w:hint="eastAsia"/>
                <w:highlight w:val="none"/>
              </w:rPr>
              <w:t>9.提供现场技术培训，保证使用人员正常操作设备的各种功能；</w:t>
            </w:r>
          </w:p>
        </w:tc>
      </w:tr>
      <w:tr w14:paraId="444EC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059E7D17">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14</w:t>
            </w:r>
          </w:p>
        </w:tc>
        <w:tc>
          <w:tcPr>
            <w:tcW w:w="8546" w:type="dxa"/>
            <w:vAlign w:val="center"/>
          </w:tcPr>
          <w:p w14:paraId="5950A477">
            <w:pPr>
              <w:spacing w:line="360" w:lineRule="auto"/>
              <w:rPr>
                <w:rFonts w:hAnsi="宋体" w:cs="宋体"/>
                <w:b/>
                <w:szCs w:val="24"/>
                <w:highlight w:val="none"/>
              </w:rPr>
            </w:pPr>
            <w:r>
              <w:rPr>
                <w:rFonts w:hint="eastAsia" w:hAnsi="宋体" w:cs="宋体"/>
                <w:b/>
                <w:szCs w:val="24"/>
                <w:highlight w:val="none"/>
              </w:rPr>
              <w:t>知识产权、专利权：</w:t>
            </w:r>
          </w:p>
          <w:p w14:paraId="4BD2830A">
            <w:pPr>
              <w:widowControl/>
              <w:spacing w:line="560" w:lineRule="exact"/>
              <w:ind w:firstLine="480" w:firstLineChars="200"/>
              <w:rPr>
                <w:highlight w:val="none"/>
              </w:rPr>
            </w:pPr>
            <w:r>
              <w:rPr>
                <w:rFonts w:hint="eastAsia" w:hAnsi="宋体" w:cs="宋体"/>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tc>
      </w:tr>
      <w:tr w14:paraId="48B30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65D5E1F2">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15</w:t>
            </w:r>
          </w:p>
        </w:tc>
        <w:tc>
          <w:tcPr>
            <w:tcW w:w="8546" w:type="dxa"/>
            <w:vAlign w:val="center"/>
          </w:tcPr>
          <w:p w14:paraId="699B9611">
            <w:pPr>
              <w:spacing w:line="360" w:lineRule="auto"/>
              <w:rPr>
                <w:rFonts w:hAnsi="宋体" w:cs="宋体"/>
                <w:b/>
                <w:szCs w:val="24"/>
                <w:highlight w:val="none"/>
              </w:rPr>
            </w:pPr>
            <w:r>
              <w:rPr>
                <w:rFonts w:hint="eastAsia" w:hAnsi="宋体" w:cs="宋体"/>
                <w:b/>
                <w:szCs w:val="24"/>
                <w:highlight w:val="none"/>
              </w:rPr>
              <w:t>违约责任：</w:t>
            </w:r>
          </w:p>
          <w:p w14:paraId="3C791514">
            <w:pPr>
              <w:spacing w:line="360" w:lineRule="auto"/>
              <w:ind w:firstLine="480" w:firstLineChars="200"/>
              <w:rPr>
                <w:rFonts w:hAnsi="宋体" w:cs="宋体"/>
                <w:szCs w:val="24"/>
                <w:highlight w:val="none"/>
              </w:rPr>
            </w:pPr>
            <w:r>
              <w:rPr>
                <w:rFonts w:hint="eastAsia" w:hAnsi="宋体" w:cs="宋体"/>
                <w:szCs w:val="24"/>
                <w:highlight w:val="none"/>
              </w:rPr>
              <w:t>1、按《民法典》中的相关条款执行。</w:t>
            </w:r>
          </w:p>
          <w:p w14:paraId="2ECEBD5D">
            <w:pPr>
              <w:spacing w:line="360" w:lineRule="auto"/>
              <w:ind w:firstLine="480" w:firstLineChars="200"/>
              <w:rPr>
                <w:rFonts w:hAnsi="宋体" w:cs="宋体"/>
                <w:szCs w:val="24"/>
                <w:highlight w:val="none"/>
              </w:rPr>
            </w:pPr>
            <w:r>
              <w:rPr>
                <w:rFonts w:hint="eastAsia" w:hAnsi="宋体" w:cs="宋体"/>
                <w:szCs w:val="24"/>
                <w:highlight w:val="none"/>
              </w:rPr>
              <w:t>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tc>
      </w:tr>
      <w:tr w14:paraId="11B819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93" w:hRule="atLeast"/>
        </w:trPr>
        <w:tc>
          <w:tcPr>
            <w:tcW w:w="865" w:type="dxa"/>
            <w:vAlign w:val="center"/>
          </w:tcPr>
          <w:p w14:paraId="5EE9176F">
            <w:pPr>
              <w:pStyle w:val="4"/>
              <w:spacing w:line="360" w:lineRule="auto"/>
              <w:jc w:val="center"/>
              <w:rPr>
                <w:rFonts w:hAnsi="宋体" w:cs="宋体"/>
                <w:kern w:val="0"/>
                <w:sz w:val="24"/>
                <w:szCs w:val="24"/>
                <w:highlight w:val="none"/>
              </w:rPr>
            </w:pPr>
            <w:r>
              <w:rPr>
                <w:rFonts w:hint="eastAsia" w:hAnsi="宋体" w:cs="宋体"/>
                <w:kern w:val="0"/>
                <w:sz w:val="24"/>
                <w:szCs w:val="24"/>
                <w:highlight w:val="none"/>
              </w:rPr>
              <w:t>16</w:t>
            </w:r>
          </w:p>
        </w:tc>
        <w:tc>
          <w:tcPr>
            <w:tcW w:w="8546" w:type="dxa"/>
            <w:vAlign w:val="center"/>
          </w:tcPr>
          <w:p w14:paraId="71CBA6FC">
            <w:pPr>
              <w:spacing w:line="360" w:lineRule="auto"/>
              <w:rPr>
                <w:rFonts w:hAnsi="宋体" w:cs="宋体"/>
                <w:b/>
                <w:szCs w:val="24"/>
                <w:highlight w:val="none"/>
              </w:rPr>
            </w:pPr>
            <w:r>
              <w:rPr>
                <w:rFonts w:hint="eastAsia" w:hAnsi="宋体" w:cs="宋体"/>
                <w:b/>
                <w:szCs w:val="24"/>
                <w:highlight w:val="none"/>
              </w:rPr>
              <w:t>政府采购合同：</w:t>
            </w:r>
          </w:p>
          <w:p w14:paraId="0875096F">
            <w:pPr>
              <w:spacing w:line="360" w:lineRule="auto"/>
              <w:ind w:firstLine="480" w:firstLineChars="200"/>
              <w:rPr>
                <w:rFonts w:hint="eastAsia" w:hAnsi="宋体" w:eastAsia="宋体" w:cs="宋体"/>
                <w:szCs w:val="24"/>
                <w:highlight w:val="none"/>
                <w:lang w:eastAsia="zh-CN"/>
              </w:rPr>
            </w:pPr>
            <w:r>
              <w:rPr>
                <w:rFonts w:hint="eastAsia" w:hAnsi="宋体" w:cs="宋体"/>
                <w:szCs w:val="24"/>
                <w:highlight w:val="none"/>
              </w:rPr>
              <w:t>政府采购合同适用合同法。采购人和供应商之间的权利和义务，应当按照平等、自愿的原则以合同方式约定。</w:t>
            </w:r>
          </w:p>
          <w:p w14:paraId="55BAF4EC">
            <w:pPr>
              <w:spacing w:line="360" w:lineRule="auto"/>
              <w:ind w:firstLine="480" w:firstLineChars="200"/>
              <w:rPr>
                <w:rFonts w:hAnsi="宋体" w:cs="宋体"/>
                <w:szCs w:val="24"/>
                <w:highlight w:val="none"/>
              </w:rPr>
            </w:pPr>
            <w:r>
              <w:rPr>
                <w:rFonts w:hint="eastAsia" w:hAnsi="宋体" w:cs="宋体"/>
                <w:szCs w:val="24"/>
                <w:highlight w:val="none"/>
              </w:rPr>
              <w:t xml:space="preserve">    采购人可以委托采购代理机构代表其与供应商签订政府采购合同。由采购代理机构以采购人名义签订合同的，应当提交采购人的授权委托书，作为合同附件。</w:t>
            </w:r>
          </w:p>
          <w:p w14:paraId="4D03C076">
            <w:pPr>
              <w:spacing w:line="360" w:lineRule="auto"/>
              <w:ind w:firstLine="480" w:firstLineChars="200"/>
              <w:rPr>
                <w:rFonts w:hAnsi="宋体" w:cs="宋体"/>
                <w:szCs w:val="24"/>
                <w:highlight w:val="none"/>
              </w:rPr>
            </w:pPr>
            <w:r>
              <w:rPr>
                <w:rFonts w:hint="eastAsia" w:hAnsi="宋体" w:cs="宋体"/>
                <w:szCs w:val="24"/>
                <w:highlight w:val="none"/>
              </w:rPr>
              <w:t>政府采购合同应当采用书面形式。</w:t>
            </w:r>
          </w:p>
          <w:p w14:paraId="580EA95B">
            <w:pPr>
              <w:spacing w:line="360" w:lineRule="auto"/>
              <w:ind w:firstLine="480" w:firstLineChars="200"/>
              <w:rPr>
                <w:rFonts w:hint="eastAsia" w:hAnsi="宋体" w:eastAsia="宋体" w:cs="宋体"/>
                <w:szCs w:val="24"/>
                <w:highlight w:val="none"/>
                <w:lang w:eastAsia="zh-CN"/>
              </w:rPr>
            </w:pPr>
            <w:r>
              <w:rPr>
                <w:rFonts w:hint="eastAsia" w:hAnsi="宋体" w:cs="宋体"/>
                <w:szCs w:val="24"/>
                <w:highlight w:val="none"/>
              </w:rPr>
              <w:t>国务院政府采购监督管理部门应当会同国务院有关部门，规定政府采购合同必须具备的条款。</w:t>
            </w:r>
          </w:p>
          <w:p w14:paraId="288DE66E">
            <w:pPr>
              <w:spacing w:line="360" w:lineRule="auto"/>
              <w:ind w:firstLine="480" w:firstLineChars="200"/>
              <w:rPr>
                <w:rFonts w:hint="eastAsia" w:hAnsi="宋体" w:eastAsia="宋体" w:cs="宋体"/>
                <w:szCs w:val="24"/>
                <w:highlight w:val="none"/>
                <w:lang w:eastAsia="zh-CN"/>
              </w:rPr>
            </w:pPr>
            <w:r>
              <w:rPr>
                <w:rFonts w:hint="eastAsia" w:hAnsi="宋体" w:cs="宋体"/>
                <w:szCs w:val="24"/>
                <w:highlight w:val="none"/>
              </w:rPr>
              <w:t xml:space="preserve">    采购人与中标、成交供应商应当在中标、成交通知书发出之日起三十日内，按照采购文件确定的事项签订政府采购合同。</w:t>
            </w:r>
          </w:p>
          <w:p w14:paraId="65448481">
            <w:pPr>
              <w:spacing w:line="360" w:lineRule="auto"/>
              <w:ind w:firstLine="480" w:firstLineChars="200"/>
              <w:rPr>
                <w:rFonts w:hAnsi="宋体" w:cs="宋体"/>
                <w:szCs w:val="24"/>
                <w:highlight w:val="none"/>
              </w:rPr>
            </w:pPr>
            <w:r>
              <w:rPr>
                <w:rFonts w:hint="eastAsia" w:hAnsi="宋体" w:cs="宋体"/>
                <w:szCs w:val="24"/>
                <w:highlight w:val="none"/>
              </w:rPr>
              <w:t xml:space="preserve">    中标、成交通知书对采购人和中标、成交供应商均具有法律效力。中标、成交通知书发出后，采购人改变中标、成交结果的，或者中标、成交供应商放弃中标、成交项目的，应当依法承担法律责任。</w:t>
            </w:r>
          </w:p>
          <w:p w14:paraId="1C5581D6">
            <w:pPr>
              <w:widowControl/>
              <w:spacing w:line="560" w:lineRule="exact"/>
              <w:ind w:firstLine="480" w:firstLineChars="200"/>
              <w:rPr>
                <w:rFonts w:hAnsi="宋体" w:cs="宋体"/>
                <w:szCs w:val="24"/>
                <w:highlight w:val="none"/>
              </w:rPr>
            </w:pPr>
            <w:r>
              <w:rPr>
                <w:rFonts w:hint="eastAsia" w:hAnsi="宋体" w:cs="宋体"/>
                <w:szCs w:val="24"/>
                <w:highlight w:val="none"/>
              </w:rPr>
              <w:t>政府采购项目的采购合同自签订之日起七个工作日内，采购人应当将合同副本报同级政府采购监督管理部门和有关部门备案。</w:t>
            </w:r>
          </w:p>
        </w:tc>
      </w:tr>
      <w:bookmarkEnd w:id="4"/>
      <w:bookmarkEnd w:id="5"/>
      <w:bookmarkEnd w:id="6"/>
      <w:bookmarkEnd w:id="7"/>
      <w:bookmarkEnd w:id="8"/>
    </w:tbl>
    <w:p w14:paraId="5A0F74A1">
      <w:pPr>
        <w:rPr>
          <w:rFonts w:hAnsi="宋体" w:cs="宋体"/>
          <w:b/>
          <w:sz w:val="36"/>
          <w:szCs w:val="36"/>
          <w:highlight w:val="none"/>
        </w:rPr>
      </w:pPr>
      <w:r>
        <w:rPr>
          <w:rFonts w:hint="eastAsia" w:hAnsi="宋体" w:cs="宋体"/>
          <w:b/>
          <w:sz w:val="36"/>
          <w:szCs w:val="36"/>
          <w:highlight w:val="none"/>
        </w:rPr>
        <w:br w:type="page"/>
      </w:r>
    </w:p>
    <w:p w14:paraId="3D60D54F">
      <w:pPr>
        <w:rPr>
          <w:rFonts w:ascii="黑体" w:eastAsia="黑体"/>
          <w:b/>
          <w:sz w:val="32"/>
          <w:szCs w:val="32"/>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仅供参考）</w:t>
      </w:r>
    </w:p>
    <w:p w14:paraId="35D8AC40">
      <w:pPr>
        <w:rPr>
          <w:rFonts w:ascii="黑体" w:eastAsia="黑体"/>
          <w:b/>
          <w:sz w:val="32"/>
          <w:szCs w:val="32"/>
          <w:highlight w:val="none"/>
        </w:rPr>
      </w:pPr>
      <w:r>
        <w:rPr>
          <w:rFonts w:hint="eastAsia" w:ascii="黑体" w:eastAsia="黑体"/>
          <w:b/>
          <w:sz w:val="32"/>
          <w:szCs w:val="32"/>
          <w:highlight w:val="none"/>
        </w:rPr>
        <w:t xml:space="preserve">          </w:t>
      </w:r>
    </w:p>
    <w:p w14:paraId="61371C24">
      <w:pPr>
        <w:jc w:val="center"/>
        <w:rPr>
          <w:rFonts w:ascii="黑体" w:eastAsia="黑体"/>
          <w:sz w:val="52"/>
          <w:szCs w:val="52"/>
          <w:highlight w:val="none"/>
        </w:rPr>
      </w:pPr>
    </w:p>
    <w:p w14:paraId="38FA3A76">
      <w:pPr>
        <w:jc w:val="center"/>
        <w:rPr>
          <w:rFonts w:ascii="黑体" w:eastAsia="黑体"/>
          <w:sz w:val="52"/>
          <w:szCs w:val="52"/>
          <w:highlight w:val="none"/>
        </w:rPr>
      </w:pPr>
    </w:p>
    <w:p w14:paraId="1A1ACF06">
      <w:pPr>
        <w:jc w:val="center"/>
        <w:rPr>
          <w:rFonts w:hAnsi="宋体"/>
          <w:b/>
          <w:snapToGrid w:val="0"/>
          <w:sz w:val="48"/>
          <w:szCs w:val="48"/>
          <w:highlight w:val="none"/>
          <w:u w:val="single"/>
        </w:rPr>
      </w:pPr>
      <w:r>
        <w:rPr>
          <w:rFonts w:hint="eastAsia" w:hAnsi="宋体"/>
          <w:b/>
          <w:snapToGrid w:val="0"/>
          <w:sz w:val="48"/>
          <w:szCs w:val="48"/>
          <w:highlight w:val="none"/>
          <w:u w:val="single"/>
        </w:rPr>
        <w:t>(项目名称)</w:t>
      </w:r>
    </w:p>
    <w:p w14:paraId="0BD35909">
      <w:pPr>
        <w:jc w:val="center"/>
        <w:rPr>
          <w:rFonts w:ascii="黑体" w:eastAsia="黑体"/>
          <w:b/>
          <w:sz w:val="72"/>
          <w:szCs w:val="72"/>
          <w:highlight w:val="none"/>
        </w:rPr>
      </w:pPr>
      <w:r>
        <w:rPr>
          <w:rFonts w:hint="eastAsia" w:ascii="黑体" w:eastAsia="黑体"/>
          <w:b/>
          <w:sz w:val="72"/>
          <w:szCs w:val="72"/>
          <w:highlight w:val="none"/>
        </w:rPr>
        <w:t>供 货 合 同</w:t>
      </w:r>
    </w:p>
    <w:p w14:paraId="5DE1F8D8">
      <w:pPr>
        <w:jc w:val="center"/>
        <w:rPr>
          <w:rFonts w:ascii="黑体" w:eastAsia="黑体"/>
          <w:sz w:val="30"/>
          <w:szCs w:val="30"/>
          <w:highlight w:val="none"/>
        </w:rPr>
      </w:pPr>
      <w:r>
        <w:rPr>
          <w:rFonts w:hint="eastAsia" w:ascii="黑体" w:eastAsia="黑体"/>
          <w:sz w:val="30"/>
          <w:szCs w:val="30"/>
          <w:highlight w:val="none"/>
        </w:rPr>
        <w:t xml:space="preserve">（项目编号：      </w:t>
      </w:r>
      <w:r>
        <w:rPr>
          <w:rFonts w:hint="eastAsia" w:ascii="仿宋" w:hAnsi="仿宋" w:eastAsia="仿宋"/>
          <w:sz w:val="28"/>
          <w:szCs w:val="28"/>
          <w:highlight w:val="none"/>
        </w:rPr>
        <w:t>）</w:t>
      </w:r>
    </w:p>
    <w:p w14:paraId="00203951">
      <w:pPr>
        <w:jc w:val="center"/>
        <w:rPr>
          <w:rFonts w:ascii="黑体" w:eastAsia="黑体"/>
          <w:sz w:val="30"/>
          <w:szCs w:val="30"/>
          <w:highlight w:val="none"/>
        </w:rPr>
      </w:pPr>
    </w:p>
    <w:p w14:paraId="74D342C0">
      <w:pPr>
        <w:jc w:val="center"/>
        <w:rPr>
          <w:rFonts w:ascii="黑体" w:eastAsia="黑体"/>
          <w:sz w:val="30"/>
          <w:szCs w:val="30"/>
          <w:highlight w:val="none"/>
        </w:rPr>
      </w:pPr>
    </w:p>
    <w:p w14:paraId="24DAA36E">
      <w:pPr>
        <w:jc w:val="center"/>
        <w:rPr>
          <w:rFonts w:ascii="黑体" w:eastAsia="黑体"/>
          <w:sz w:val="30"/>
          <w:szCs w:val="30"/>
          <w:highlight w:val="none"/>
        </w:rPr>
      </w:pPr>
    </w:p>
    <w:p w14:paraId="0999ED92">
      <w:pPr>
        <w:jc w:val="center"/>
        <w:rPr>
          <w:rFonts w:ascii="黑体" w:eastAsia="黑体"/>
          <w:sz w:val="30"/>
          <w:szCs w:val="30"/>
          <w:highlight w:val="none"/>
        </w:rPr>
      </w:pPr>
    </w:p>
    <w:p w14:paraId="4F1791C8">
      <w:pPr>
        <w:jc w:val="center"/>
        <w:rPr>
          <w:rFonts w:ascii="黑体" w:eastAsia="黑体"/>
          <w:sz w:val="30"/>
          <w:szCs w:val="30"/>
          <w:highlight w:val="none"/>
        </w:rPr>
      </w:pPr>
    </w:p>
    <w:p w14:paraId="58EDC0E3">
      <w:pPr>
        <w:ind w:firstLine="2080" w:firstLineChars="650"/>
        <w:rPr>
          <w:rFonts w:ascii="黑体" w:eastAsia="黑体"/>
          <w:sz w:val="32"/>
          <w:szCs w:val="32"/>
          <w:highlight w:val="none"/>
        </w:rPr>
      </w:pPr>
    </w:p>
    <w:p w14:paraId="60B368B5">
      <w:pPr>
        <w:ind w:firstLine="2080" w:firstLineChars="650"/>
        <w:rPr>
          <w:rFonts w:ascii="黑体" w:eastAsia="黑体"/>
          <w:sz w:val="32"/>
          <w:szCs w:val="32"/>
          <w:highlight w:val="none"/>
        </w:rPr>
      </w:pPr>
    </w:p>
    <w:p w14:paraId="6A96FD1A">
      <w:pPr>
        <w:ind w:firstLine="2080" w:firstLineChars="650"/>
        <w:rPr>
          <w:rFonts w:ascii="黑体" w:eastAsia="黑体"/>
          <w:sz w:val="32"/>
          <w:szCs w:val="32"/>
          <w:highlight w:val="none"/>
        </w:rPr>
      </w:pPr>
      <w:r>
        <w:rPr>
          <w:rFonts w:hint="eastAsia" w:ascii="黑体" w:eastAsia="黑体"/>
          <w:sz w:val="32"/>
          <w:szCs w:val="32"/>
          <w:highlight w:val="none"/>
        </w:rPr>
        <w:t xml:space="preserve">甲  方： </w:t>
      </w:r>
    </w:p>
    <w:p w14:paraId="1341E8D1">
      <w:pPr>
        <w:tabs>
          <w:tab w:val="left" w:pos="480"/>
        </w:tabs>
        <w:ind w:firstLine="640" w:firstLineChars="200"/>
        <w:rPr>
          <w:rFonts w:ascii="黑体" w:hAnsi="黑体" w:eastAsia="黑体"/>
          <w:sz w:val="32"/>
          <w:szCs w:val="32"/>
          <w:highlight w:val="none"/>
        </w:rPr>
      </w:pPr>
      <w:r>
        <w:rPr>
          <w:rFonts w:hint="eastAsia" w:ascii="黑体" w:eastAsia="黑体"/>
          <w:sz w:val="32"/>
          <w:szCs w:val="32"/>
          <w:highlight w:val="none"/>
        </w:rPr>
        <w:t xml:space="preserve">         </w:t>
      </w:r>
      <w:r>
        <w:rPr>
          <w:rFonts w:hint="eastAsia" w:ascii="黑体" w:hAnsi="黑体" w:eastAsia="黑体"/>
          <w:sz w:val="32"/>
          <w:szCs w:val="32"/>
          <w:highlight w:val="none"/>
        </w:rPr>
        <w:t>乙  方：</w:t>
      </w:r>
    </w:p>
    <w:p w14:paraId="7F499AE6">
      <w:pPr>
        <w:jc w:val="center"/>
        <w:rPr>
          <w:rFonts w:ascii="黑体" w:eastAsia="黑体"/>
          <w:sz w:val="30"/>
          <w:szCs w:val="30"/>
          <w:highlight w:val="none"/>
        </w:rPr>
      </w:pPr>
    </w:p>
    <w:p w14:paraId="76A2DAD0">
      <w:pPr>
        <w:jc w:val="center"/>
        <w:rPr>
          <w:rFonts w:ascii="黑体" w:eastAsia="黑体"/>
          <w:sz w:val="32"/>
          <w:szCs w:val="32"/>
          <w:highlight w:val="none"/>
        </w:rPr>
      </w:pPr>
      <w:r>
        <w:rPr>
          <w:rFonts w:hint="eastAsia" w:ascii="黑体" w:eastAsia="黑体"/>
          <w:sz w:val="32"/>
          <w:szCs w:val="32"/>
          <w:highlight w:val="none"/>
        </w:rPr>
        <w:t xml:space="preserve">  年  月</w:t>
      </w:r>
    </w:p>
    <w:p w14:paraId="6C5E04A8">
      <w:pPr>
        <w:jc w:val="center"/>
        <w:rPr>
          <w:rFonts w:ascii="黑体" w:eastAsia="黑体"/>
          <w:sz w:val="32"/>
          <w:szCs w:val="32"/>
          <w:highlight w:val="none"/>
        </w:rPr>
      </w:pPr>
    </w:p>
    <w:p w14:paraId="21EBC434">
      <w:pPr>
        <w:spacing w:line="360" w:lineRule="auto"/>
        <w:ind w:firstLine="723" w:firstLineChars="200"/>
        <w:jc w:val="center"/>
        <w:rPr>
          <w:highlight w:val="none"/>
        </w:rPr>
      </w:pPr>
      <w:r>
        <w:rPr>
          <w:rFonts w:hint="eastAsia" w:ascii="黑体" w:eastAsia="黑体"/>
          <w:b/>
          <w:sz w:val="36"/>
          <w:szCs w:val="36"/>
          <w:highlight w:val="none"/>
        </w:rPr>
        <w:br w:type="page"/>
      </w:r>
      <w:r>
        <w:rPr>
          <w:rFonts w:hint="eastAsia" w:hAnsi="宋体" w:cs="宋体"/>
          <w:b/>
          <w:bCs/>
          <w:sz w:val="36"/>
          <w:szCs w:val="36"/>
          <w:highlight w:val="none"/>
        </w:rPr>
        <w:t>第一部分  协议书</w:t>
      </w:r>
    </w:p>
    <w:p w14:paraId="2526CA7A">
      <w:pPr>
        <w:spacing w:line="360" w:lineRule="auto"/>
        <w:ind w:firstLine="480" w:firstLineChars="200"/>
        <w:rPr>
          <w:highlight w:val="none"/>
        </w:rPr>
      </w:pPr>
      <w:r>
        <w:rPr>
          <w:rFonts w:hint="eastAsia"/>
          <w:highlight w:val="none"/>
        </w:rPr>
        <w:t>甲方：</w:t>
      </w:r>
      <w:r>
        <w:rPr>
          <w:rFonts w:hint="eastAsia"/>
          <w:highlight w:val="none"/>
          <w:u w:val="single"/>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w:t>
      </w:r>
    </w:p>
    <w:p w14:paraId="4306F03F">
      <w:pPr>
        <w:spacing w:line="360" w:lineRule="auto"/>
        <w:rPr>
          <w:highlight w:val="none"/>
        </w:rPr>
      </w:pPr>
      <w:r>
        <w:rPr>
          <w:rFonts w:hint="eastAsia"/>
          <w:highlight w:val="none"/>
        </w:rPr>
        <w:t xml:space="preserve">    乙方：</w:t>
      </w:r>
      <w:r>
        <w:rPr>
          <w:rFonts w:hint="eastAsia"/>
          <w:highlight w:val="none"/>
          <w:u w:val="single"/>
        </w:rPr>
        <w:t xml:space="preserve">                    </w:t>
      </w:r>
      <w:r>
        <w:rPr>
          <w:rFonts w:hint="eastAsia"/>
          <w:highlight w:val="none"/>
        </w:rPr>
        <w:t>，其注册登记地址为：</w:t>
      </w:r>
      <w:r>
        <w:rPr>
          <w:rFonts w:hint="eastAsia"/>
          <w:highlight w:val="none"/>
          <w:u w:val="single"/>
        </w:rPr>
        <w:t xml:space="preserve">                ，</w:t>
      </w:r>
      <w:r>
        <w:rPr>
          <w:rFonts w:hint="eastAsia"/>
          <w:highlight w:val="none"/>
        </w:rPr>
        <w:t>法定代表人为：</w:t>
      </w:r>
      <w:r>
        <w:rPr>
          <w:rFonts w:hint="eastAsia"/>
          <w:highlight w:val="none"/>
          <w:u w:val="single"/>
        </w:rPr>
        <w:t xml:space="preserve">        </w:t>
      </w:r>
      <w:r>
        <w:rPr>
          <w:rFonts w:hint="eastAsia"/>
          <w:highlight w:val="none"/>
        </w:rPr>
        <w:t xml:space="preserve">。 </w:t>
      </w:r>
    </w:p>
    <w:p w14:paraId="0045796A">
      <w:pPr>
        <w:spacing w:line="360" w:lineRule="auto"/>
        <w:ind w:firstLine="480" w:firstLineChars="200"/>
        <w:rPr>
          <w:highlight w:val="none"/>
          <w:u w:val="single"/>
        </w:rPr>
      </w:pPr>
      <w:r>
        <w:rPr>
          <w:rFonts w:hint="eastAsia"/>
          <w:highlight w:val="none"/>
        </w:rPr>
        <w:t>甲、乙双方基于公平、公正、平等的原则，依据《中华人民共和国民法典》、《中华人民共和国政府采购法》之相关规定，现经甲、乙双方友好协商，就甲方购买乙方产品设备事宜，达成以下合同条款：</w:t>
      </w:r>
    </w:p>
    <w:p w14:paraId="591B3C48">
      <w:pPr>
        <w:spacing w:line="360" w:lineRule="auto"/>
        <w:rPr>
          <w:b/>
          <w:highlight w:val="none"/>
        </w:rPr>
      </w:pPr>
      <w:r>
        <w:rPr>
          <w:rFonts w:hint="eastAsia"/>
          <w:b/>
          <w:highlight w:val="none"/>
        </w:rPr>
        <w:t>一、合同标的物：</w:t>
      </w:r>
    </w:p>
    <w:tbl>
      <w:tblPr>
        <w:tblStyle w:val="6"/>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3870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21BEC744">
            <w:pPr>
              <w:spacing w:line="360" w:lineRule="auto"/>
              <w:jc w:val="center"/>
              <w:rPr>
                <w:b/>
                <w:highlight w:val="none"/>
              </w:rPr>
            </w:pPr>
            <w:r>
              <w:rPr>
                <w:rFonts w:hint="eastAsia"/>
                <w:b/>
                <w:highlight w:val="none"/>
              </w:rPr>
              <w:t>产品名称</w:t>
            </w:r>
          </w:p>
        </w:tc>
        <w:tc>
          <w:tcPr>
            <w:tcW w:w="1620" w:type="dxa"/>
          </w:tcPr>
          <w:p w14:paraId="663B7280">
            <w:pPr>
              <w:spacing w:line="360" w:lineRule="auto"/>
              <w:jc w:val="center"/>
              <w:rPr>
                <w:b/>
                <w:highlight w:val="none"/>
              </w:rPr>
            </w:pPr>
            <w:r>
              <w:rPr>
                <w:rFonts w:hint="eastAsia"/>
                <w:b/>
                <w:highlight w:val="none"/>
              </w:rPr>
              <w:t>注册证名称</w:t>
            </w:r>
          </w:p>
        </w:tc>
        <w:tc>
          <w:tcPr>
            <w:tcW w:w="1360" w:type="dxa"/>
          </w:tcPr>
          <w:p w14:paraId="3BEBFA7F">
            <w:pPr>
              <w:spacing w:line="360" w:lineRule="auto"/>
              <w:jc w:val="center"/>
              <w:rPr>
                <w:b/>
                <w:highlight w:val="none"/>
              </w:rPr>
            </w:pPr>
            <w:r>
              <w:rPr>
                <w:rFonts w:hint="eastAsia"/>
                <w:b/>
                <w:highlight w:val="none"/>
              </w:rPr>
              <w:t>品牌型号</w:t>
            </w:r>
          </w:p>
        </w:tc>
        <w:tc>
          <w:tcPr>
            <w:tcW w:w="878" w:type="dxa"/>
          </w:tcPr>
          <w:p w14:paraId="1457A67A">
            <w:pPr>
              <w:spacing w:line="360" w:lineRule="auto"/>
              <w:jc w:val="center"/>
              <w:rPr>
                <w:b/>
                <w:highlight w:val="none"/>
              </w:rPr>
            </w:pPr>
            <w:r>
              <w:rPr>
                <w:rFonts w:hint="eastAsia"/>
                <w:b/>
                <w:highlight w:val="none"/>
              </w:rPr>
              <w:t>产地</w:t>
            </w:r>
          </w:p>
        </w:tc>
        <w:tc>
          <w:tcPr>
            <w:tcW w:w="750" w:type="dxa"/>
          </w:tcPr>
          <w:p w14:paraId="0CC366AB">
            <w:pPr>
              <w:spacing w:line="360" w:lineRule="auto"/>
              <w:jc w:val="center"/>
              <w:rPr>
                <w:b/>
                <w:highlight w:val="none"/>
              </w:rPr>
            </w:pPr>
            <w:r>
              <w:rPr>
                <w:rFonts w:hint="eastAsia"/>
                <w:b/>
                <w:highlight w:val="none"/>
              </w:rPr>
              <w:t>单位</w:t>
            </w:r>
          </w:p>
        </w:tc>
        <w:tc>
          <w:tcPr>
            <w:tcW w:w="571" w:type="dxa"/>
          </w:tcPr>
          <w:p w14:paraId="723E756C">
            <w:pPr>
              <w:spacing w:line="360" w:lineRule="auto"/>
              <w:jc w:val="center"/>
              <w:rPr>
                <w:b/>
                <w:highlight w:val="none"/>
              </w:rPr>
            </w:pPr>
            <w:r>
              <w:rPr>
                <w:rFonts w:hint="eastAsia"/>
                <w:b/>
                <w:highlight w:val="none"/>
              </w:rPr>
              <w:t>数量</w:t>
            </w:r>
          </w:p>
        </w:tc>
        <w:tc>
          <w:tcPr>
            <w:tcW w:w="1327" w:type="dxa"/>
          </w:tcPr>
          <w:p w14:paraId="21AB7A1E">
            <w:pPr>
              <w:spacing w:line="360" w:lineRule="auto"/>
              <w:jc w:val="center"/>
              <w:rPr>
                <w:b/>
                <w:highlight w:val="none"/>
              </w:rPr>
            </w:pPr>
            <w:r>
              <w:rPr>
                <w:rFonts w:hint="eastAsia"/>
                <w:b/>
                <w:highlight w:val="none"/>
              </w:rPr>
              <w:t>单价</w:t>
            </w:r>
          </w:p>
          <w:p w14:paraId="163756EC">
            <w:pPr>
              <w:spacing w:line="360" w:lineRule="auto"/>
              <w:jc w:val="center"/>
              <w:rPr>
                <w:b/>
                <w:highlight w:val="none"/>
              </w:rPr>
            </w:pPr>
            <w:r>
              <w:rPr>
                <w:rFonts w:hint="eastAsia"/>
                <w:b/>
                <w:highlight w:val="none"/>
              </w:rPr>
              <w:t>（人民币）</w:t>
            </w:r>
          </w:p>
        </w:tc>
        <w:tc>
          <w:tcPr>
            <w:tcW w:w="1305" w:type="dxa"/>
          </w:tcPr>
          <w:p w14:paraId="70DC9135">
            <w:pPr>
              <w:spacing w:line="360" w:lineRule="auto"/>
              <w:jc w:val="center"/>
              <w:rPr>
                <w:b/>
                <w:highlight w:val="none"/>
              </w:rPr>
            </w:pPr>
            <w:r>
              <w:rPr>
                <w:rFonts w:hint="eastAsia"/>
                <w:b/>
                <w:highlight w:val="none"/>
              </w:rPr>
              <w:t>总价</w:t>
            </w:r>
          </w:p>
          <w:p w14:paraId="3E988E8B">
            <w:pPr>
              <w:spacing w:line="360" w:lineRule="auto"/>
              <w:jc w:val="center"/>
              <w:rPr>
                <w:b/>
                <w:highlight w:val="none"/>
              </w:rPr>
            </w:pPr>
            <w:r>
              <w:rPr>
                <w:rFonts w:hint="eastAsia"/>
                <w:b/>
                <w:highlight w:val="none"/>
              </w:rPr>
              <w:t>（人民币）</w:t>
            </w:r>
          </w:p>
        </w:tc>
      </w:tr>
      <w:tr w14:paraId="370D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6212403B">
            <w:pPr>
              <w:spacing w:line="360" w:lineRule="auto"/>
              <w:rPr>
                <w:highlight w:val="none"/>
              </w:rPr>
            </w:pPr>
          </w:p>
        </w:tc>
        <w:tc>
          <w:tcPr>
            <w:tcW w:w="1620" w:type="dxa"/>
          </w:tcPr>
          <w:p w14:paraId="2306C1E7">
            <w:pPr>
              <w:spacing w:line="360" w:lineRule="auto"/>
              <w:rPr>
                <w:highlight w:val="none"/>
              </w:rPr>
            </w:pPr>
          </w:p>
        </w:tc>
        <w:tc>
          <w:tcPr>
            <w:tcW w:w="1360" w:type="dxa"/>
          </w:tcPr>
          <w:p w14:paraId="3F89CF67">
            <w:pPr>
              <w:spacing w:line="360" w:lineRule="auto"/>
              <w:jc w:val="left"/>
              <w:rPr>
                <w:highlight w:val="none"/>
              </w:rPr>
            </w:pPr>
          </w:p>
        </w:tc>
        <w:tc>
          <w:tcPr>
            <w:tcW w:w="878" w:type="dxa"/>
          </w:tcPr>
          <w:p w14:paraId="7250526D">
            <w:pPr>
              <w:spacing w:line="360" w:lineRule="auto"/>
              <w:rPr>
                <w:highlight w:val="none"/>
              </w:rPr>
            </w:pPr>
          </w:p>
        </w:tc>
        <w:tc>
          <w:tcPr>
            <w:tcW w:w="750" w:type="dxa"/>
          </w:tcPr>
          <w:p w14:paraId="23ED9A1A">
            <w:pPr>
              <w:spacing w:line="360" w:lineRule="auto"/>
              <w:rPr>
                <w:highlight w:val="none"/>
              </w:rPr>
            </w:pPr>
            <w:r>
              <w:rPr>
                <w:rFonts w:hint="eastAsia"/>
                <w:highlight w:val="none"/>
              </w:rPr>
              <w:t>台</w:t>
            </w:r>
          </w:p>
        </w:tc>
        <w:tc>
          <w:tcPr>
            <w:tcW w:w="571" w:type="dxa"/>
          </w:tcPr>
          <w:p w14:paraId="3EB05C75">
            <w:pPr>
              <w:spacing w:line="360" w:lineRule="auto"/>
              <w:rPr>
                <w:highlight w:val="none"/>
              </w:rPr>
            </w:pPr>
          </w:p>
        </w:tc>
        <w:tc>
          <w:tcPr>
            <w:tcW w:w="1327" w:type="dxa"/>
            <w:vAlign w:val="center"/>
          </w:tcPr>
          <w:p w14:paraId="17E04D9C">
            <w:pPr>
              <w:spacing w:line="360" w:lineRule="auto"/>
              <w:rPr>
                <w:highlight w:val="none"/>
              </w:rPr>
            </w:pPr>
            <w:r>
              <w:rPr>
                <w:rFonts w:hint="eastAsia"/>
                <w:highlight w:val="none"/>
              </w:rPr>
              <w:t>￥</w:t>
            </w:r>
          </w:p>
        </w:tc>
        <w:tc>
          <w:tcPr>
            <w:tcW w:w="1305" w:type="dxa"/>
            <w:vAlign w:val="center"/>
          </w:tcPr>
          <w:p w14:paraId="48F8A953">
            <w:pPr>
              <w:spacing w:line="360" w:lineRule="auto"/>
              <w:ind w:right="960"/>
              <w:rPr>
                <w:highlight w:val="none"/>
              </w:rPr>
            </w:pPr>
            <w:r>
              <w:rPr>
                <w:rFonts w:hint="eastAsia"/>
                <w:highlight w:val="none"/>
              </w:rPr>
              <w:t>￥</w:t>
            </w:r>
          </w:p>
        </w:tc>
      </w:tr>
      <w:tr w14:paraId="66B8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6D0072A0">
            <w:pPr>
              <w:spacing w:line="360" w:lineRule="auto"/>
              <w:rPr>
                <w:highlight w:val="none"/>
              </w:rPr>
            </w:pPr>
            <w:r>
              <w:rPr>
                <w:rFonts w:hint="eastAsia"/>
                <w:highlight w:val="none"/>
              </w:rPr>
              <w:t>合计（大写）：人民币          元整；                （小写）：￥</w:t>
            </w:r>
          </w:p>
        </w:tc>
      </w:tr>
      <w:tr w14:paraId="40F7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6DB55B13">
            <w:pPr>
              <w:widowControl/>
              <w:spacing w:line="360" w:lineRule="auto"/>
              <w:jc w:val="left"/>
              <w:rPr>
                <w:highlight w:val="none"/>
              </w:rPr>
            </w:pPr>
            <w:r>
              <w:rPr>
                <w:rFonts w:hint="eastAsia"/>
                <w:b/>
                <w:highlight w:val="none"/>
              </w:rPr>
              <w:t xml:space="preserve"> 备注：      </w:t>
            </w:r>
            <w:r>
              <w:rPr>
                <w:rFonts w:hint="eastAsia"/>
                <w:highlight w:val="none"/>
              </w:rPr>
              <w:t xml:space="preserve">                                                         </w:t>
            </w:r>
          </w:p>
          <w:p w14:paraId="4C65673E">
            <w:pPr>
              <w:widowControl/>
              <w:spacing w:line="360" w:lineRule="auto"/>
              <w:jc w:val="left"/>
              <w:rPr>
                <w:highlight w:val="none"/>
              </w:rPr>
            </w:pPr>
            <w:r>
              <w:rPr>
                <w:rFonts w:hint="eastAsia"/>
                <w:highlight w:val="none"/>
              </w:rPr>
              <w:t xml:space="preserve">                                                                      </w:t>
            </w:r>
          </w:p>
        </w:tc>
      </w:tr>
    </w:tbl>
    <w:p w14:paraId="2E801C0C">
      <w:pPr>
        <w:spacing w:line="360" w:lineRule="auto"/>
        <w:ind w:firstLine="482" w:firstLineChars="200"/>
        <w:rPr>
          <w:b/>
          <w:highlight w:val="none"/>
        </w:rPr>
      </w:pPr>
      <w:r>
        <w:rPr>
          <w:rFonts w:hint="eastAsia"/>
          <w:b/>
          <w:highlight w:val="none"/>
        </w:rPr>
        <w:t>产品应当符合国家规范规定的标准及乙方投标文件所述和宣传的标准，设备配置详单附后。</w:t>
      </w:r>
    </w:p>
    <w:p w14:paraId="16A2EFA6">
      <w:pPr>
        <w:spacing w:line="360" w:lineRule="auto"/>
        <w:rPr>
          <w:b/>
          <w:highlight w:val="none"/>
        </w:rPr>
      </w:pPr>
      <w:r>
        <w:rPr>
          <w:rFonts w:hint="eastAsia"/>
          <w:b/>
          <w:highlight w:val="none"/>
        </w:rPr>
        <w:t>二、合同价款：</w:t>
      </w:r>
    </w:p>
    <w:p w14:paraId="1DC63ACA">
      <w:pPr>
        <w:spacing w:line="360" w:lineRule="auto"/>
        <w:ind w:firstLine="480" w:firstLineChars="200"/>
        <w:rPr>
          <w:highlight w:val="none"/>
        </w:rPr>
      </w:pPr>
      <w:r>
        <w:rPr>
          <w:rFonts w:hint="eastAsia"/>
          <w:highlight w:val="none"/>
        </w:rPr>
        <w:t>1、合同总金额：</w:t>
      </w:r>
      <w:r>
        <w:rPr>
          <w:rFonts w:hint="eastAsia"/>
          <w:b/>
          <w:highlight w:val="none"/>
          <w:u w:val="single"/>
        </w:rPr>
        <w:t>人民币          元整。</w:t>
      </w:r>
    </w:p>
    <w:p w14:paraId="2FD06E63">
      <w:pPr>
        <w:spacing w:line="360" w:lineRule="auto"/>
        <w:ind w:firstLine="480" w:firstLineChars="200"/>
        <w:rPr>
          <w:rFonts w:hAnsi="宋体"/>
          <w:szCs w:val="24"/>
          <w:highlight w:val="none"/>
        </w:rPr>
      </w:pPr>
      <w:r>
        <w:rPr>
          <w:rFonts w:hint="eastAsia" w:hAnsi="宋体"/>
          <w:szCs w:val="24"/>
          <w:highlight w:val="none"/>
        </w:rPr>
        <w:t>2、合同总金额包括但不限于产品费（含相关配件、附件、安装材料）、施工费、安装调试费、运杂费（含保险）、仓储保管费、技术培训费、招标代理服务费、税金等其他一切相关费用。</w:t>
      </w:r>
    </w:p>
    <w:p w14:paraId="121E4058">
      <w:pPr>
        <w:spacing w:line="360" w:lineRule="auto"/>
        <w:rPr>
          <w:b/>
          <w:highlight w:val="none"/>
        </w:rPr>
      </w:pPr>
      <w:r>
        <w:rPr>
          <w:rFonts w:hint="eastAsia"/>
          <w:b/>
          <w:highlight w:val="none"/>
        </w:rPr>
        <w:t>三、交货地点：</w:t>
      </w:r>
    </w:p>
    <w:p w14:paraId="45AC9C5E">
      <w:pPr>
        <w:spacing w:line="360" w:lineRule="auto"/>
        <w:ind w:firstLine="470" w:firstLineChars="196"/>
        <w:rPr>
          <w:highlight w:val="none"/>
        </w:rPr>
      </w:pPr>
      <w:r>
        <w:rPr>
          <w:rFonts w:hint="eastAsia"/>
          <w:highlight w:val="none"/>
          <w:lang w:val="en-US" w:eastAsia="zh-CN"/>
        </w:rPr>
        <w:t>采购人</w:t>
      </w:r>
      <w:r>
        <w:rPr>
          <w:rFonts w:hint="eastAsia"/>
          <w:highlight w:val="none"/>
        </w:rPr>
        <w:t>所指定地点。</w:t>
      </w:r>
    </w:p>
    <w:p w14:paraId="60FD3398">
      <w:pPr>
        <w:spacing w:line="360" w:lineRule="auto"/>
        <w:rPr>
          <w:b/>
          <w:highlight w:val="none"/>
        </w:rPr>
      </w:pPr>
      <w:r>
        <w:rPr>
          <w:rFonts w:hint="eastAsia"/>
          <w:b/>
          <w:highlight w:val="none"/>
        </w:rPr>
        <w:t>四、交货时间：</w:t>
      </w:r>
      <w:bookmarkStart w:id="11" w:name="_GoBack"/>
      <w:bookmarkEnd w:id="11"/>
    </w:p>
    <w:p w14:paraId="3986D633">
      <w:pPr>
        <w:spacing w:line="360" w:lineRule="auto"/>
        <w:ind w:firstLine="470" w:firstLineChars="196"/>
        <w:rPr>
          <w:highlight w:val="none"/>
        </w:rPr>
      </w:pPr>
      <w:r>
        <w:rPr>
          <w:rFonts w:hint="eastAsia"/>
          <w:highlight w:val="none"/>
        </w:rPr>
        <w:t>合同签订接采购人通知后</w:t>
      </w:r>
      <w:r>
        <w:rPr>
          <w:rFonts w:hint="eastAsia"/>
          <w:highlight w:val="none"/>
          <w:u w:val="single"/>
        </w:rPr>
        <w:t xml:space="preserve">        </w:t>
      </w:r>
      <w:r>
        <w:rPr>
          <w:rFonts w:hint="eastAsia"/>
          <w:highlight w:val="none"/>
        </w:rPr>
        <w:t>个日历日内。</w:t>
      </w:r>
    </w:p>
    <w:p w14:paraId="27B28298">
      <w:pPr>
        <w:spacing w:line="360" w:lineRule="auto"/>
        <w:rPr>
          <w:highlight w:val="none"/>
        </w:rPr>
      </w:pPr>
      <w:r>
        <w:rPr>
          <w:rFonts w:hint="eastAsia"/>
          <w:b/>
          <w:highlight w:val="none"/>
        </w:rPr>
        <w:t>五、甲方指定收件人为：</w:t>
      </w:r>
      <w:r>
        <w:rPr>
          <w:rFonts w:hint="eastAsia"/>
          <w:b/>
          <w:highlight w:val="none"/>
          <w:u w:val="single"/>
        </w:rPr>
        <w:t xml:space="preserve">        </w:t>
      </w:r>
      <w:r>
        <w:rPr>
          <w:rFonts w:hint="eastAsia"/>
          <w:highlight w:val="none"/>
        </w:rPr>
        <w:t>，联系电话</w:t>
      </w:r>
      <w:r>
        <w:rPr>
          <w:rFonts w:hint="eastAsia"/>
          <w:highlight w:val="none"/>
          <w:u w:val="single"/>
        </w:rPr>
        <w:t xml:space="preserve">          </w:t>
      </w:r>
      <w:r>
        <w:rPr>
          <w:rFonts w:hint="eastAsia"/>
          <w:i/>
          <w:iCs/>
          <w:highlight w:val="none"/>
          <w:u w:val="single"/>
        </w:rPr>
        <w:t xml:space="preserve">     </w:t>
      </w:r>
      <w:r>
        <w:rPr>
          <w:rFonts w:hint="eastAsia"/>
          <w:highlight w:val="none"/>
        </w:rPr>
        <w:t>。</w:t>
      </w:r>
    </w:p>
    <w:p w14:paraId="72AC1A61">
      <w:pPr>
        <w:spacing w:line="360" w:lineRule="auto"/>
        <w:ind w:firstLine="480" w:firstLineChars="200"/>
        <w:rPr>
          <w:highlight w:val="none"/>
        </w:rPr>
      </w:pPr>
      <w:r>
        <w:rPr>
          <w:rFonts w:hint="eastAsia"/>
          <w:highlight w:val="none"/>
        </w:rPr>
        <w:t>根据使用需要，甲方如需提前或推迟收货，甲方应当</w:t>
      </w:r>
      <w:r>
        <w:rPr>
          <w:rFonts w:hint="eastAsia"/>
          <w:b/>
          <w:bCs/>
          <w:highlight w:val="none"/>
        </w:rPr>
        <w:t>提前电话或邮箱或其他任何在本合同约定的方式通知乙方</w:t>
      </w:r>
      <w:r>
        <w:rPr>
          <w:rFonts w:hint="eastAsia"/>
          <w:highlight w:val="none"/>
        </w:rPr>
        <w:t>，乙方应无条件配合，不得收取仓储费等任何费用。</w:t>
      </w:r>
    </w:p>
    <w:p w14:paraId="09B667BA">
      <w:pPr>
        <w:spacing w:line="360" w:lineRule="auto"/>
        <w:rPr>
          <w:b/>
          <w:highlight w:val="none"/>
        </w:rPr>
      </w:pPr>
      <w:r>
        <w:rPr>
          <w:rFonts w:hint="eastAsia"/>
          <w:b/>
          <w:highlight w:val="none"/>
        </w:rPr>
        <w:t>六：货款结算方式：</w:t>
      </w:r>
    </w:p>
    <w:p w14:paraId="1FCAB4C9">
      <w:pPr>
        <w:spacing w:line="360" w:lineRule="auto"/>
        <w:ind w:firstLine="480" w:firstLineChars="200"/>
        <w:rPr>
          <w:highlight w:val="none"/>
        </w:rPr>
      </w:pPr>
      <w:r>
        <w:rPr>
          <w:rFonts w:hint="eastAsia"/>
          <w:highlight w:val="none"/>
        </w:rPr>
        <w:t>1、付款方式：</w:t>
      </w:r>
    </w:p>
    <w:p w14:paraId="2F967A40">
      <w:pPr>
        <w:spacing w:line="360" w:lineRule="auto"/>
        <w:ind w:firstLine="482" w:firstLineChars="200"/>
        <w:rPr>
          <w:b/>
          <w:bCs/>
          <w:highlight w:val="none"/>
        </w:rPr>
      </w:pPr>
      <w:r>
        <w:rPr>
          <w:rFonts w:hint="eastAsia"/>
          <w:b/>
          <w:bCs/>
          <w:highlight w:val="none"/>
        </w:rPr>
        <w:t>每次付款前</w:t>
      </w:r>
      <w:r>
        <w:rPr>
          <w:rFonts w:hint="eastAsia"/>
          <w:b/>
          <w:bCs/>
          <w:highlight w:val="none"/>
          <w:u w:val="single"/>
        </w:rPr>
        <w:t xml:space="preserve">    </w:t>
      </w:r>
      <w:r>
        <w:rPr>
          <w:rFonts w:hint="eastAsia"/>
          <w:b/>
          <w:bCs/>
          <w:highlight w:val="none"/>
        </w:rPr>
        <w:t>个工作日内，乙方需提前向甲方开具相应金额的正式税务发票。</w:t>
      </w:r>
    </w:p>
    <w:p w14:paraId="49FEB1CF">
      <w:pPr>
        <w:spacing w:line="360" w:lineRule="auto"/>
        <w:ind w:firstLine="480" w:firstLineChars="200"/>
        <w:rPr>
          <w:highlight w:val="none"/>
        </w:rPr>
      </w:pPr>
      <w:r>
        <w:rPr>
          <w:rFonts w:hint="eastAsia"/>
          <w:highlight w:val="none"/>
        </w:rPr>
        <w:t>2、支付方式：甲方直接将货款通过银行转账的方式转入乙方指定的专用账号。乙方账户名：</w:t>
      </w:r>
      <w:r>
        <w:rPr>
          <w:rFonts w:hint="eastAsia"/>
          <w:highlight w:val="none"/>
          <w:u w:val="single"/>
        </w:rPr>
        <w:t xml:space="preserve">               </w:t>
      </w:r>
      <w:r>
        <w:rPr>
          <w:rFonts w:hint="eastAsia"/>
          <w:highlight w:val="none"/>
        </w:rPr>
        <w:t>。账号：</w:t>
      </w:r>
      <w:r>
        <w:rPr>
          <w:rFonts w:hint="eastAsia"/>
          <w:highlight w:val="none"/>
          <w:u w:val="single"/>
        </w:rPr>
        <w:t xml:space="preserve">              </w:t>
      </w:r>
      <w:r>
        <w:rPr>
          <w:rFonts w:hint="eastAsia"/>
          <w:highlight w:val="none"/>
        </w:rPr>
        <w:t>。开户行</w:t>
      </w:r>
      <w:r>
        <w:rPr>
          <w:rFonts w:hint="eastAsia"/>
          <w:highlight w:val="none"/>
          <w:u w:val="single"/>
        </w:rPr>
        <w:t xml:space="preserve">             </w:t>
      </w:r>
      <w:r>
        <w:rPr>
          <w:rFonts w:hint="eastAsia"/>
          <w:highlight w:val="none"/>
        </w:rPr>
        <w:t>。</w:t>
      </w:r>
    </w:p>
    <w:p w14:paraId="43E5F8DD">
      <w:pPr>
        <w:adjustRightInd w:val="0"/>
        <w:snapToGrid w:val="0"/>
        <w:spacing w:line="360" w:lineRule="auto"/>
        <w:rPr>
          <w:rFonts w:hAnsi="宋体" w:cs="宋体"/>
          <w:szCs w:val="24"/>
          <w:highlight w:val="none"/>
        </w:rPr>
      </w:pPr>
      <w:r>
        <w:rPr>
          <w:rFonts w:hint="eastAsia" w:hAnsi="宋体" w:cs="宋体"/>
          <w:b/>
          <w:szCs w:val="24"/>
          <w:highlight w:val="none"/>
        </w:rPr>
        <w:t>七、质量保证：</w:t>
      </w:r>
      <w:r>
        <w:rPr>
          <w:rFonts w:hint="eastAsia" w:hAnsi="宋体" w:cs="宋体"/>
          <w:szCs w:val="24"/>
          <w:highlight w:val="none"/>
        </w:rPr>
        <w:t>详见“第三章合同条款及格式前附表”</w:t>
      </w:r>
    </w:p>
    <w:p w14:paraId="34EAF803">
      <w:pPr>
        <w:adjustRightInd w:val="0"/>
        <w:snapToGrid w:val="0"/>
        <w:spacing w:line="360" w:lineRule="auto"/>
        <w:rPr>
          <w:rFonts w:hAnsi="宋体" w:cs="宋体"/>
          <w:szCs w:val="24"/>
          <w:highlight w:val="none"/>
        </w:rPr>
      </w:pPr>
      <w:r>
        <w:rPr>
          <w:rFonts w:hint="eastAsia" w:hAnsi="宋体" w:cs="宋体"/>
          <w:b/>
          <w:bCs/>
          <w:szCs w:val="24"/>
          <w:highlight w:val="none"/>
        </w:rPr>
        <w:t>八</w:t>
      </w:r>
      <w:r>
        <w:rPr>
          <w:rFonts w:hint="eastAsia" w:hAnsi="宋体" w:cs="宋体"/>
          <w:szCs w:val="24"/>
          <w:highlight w:val="none"/>
        </w:rPr>
        <w:t>、</w:t>
      </w:r>
      <w:r>
        <w:rPr>
          <w:rFonts w:hint="eastAsia" w:hAnsi="宋体" w:cs="宋体"/>
          <w:b/>
          <w:bCs/>
          <w:szCs w:val="24"/>
          <w:highlight w:val="none"/>
        </w:rPr>
        <w:t>运输、安装、调试要求：</w:t>
      </w:r>
      <w:r>
        <w:rPr>
          <w:rFonts w:hint="eastAsia" w:hAnsi="宋体" w:cs="宋体"/>
          <w:szCs w:val="24"/>
          <w:highlight w:val="none"/>
        </w:rPr>
        <w:t>详见“第三章合同条款及格式前附表”</w:t>
      </w:r>
    </w:p>
    <w:p w14:paraId="18F03407">
      <w:pPr>
        <w:adjustRightInd w:val="0"/>
        <w:snapToGrid w:val="0"/>
        <w:spacing w:line="360" w:lineRule="auto"/>
        <w:rPr>
          <w:rFonts w:hAnsi="宋体" w:cs="宋体"/>
          <w:b/>
          <w:szCs w:val="24"/>
          <w:highlight w:val="none"/>
        </w:rPr>
      </w:pPr>
      <w:r>
        <w:rPr>
          <w:rFonts w:hint="eastAsia" w:hAnsi="宋体" w:cs="宋体"/>
          <w:b/>
          <w:bCs/>
          <w:szCs w:val="24"/>
          <w:highlight w:val="none"/>
        </w:rPr>
        <w:t>九、技术支持及培训：</w:t>
      </w:r>
      <w:r>
        <w:rPr>
          <w:rFonts w:hint="eastAsia" w:hAnsi="宋体" w:cs="宋体"/>
          <w:szCs w:val="24"/>
          <w:highlight w:val="none"/>
        </w:rPr>
        <w:t>详见“第三章合同条款及格式前附表”</w:t>
      </w:r>
    </w:p>
    <w:p w14:paraId="0BDAAD7E">
      <w:pPr>
        <w:adjustRightInd w:val="0"/>
        <w:snapToGrid w:val="0"/>
        <w:spacing w:line="360" w:lineRule="auto"/>
        <w:rPr>
          <w:rFonts w:hAnsi="宋体" w:cs="宋体"/>
          <w:b/>
          <w:szCs w:val="24"/>
          <w:highlight w:val="none"/>
        </w:rPr>
      </w:pPr>
      <w:r>
        <w:rPr>
          <w:rFonts w:hint="eastAsia" w:hAnsi="宋体" w:cs="宋体"/>
          <w:b/>
          <w:szCs w:val="24"/>
          <w:highlight w:val="none"/>
        </w:rPr>
        <w:t>十、</w:t>
      </w:r>
      <w:r>
        <w:rPr>
          <w:rFonts w:hint="eastAsia" w:hAnsi="宋体" w:cs="宋体"/>
          <w:b/>
          <w:bCs/>
          <w:szCs w:val="24"/>
          <w:highlight w:val="none"/>
        </w:rPr>
        <w:t>技术资料要求</w:t>
      </w:r>
      <w:r>
        <w:rPr>
          <w:rFonts w:hint="eastAsia" w:hAnsi="宋体" w:cs="宋体"/>
          <w:b/>
          <w:szCs w:val="24"/>
          <w:highlight w:val="none"/>
        </w:rPr>
        <w:t>：</w:t>
      </w:r>
      <w:r>
        <w:rPr>
          <w:rFonts w:hint="eastAsia" w:hAnsi="宋体" w:cs="宋体"/>
          <w:szCs w:val="24"/>
          <w:highlight w:val="none"/>
        </w:rPr>
        <w:t>详见“第三章合同条款及格式前附表”</w:t>
      </w:r>
    </w:p>
    <w:p w14:paraId="7C6C9DF5">
      <w:pPr>
        <w:adjustRightInd w:val="0"/>
        <w:snapToGrid w:val="0"/>
        <w:spacing w:line="360" w:lineRule="auto"/>
        <w:rPr>
          <w:rFonts w:hAnsi="宋体" w:cs="宋体"/>
          <w:szCs w:val="24"/>
          <w:highlight w:val="none"/>
        </w:rPr>
      </w:pPr>
      <w:r>
        <w:rPr>
          <w:rFonts w:hint="eastAsia" w:hAnsi="宋体" w:cs="宋体"/>
          <w:b/>
          <w:szCs w:val="24"/>
          <w:highlight w:val="none"/>
        </w:rPr>
        <w:t>十一、验收：</w:t>
      </w:r>
      <w:r>
        <w:rPr>
          <w:rFonts w:hint="eastAsia" w:hAnsi="宋体" w:cs="宋体"/>
          <w:szCs w:val="24"/>
          <w:highlight w:val="none"/>
        </w:rPr>
        <w:t>详见“第三章合同条款及格式前附表”</w:t>
      </w:r>
    </w:p>
    <w:p w14:paraId="6F5CADD5">
      <w:pPr>
        <w:adjustRightInd w:val="0"/>
        <w:snapToGrid w:val="0"/>
        <w:spacing w:line="360" w:lineRule="auto"/>
        <w:rPr>
          <w:rFonts w:hAnsi="宋体" w:cs="宋体"/>
          <w:szCs w:val="24"/>
          <w:highlight w:val="none"/>
        </w:rPr>
      </w:pPr>
      <w:r>
        <w:rPr>
          <w:rFonts w:hint="eastAsia" w:hAnsi="宋体" w:cs="宋体"/>
          <w:b/>
          <w:bCs/>
          <w:szCs w:val="24"/>
          <w:highlight w:val="none"/>
        </w:rPr>
        <w:t>十二、质保及维保服务：</w:t>
      </w:r>
      <w:r>
        <w:rPr>
          <w:rFonts w:hint="eastAsia" w:hAnsi="宋体" w:cs="宋体"/>
          <w:szCs w:val="24"/>
          <w:highlight w:val="none"/>
        </w:rPr>
        <w:t>详见“第三章合同条款及格式前附表”</w:t>
      </w:r>
    </w:p>
    <w:p w14:paraId="321BC625">
      <w:pPr>
        <w:spacing w:line="360" w:lineRule="auto"/>
        <w:rPr>
          <w:rFonts w:hAnsi="宋体" w:cs="宋体"/>
          <w:b/>
          <w:szCs w:val="24"/>
          <w:highlight w:val="none"/>
        </w:rPr>
      </w:pPr>
      <w:r>
        <w:rPr>
          <w:rFonts w:hint="eastAsia" w:hAnsi="宋体" w:cs="宋体"/>
          <w:b/>
          <w:szCs w:val="24"/>
          <w:highlight w:val="none"/>
        </w:rPr>
        <w:t>十三、知识产权：</w:t>
      </w:r>
      <w:r>
        <w:rPr>
          <w:rFonts w:hint="eastAsia" w:hAnsi="宋体" w:cs="宋体"/>
          <w:szCs w:val="24"/>
          <w:highlight w:val="none"/>
        </w:rPr>
        <w:t>详见“第三章合同条款及格式前附表”</w:t>
      </w:r>
    </w:p>
    <w:p w14:paraId="2560920A">
      <w:pPr>
        <w:spacing w:line="360" w:lineRule="auto"/>
        <w:rPr>
          <w:rFonts w:hAnsi="宋体" w:cs="宋体"/>
          <w:b/>
          <w:szCs w:val="24"/>
          <w:highlight w:val="none"/>
        </w:rPr>
      </w:pPr>
      <w:r>
        <w:rPr>
          <w:rFonts w:hint="eastAsia" w:hAnsi="宋体" w:cs="宋体"/>
          <w:b/>
          <w:szCs w:val="24"/>
          <w:highlight w:val="none"/>
        </w:rPr>
        <w:t>十四、合同争议的解决</w:t>
      </w:r>
    </w:p>
    <w:p w14:paraId="180D0E47">
      <w:pPr>
        <w:spacing w:line="360" w:lineRule="auto"/>
        <w:rPr>
          <w:rFonts w:hAnsi="宋体" w:cs="宋体"/>
          <w:szCs w:val="24"/>
          <w:highlight w:val="none"/>
        </w:rPr>
      </w:pPr>
      <w:r>
        <w:rPr>
          <w:rFonts w:hint="eastAsia" w:hAnsi="宋体" w:cs="宋体"/>
          <w:szCs w:val="24"/>
          <w:highlight w:val="none"/>
        </w:rPr>
        <w:t xml:space="preserve">    合同执行中发生争议的，当事人双方应协商解决。协商达不成一致时，可向当地行政仲裁机关申请仲裁或者向人民法院提请诉讼。</w:t>
      </w:r>
    </w:p>
    <w:p w14:paraId="3F6425A8">
      <w:pPr>
        <w:spacing w:line="360" w:lineRule="auto"/>
        <w:jc w:val="left"/>
        <w:rPr>
          <w:rFonts w:hAnsi="宋体" w:cs="宋体"/>
          <w:b/>
          <w:bCs/>
          <w:szCs w:val="24"/>
          <w:highlight w:val="none"/>
        </w:rPr>
      </w:pPr>
      <w:r>
        <w:rPr>
          <w:rFonts w:hint="eastAsia" w:hAnsi="宋体" w:cs="宋体"/>
          <w:b/>
          <w:bCs/>
          <w:szCs w:val="24"/>
          <w:highlight w:val="none"/>
        </w:rPr>
        <w:t>十五、不可抗力情况下的免责约定</w:t>
      </w:r>
    </w:p>
    <w:p w14:paraId="767B3295">
      <w:pPr>
        <w:spacing w:line="360" w:lineRule="auto"/>
        <w:jc w:val="left"/>
        <w:rPr>
          <w:rFonts w:hAnsi="宋体" w:cs="宋体"/>
          <w:szCs w:val="24"/>
          <w:highlight w:val="none"/>
        </w:rPr>
      </w:pPr>
      <w:r>
        <w:rPr>
          <w:rFonts w:hint="eastAsia" w:hAnsi="宋体" w:cs="宋体"/>
          <w:szCs w:val="24"/>
          <w:highlight w:val="none"/>
        </w:rPr>
        <w:t xml:space="preserve">    双方约定不可抗力情况指：双方不可预见、不可避免、不可克服的客观情况，但不包括双方的违约或疏忽。这些事件包括但不限于：战争、严重火灾、洪水、台风、地震等。</w:t>
      </w:r>
    </w:p>
    <w:p w14:paraId="3D9DAC1F">
      <w:pPr>
        <w:spacing w:line="360" w:lineRule="auto"/>
        <w:rPr>
          <w:rFonts w:hAnsi="宋体" w:cs="宋体"/>
          <w:b/>
          <w:szCs w:val="24"/>
          <w:highlight w:val="none"/>
        </w:rPr>
      </w:pPr>
      <w:r>
        <w:rPr>
          <w:rFonts w:hint="eastAsia" w:hAnsi="宋体" w:cs="宋体"/>
          <w:b/>
          <w:szCs w:val="24"/>
          <w:highlight w:val="none"/>
        </w:rPr>
        <w:t>十六、违约责任：</w:t>
      </w:r>
      <w:r>
        <w:rPr>
          <w:rFonts w:hint="eastAsia" w:hAnsi="宋体" w:cs="宋体"/>
          <w:szCs w:val="24"/>
          <w:highlight w:val="none"/>
        </w:rPr>
        <w:t>详见“第三章合同条款及格式前附表”</w:t>
      </w:r>
    </w:p>
    <w:p w14:paraId="0242D615">
      <w:pPr>
        <w:spacing w:line="360" w:lineRule="auto"/>
        <w:rPr>
          <w:b/>
          <w:highlight w:val="none"/>
        </w:rPr>
      </w:pPr>
      <w:r>
        <w:rPr>
          <w:rFonts w:hint="eastAsia" w:hAnsi="宋体" w:cs="宋体"/>
          <w:b/>
          <w:szCs w:val="24"/>
          <w:highlight w:val="none"/>
        </w:rPr>
        <w:t>十七、</w:t>
      </w:r>
      <w:r>
        <w:rPr>
          <w:rFonts w:hint="eastAsia"/>
          <w:b/>
          <w:highlight w:val="none"/>
        </w:rPr>
        <w:t>以下资料为本合同不可分割部分，与本合同具有同等法律效力：</w:t>
      </w:r>
    </w:p>
    <w:p w14:paraId="7FEA4E6B">
      <w:pPr>
        <w:spacing w:line="360" w:lineRule="auto"/>
        <w:ind w:firstLine="480" w:firstLineChars="200"/>
        <w:rPr>
          <w:highlight w:val="none"/>
        </w:rPr>
      </w:pPr>
      <w:r>
        <w:rPr>
          <w:rFonts w:hint="eastAsia"/>
          <w:highlight w:val="none"/>
        </w:rPr>
        <w:t>1、本合同所涉产品的国家标准及相关行业标准；</w:t>
      </w:r>
    </w:p>
    <w:p w14:paraId="6DEA04BC">
      <w:pPr>
        <w:spacing w:line="360" w:lineRule="auto"/>
        <w:ind w:firstLine="480" w:firstLineChars="200"/>
        <w:rPr>
          <w:highlight w:val="none"/>
        </w:rPr>
      </w:pPr>
      <w:r>
        <w:rPr>
          <w:rFonts w:hint="eastAsia"/>
          <w:highlight w:val="none"/>
        </w:rPr>
        <w:t>2、本产品的详细资料；</w:t>
      </w:r>
    </w:p>
    <w:p w14:paraId="2D69FFAD">
      <w:pPr>
        <w:spacing w:line="360" w:lineRule="auto"/>
        <w:ind w:firstLine="480" w:firstLineChars="200"/>
        <w:rPr>
          <w:highlight w:val="none"/>
        </w:rPr>
      </w:pPr>
      <w:r>
        <w:rPr>
          <w:rFonts w:hint="eastAsia"/>
          <w:highlight w:val="none"/>
        </w:rPr>
        <w:t>3、招投标文件；</w:t>
      </w:r>
    </w:p>
    <w:p w14:paraId="377C51DE">
      <w:pPr>
        <w:spacing w:line="360" w:lineRule="auto"/>
        <w:ind w:firstLine="480" w:firstLineChars="200"/>
        <w:rPr>
          <w:highlight w:val="none"/>
        </w:rPr>
      </w:pPr>
      <w:r>
        <w:rPr>
          <w:rFonts w:hint="eastAsia"/>
          <w:highlight w:val="none"/>
        </w:rPr>
        <w:t>4、本套产品配置及配套设备零件报价详单；（附于合同后）</w:t>
      </w:r>
    </w:p>
    <w:p w14:paraId="706DF355">
      <w:pPr>
        <w:spacing w:line="360" w:lineRule="auto"/>
        <w:ind w:firstLine="480" w:firstLineChars="200"/>
        <w:rPr>
          <w:highlight w:val="none"/>
        </w:rPr>
      </w:pPr>
      <w:r>
        <w:rPr>
          <w:rFonts w:hint="eastAsia"/>
          <w:highlight w:val="none"/>
        </w:rPr>
        <w:t>5、本套产品配套耗材清单、报价详单。（附于合同后）</w:t>
      </w:r>
    </w:p>
    <w:p w14:paraId="5B95F0FF">
      <w:pPr>
        <w:spacing w:line="360" w:lineRule="auto"/>
        <w:rPr>
          <w:rFonts w:hAnsi="宋体" w:cs="宋体"/>
          <w:szCs w:val="24"/>
          <w:highlight w:val="none"/>
        </w:rPr>
      </w:pPr>
      <w:r>
        <w:rPr>
          <w:rFonts w:hint="eastAsia" w:hAnsi="宋体" w:cs="宋体"/>
          <w:b/>
          <w:szCs w:val="24"/>
          <w:highlight w:val="none"/>
        </w:rPr>
        <w:t>十八、其他（</w:t>
      </w:r>
      <w:r>
        <w:rPr>
          <w:rFonts w:hint="eastAsia" w:hAnsi="宋体" w:cs="宋体"/>
          <w:szCs w:val="24"/>
          <w:highlight w:val="none"/>
        </w:rPr>
        <w:t>在合同中双方自行约定）</w:t>
      </w:r>
    </w:p>
    <w:p w14:paraId="5424C5D8">
      <w:pPr>
        <w:spacing w:line="360" w:lineRule="auto"/>
        <w:rPr>
          <w:rFonts w:hAnsi="宋体" w:cs="宋体"/>
          <w:b/>
          <w:highlight w:val="none"/>
        </w:rPr>
      </w:pPr>
      <w:r>
        <w:rPr>
          <w:rFonts w:hint="eastAsia" w:hAnsi="宋体" w:cs="宋体"/>
          <w:b/>
          <w:highlight w:val="none"/>
        </w:rPr>
        <w:t>十九、合同订立</w:t>
      </w:r>
    </w:p>
    <w:p w14:paraId="3A691A4F">
      <w:pPr>
        <w:adjustRightInd w:val="0"/>
        <w:snapToGrid w:val="0"/>
        <w:spacing w:line="360" w:lineRule="auto"/>
        <w:ind w:firstLine="475" w:firstLineChars="198"/>
        <w:rPr>
          <w:rFonts w:hAnsi="宋体" w:cs="宋体"/>
          <w:highlight w:val="none"/>
        </w:rPr>
      </w:pPr>
      <w:r>
        <w:rPr>
          <w:rFonts w:hint="eastAsia" w:hAnsi="宋体" w:cs="宋体"/>
          <w:highlight w:val="none"/>
        </w:rPr>
        <w:t>1. 订立时间：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48BD4458">
      <w:pPr>
        <w:adjustRightInd w:val="0"/>
        <w:snapToGrid w:val="0"/>
        <w:spacing w:line="360" w:lineRule="auto"/>
        <w:ind w:firstLine="475" w:firstLineChars="198"/>
        <w:rPr>
          <w:rFonts w:hAnsi="宋体" w:cs="宋体"/>
          <w:highlight w:val="none"/>
        </w:rPr>
      </w:pPr>
      <w:r>
        <w:rPr>
          <w:rFonts w:hint="eastAsia" w:hAnsi="宋体" w:cs="宋体"/>
          <w:highlight w:val="none"/>
        </w:rPr>
        <w:t>2. 订立地点：</w:t>
      </w:r>
      <w:r>
        <w:rPr>
          <w:rFonts w:hint="eastAsia" w:hAnsi="宋体" w:cs="宋体"/>
          <w:highlight w:val="none"/>
          <w:u w:val="single"/>
        </w:rPr>
        <w:t xml:space="preserve">                                 </w:t>
      </w:r>
      <w:r>
        <w:rPr>
          <w:rFonts w:hint="eastAsia" w:hAnsi="宋体" w:cs="宋体"/>
          <w:highlight w:val="none"/>
        </w:rPr>
        <w:t>。</w:t>
      </w:r>
    </w:p>
    <w:p w14:paraId="4431B60E">
      <w:pPr>
        <w:tabs>
          <w:tab w:val="left" w:pos="980"/>
        </w:tabs>
        <w:kinsoku w:val="0"/>
        <w:spacing w:line="360" w:lineRule="auto"/>
        <w:ind w:firstLine="480" w:firstLineChars="200"/>
        <w:rPr>
          <w:rFonts w:hAnsi="宋体" w:cs="宋体"/>
          <w:highlight w:val="none"/>
        </w:rPr>
      </w:pPr>
      <w:r>
        <w:rPr>
          <w:rFonts w:hint="eastAsia" w:hAnsi="宋体" w:cs="宋体"/>
          <w:highlight w:val="none"/>
        </w:rPr>
        <w:t>3. 本合同一式</w:t>
      </w:r>
      <w:r>
        <w:rPr>
          <w:rFonts w:hint="eastAsia" w:hAnsi="宋体" w:cs="宋体"/>
          <w:highlight w:val="none"/>
          <w:u w:val="single"/>
        </w:rPr>
        <w:t xml:space="preserve"> 捌 </w:t>
      </w:r>
      <w:r>
        <w:rPr>
          <w:rFonts w:hint="eastAsia" w:hAnsi="宋体" w:cs="宋体"/>
          <w:highlight w:val="none"/>
        </w:rPr>
        <w:t>份，具有同等法律效力，双方各执</w:t>
      </w:r>
      <w:r>
        <w:rPr>
          <w:rFonts w:hint="eastAsia" w:hAnsi="宋体" w:cs="宋体"/>
          <w:highlight w:val="none"/>
          <w:u w:val="single"/>
        </w:rPr>
        <w:t xml:space="preserve"> 贰 </w:t>
      </w:r>
      <w:r>
        <w:rPr>
          <w:rFonts w:hint="eastAsia" w:hAnsi="宋体" w:cs="宋体"/>
          <w:highlight w:val="none"/>
        </w:rPr>
        <w:t>份，监管部门备案</w:t>
      </w:r>
      <w:r>
        <w:rPr>
          <w:rFonts w:hint="eastAsia" w:hAnsi="宋体" w:cs="宋体"/>
          <w:highlight w:val="none"/>
          <w:u w:val="single"/>
        </w:rPr>
        <w:t xml:space="preserve"> 贰 </w:t>
      </w:r>
      <w:r>
        <w:rPr>
          <w:rFonts w:hint="eastAsia" w:hAnsi="宋体" w:cs="宋体"/>
          <w:highlight w:val="none"/>
        </w:rPr>
        <w:t>份、招标代理机构存档</w:t>
      </w:r>
      <w:r>
        <w:rPr>
          <w:rFonts w:hint="eastAsia" w:hAnsi="宋体" w:cs="宋体"/>
          <w:highlight w:val="none"/>
          <w:u w:val="single"/>
        </w:rPr>
        <w:t xml:space="preserve"> 贰 </w:t>
      </w:r>
      <w:r>
        <w:rPr>
          <w:rFonts w:hint="eastAsia" w:hAnsi="宋体" w:cs="宋体"/>
          <w:highlight w:val="none"/>
        </w:rPr>
        <w:t>份。各方签字盖章后生效，合同执行完毕自动失效。（合同的服务承诺则长期有效）。</w:t>
      </w:r>
    </w:p>
    <w:p w14:paraId="4B623FEA">
      <w:pPr>
        <w:adjustRightInd w:val="0"/>
        <w:snapToGrid w:val="0"/>
        <w:spacing w:line="360" w:lineRule="auto"/>
        <w:ind w:firstLine="475" w:firstLineChars="198"/>
        <w:rPr>
          <w:rFonts w:hAnsi="宋体" w:cs="宋体"/>
          <w:highlight w:val="none"/>
        </w:rPr>
      </w:pP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3"/>
        <w:gridCol w:w="4537"/>
      </w:tblGrid>
      <w:tr w14:paraId="5C81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337" w:type="pct"/>
            <w:vAlign w:val="center"/>
          </w:tcPr>
          <w:p w14:paraId="0ABFB8A0">
            <w:pPr>
              <w:spacing w:line="360" w:lineRule="auto"/>
              <w:jc w:val="center"/>
              <w:rPr>
                <w:rFonts w:hAnsi="宋体" w:cs="宋体"/>
                <w:highlight w:val="none"/>
              </w:rPr>
            </w:pPr>
            <w:r>
              <w:rPr>
                <w:rFonts w:hint="eastAsia" w:hAnsi="宋体" w:cs="宋体"/>
                <w:highlight w:val="none"/>
              </w:rPr>
              <w:t>甲 方</w:t>
            </w:r>
          </w:p>
        </w:tc>
        <w:tc>
          <w:tcPr>
            <w:tcW w:w="2662" w:type="pct"/>
            <w:vAlign w:val="center"/>
          </w:tcPr>
          <w:p w14:paraId="29DBF475">
            <w:pPr>
              <w:spacing w:line="360" w:lineRule="auto"/>
              <w:jc w:val="center"/>
              <w:rPr>
                <w:rFonts w:hAnsi="宋体" w:cs="宋体"/>
                <w:highlight w:val="none"/>
              </w:rPr>
            </w:pPr>
            <w:r>
              <w:rPr>
                <w:rFonts w:hint="eastAsia" w:hAnsi="宋体" w:cs="宋体"/>
                <w:highlight w:val="none"/>
              </w:rPr>
              <w:t>乙 方</w:t>
            </w:r>
          </w:p>
        </w:tc>
      </w:tr>
      <w:tr w14:paraId="0BA5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vAlign w:val="center"/>
          </w:tcPr>
          <w:p w14:paraId="303B5746">
            <w:pPr>
              <w:spacing w:line="360" w:lineRule="auto"/>
              <w:ind w:firstLine="960" w:firstLineChars="400"/>
              <w:rPr>
                <w:rFonts w:hAnsi="宋体" w:cs="宋体"/>
                <w:highlight w:val="none"/>
              </w:rPr>
            </w:pPr>
          </w:p>
          <w:p w14:paraId="5357CA73">
            <w:pPr>
              <w:spacing w:line="360" w:lineRule="auto"/>
              <w:jc w:val="center"/>
              <w:rPr>
                <w:rFonts w:hAnsi="宋体" w:cs="宋体"/>
                <w:highlight w:val="none"/>
              </w:rPr>
            </w:pPr>
          </w:p>
          <w:p w14:paraId="71F2A9D8">
            <w:pPr>
              <w:spacing w:line="360" w:lineRule="auto"/>
              <w:jc w:val="center"/>
              <w:rPr>
                <w:rFonts w:hAnsi="宋体" w:cs="宋体"/>
                <w:highlight w:val="none"/>
              </w:rPr>
            </w:pPr>
          </w:p>
          <w:p w14:paraId="5252CF36">
            <w:pPr>
              <w:spacing w:line="360" w:lineRule="auto"/>
              <w:jc w:val="center"/>
              <w:rPr>
                <w:rFonts w:hAnsi="宋体" w:cs="宋体"/>
                <w:highlight w:val="none"/>
              </w:rPr>
            </w:pPr>
          </w:p>
          <w:p w14:paraId="34B7526F">
            <w:pPr>
              <w:spacing w:line="360" w:lineRule="auto"/>
              <w:jc w:val="center"/>
              <w:rPr>
                <w:rFonts w:hAnsi="宋体" w:cs="宋体"/>
                <w:highlight w:val="none"/>
              </w:rPr>
            </w:pPr>
            <w:r>
              <w:rPr>
                <w:rFonts w:hint="eastAsia" w:hAnsi="宋体" w:cs="宋体"/>
                <w:highlight w:val="none"/>
              </w:rPr>
              <w:t>（盖章）</w:t>
            </w:r>
          </w:p>
        </w:tc>
        <w:tc>
          <w:tcPr>
            <w:tcW w:w="2662" w:type="pct"/>
            <w:vAlign w:val="center"/>
          </w:tcPr>
          <w:p w14:paraId="43817EDB">
            <w:pPr>
              <w:spacing w:line="360" w:lineRule="auto"/>
              <w:jc w:val="center"/>
              <w:rPr>
                <w:rFonts w:hAnsi="宋体" w:cs="宋体"/>
                <w:highlight w:val="none"/>
              </w:rPr>
            </w:pPr>
          </w:p>
          <w:p w14:paraId="21BE2207">
            <w:pPr>
              <w:spacing w:line="360" w:lineRule="auto"/>
              <w:jc w:val="center"/>
              <w:rPr>
                <w:rFonts w:hAnsi="宋体" w:cs="宋体"/>
                <w:highlight w:val="none"/>
              </w:rPr>
            </w:pPr>
          </w:p>
          <w:p w14:paraId="12FD7EB7">
            <w:pPr>
              <w:spacing w:line="360" w:lineRule="auto"/>
              <w:jc w:val="center"/>
              <w:rPr>
                <w:rFonts w:hAnsi="宋体" w:cs="宋体"/>
                <w:highlight w:val="none"/>
              </w:rPr>
            </w:pPr>
          </w:p>
          <w:p w14:paraId="621537CB">
            <w:pPr>
              <w:spacing w:line="360" w:lineRule="auto"/>
              <w:jc w:val="center"/>
              <w:rPr>
                <w:rFonts w:hAnsi="宋体" w:cs="宋体"/>
                <w:highlight w:val="none"/>
              </w:rPr>
            </w:pPr>
          </w:p>
          <w:p w14:paraId="17730046">
            <w:pPr>
              <w:spacing w:line="360" w:lineRule="auto"/>
              <w:jc w:val="center"/>
              <w:rPr>
                <w:rFonts w:hAnsi="宋体" w:cs="宋体"/>
                <w:highlight w:val="none"/>
              </w:rPr>
            </w:pPr>
            <w:r>
              <w:rPr>
                <w:rFonts w:hint="eastAsia" w:hAnsi="宋体" w:cs="宋体"/>
                <w:highlight w:val="none"/>
              </w:rPr>
              <w:t>（盖章）</w:t>
            </w:r>
          </w:p>
        </w:tc>
      </w:tr>
      <w:tr w14:paraId="0E2C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tcPr>
          <w:p w14:paraId="029D3662">
            <w:pPr>
              <w:spacing w:line="360" w:lineRule="auto"/>
              <w:jc w:val="left"/>
              <w:rPr>
                <w:rFonts w:hAnsi="宋体" w:cs="宋体"/>
                <w:highlight w:val="none"/>
              </w:rPr>
            </w:pPr>
            <w:r>
              <w:rPr>
                <w:rFonts w:hint="eastAsia" w:hAnsi="宋体" w:cs="宋体"/>
                <w:highlight w:val="none"/>
              </w:rPr>
              <w:t>地址：</w:t>
            </w:r>
          </w:p>
        </w:tc>
        <w:tc>
          <w:tcPr>
            <w:tcW w:w="2662" w:type="pct"/>
          </w:tcPr>
          <w:p w14:paraId="0EE3819C">
            <w:pPr>
              <w:spacing w:line="360" w:lineRule="auto"/>
              <w:jc w:val="left"/>
              <w:rPr>
                <w:rFonts w:hAnsi="宋体" w:cs="宋体"/>
                <w:highlight w:val="none"/>
              </w:rPr>
            </w:pPr>
            <w:r>
              <w:rPr>
                <w:rFonts w:hint="eastAsia" w:hAnsi="宋体" w:cs="宋体"/>
                <w:highlight w:val="none"/>
              </w:rPr>
              <w:t>地址：</w:t>
            </w:r>
          </w:p>
        </w:tc>
      </w:tr>
      <w:tr w14:paraId="477F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tcPr>
          <w:p w14:paraId="7BF0767E">
            <w:pPr>
              <w:spacing w:line="360" w:lineRule="auto"/>
              <w:jc w:val="left"/>
              <w:rPr>
                <w:rFonts w:hAnsi="宋体" w:cs="宋体"/>
                <w:highlight w:val="none"/>
              </w:rPr>
            </w:pPr>
            <w:r>
              <w:rPr>
                <w:rFonts w:hint="eastAsia" w:hAnsi="宋体" w:cs="宋体"/>
                <w:highlight w:val="none"/>
              </w:rPr>
              <w:t>邮编：</w:t>
            </w:r>
          </w:p>
        </w:tc>
        <w:tc>
          <w:tcPr>
            <w:tcW w:w="2662" w:type="pct"/>
          </w:tcPr>
          <w:p w14:paraId="48F8B3D8">
            <w:pPr>
              <w:spacing w:line="360" w:lineRule="auto"/>
              <w:jc w:val="left"/>
              <w:rPr>
                <w:rFonts w:hAnsi="宋体" w:cs="宋体"/>
                <w:highlight w:val="none"/>
              </w:rPr>
            </w:pPr>
            <w:r>
              <w:rPr>
                <w:rFonts w:hint="eastAsia" w:hAnsi="宋体" w:cs="宋体"/>
                <w:highlight w:val="none"/>
              </w:rPr>
              <w:t>邮编：</w:t>
            </w:r>
          </w:p>
        </w:tc>
      </w:tr>
      <w:tr w14:paraId="3CA2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tcPr>
          <w:p w14:paraId="25CED5F7">
            <w:pPr>
              <w:spacing w:line="360" w:lineRule="auto"/>
              <w:jc w:val="left"/>
              <w:rPr>
                <w:rFonts w:hAnsi="宋体" w:cs="宋体"/>
                <w:highlight w:val="none"/>
              </w:rPr>
            </w:pPr>
            <w:r>
              <w:rPr>
                <w:rFonts w:hint="eastAsia" w:hAnsi="宋体" w:cs="宋体"/>
                <w:highlight w:val="none"/>
              </w:rPr>
              <w:t>法定代表人：</w:t>
            </w:r>
          </w:p>
        </w:tc>
        <w:tc>
          <w:tcPr>
            <w:tcW w:w="2662" w:type="pct"/>
          </w:tcPr>
          <w:p w14:paraId="32A46BC4">
            <w:pPr>
              <w:spacing w:line="360" w:lineRule="auto"/>
              <w:jc w:val="left"/>
              <w:rPr>
                <w:rFonts w:hAnsi="宋体" w:cs="宋体"/>
                <w:highlight w:val="none"/>
              </w:rPr>
            </w:pPr>
            <w:r>
              <w:rPr>
                <w:rFonts w:hint="eastAsia" w:hAnsi="宋体" w:cs="宋体"/>
                <w:highlight w:val="none"/>
              </w:rPr>
              <w:t>法定代表人：</w:t>
            </w:r>
          </w:p>
        </w:tc>
      </w:tr>
      <w:tr w14:paraId="7943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5A89AC12">
            <w:pPr>
              <w:spacing w:line="360" w:lineRule="auto"/>
              <w:jc w:val="left"/>
              <w:rPr>
                <w:rFonts w:hAnsi="宋体" w:cs="宋体"/>
                <w:highlight w:val="none"/>
              </w:rPr>
            </w:pPr>
            <w:r>
              <w:rPr>
                <w:rFonts w:hint="eastAsia" w:hAnsi="宋体" w:cs="宋体"/>
                <w:highlight w:val="none"/>
              </w:rPr>
              <w:t>被授权代表：（签字）</w:t>
            </w:r>
          </w:p>
        </w:tc>
        <w:tc>
          <w:tcPr>
            <w:tcW w:w="2662" w:type="pct"/>
          </w:tcPr>
          <w:p w14:paraId="23BDB22A">
            <w:pPr>
              <w:spacing w:line="360" w:lineRule="auto"/>
              <w:jc w:val="left"/>
              <w:rPr>
                <w:rFonts w:hAnsi="宋体" w:cs="宋体"/>
                <w:highlight w:val="none"/>
              </w:rPr>
            </w:pPr>
            <w:r>
              <w:rPr>
                <w:rFonts w:hint="eastAsia" w:hAnsi="宋体" w:cs="宋体"/>
                <w:highlight w:val="none"/>
              </w:rPr>
              <w:t>被授权代表：（签字）</w:t>
            </w:r>
          </w:p>
        </w:tc>
      </w:tr>
      <w:tr w14:paraId="619F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4AACA8C">
            <w:pPr>
              <w:spacing w:line="360" w:lineRule="auto"/>
              <w:jc w:val="left"/>
              <w:rPr>
                <w:rFonts w:hAnsi="宋体" w:cs="宋体"/>
                <w:highlight w:val="none"/>
              </w:rPr>
            </w:pPr>
            <w:r>
              <w:rPr>
                <w:rFonts w:hint="eastAsia" w:hAnsi="宋体" w:cs="宋体"/>
                <w:highlight w:val="none"/>
              </w:rPr>
              <w:t>电话：</w:t>
            </w:r>
          </w:p>
        </w:tc>
        <w:tc>
          <w:tcPr>
            <w:tcW w:w="2662" w:type="pct"/>
          </w:tcPr>
          <w:p w14:paraId="19D5D12E">
            <w:pPr>
              <w:spacing w:line="360" w:lineRule="auto"/>
              <w:jc w:val="left"/>
              <w:rPr>
                <w:rFonts w:hAnsi="宋体" w:cs="宋体"/>
                <w:highlight w:val="none"/>
              </w:rPr>
            </w:pPr>
            <w:r>
              <w:rPr>
                <w:rFonts w:hint="eastAsia" w:hAnsi="宋体" w:cs="宋体"/>
                <w:highlight w:val="none"/>
              </w:rPr>
              <w:t>电话：</w:t>
            </w:r>
          </w:p>
        </w:tc>
      </w:tr>
      <w:tr w14:paraId="43D3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53079313">
            <w:pPr>
              <w:spacing w:line="360" w:lineRule="auto"/>
              <w:jc w:val="left"/>
              <w:rPr>
                <w:rFonts w:hAnsi="宋体" w:cs="宋体"/>
                <w:highlight w:val="none"/>
              </w:rPr>
            </w:pPr>
            <w:r>
              <w:rPr>
                <w:rFonts w:hint="eastAsia" w:hAnsi="宋体" w:cs="宋体"/>
                <w:highlight w:val="none"/>
              </w:rPr>
              <w:t>传真：</w:t>
            </w:r>
          </w:p>
        </w:tc>
        <w:tc>
          <w:tcPr>
            <w:tcW w:w="2662" w:type="pct"/>
          </w:tcPr>
          <w:p w14:paraId="48205BD6">
            <w:pPr>
              <w:spacing w:line="360" w:lineRule="auto"/>
              <w:jc w:val="left"/>
              <w:rPr>
                <w:rFonts w:hAnsi="宋体" w:cs="宋体"/>
                <w:highlight w:val="none"/>
              </w:rPr>
            </w:pPr>
            <w:r>
              <w:rPr>
                <w:rFonts w:hint="eastAsia" w:hAnsi="宋体" w:cs="宋体"/>
                <w:highlight w:val="none"/>
              </w:rPr>
              <w:t>传真：</w:t>
            </w:r>
          </w:p>
        </w:tc>
      </w:tr>
      <w:tr w14:paraId="0997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44E6D83F">
            <w:pPr>
              <w:spacing w:line="360" w:lineRule="auto"/>
              <w:jc w:val="left"/>
              <w:rPr>
                <w:rFonts w:hAnsi="宋体" w:cs="宋体"/>
                <w:highlight w:val="none"/>
              </w:rPr>
            </w:pPr>
          </w:p>
        </w:tc>
        <w:tc>
          <w:tcPr>
            <w:tcW w:w="2662" w:type="pct"/>
          </w:tcPr>
          <w:p w14:paraId="423EAE37">
            <w:pPr>
              <w:spacing w:line="360" w:lineRule="auto"/>
              <w:jc w:val="left"/>
              <w:rPr>
                <w:rFonts w:hAnsi="宋体" w:cs="宋体"/>
                <w:highlight w:val="none"/>
              </w:rPr>
            </w:pPr>
            <w:r>
              <w:rPr>
                <w:rFonts w:hint="eastAsia" w:hAnsi="宋体" w:cs="宋体"/>
                <w:highlight w:val="none"/>
              </w:rPr>
              <w:t>开户银行：</w:t>
            </w:r>
          </w:p>
        </w:tc>
      </w:tr>
      <w:tr w14:paraId="3AB2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28DA5EB3">
            <w:pPr>
              <w:spacing w:line="360" w:lineRule="auto"/>
              <w:jc w:val="left"/>
              <w:rPr>
                <w:rFonts w:hAnsi="宋体" w:cs="宋体"/>
                <w:highlight w:val="none"/>
              </w:rPr>
            </w:pPr>
          </w:p>
        </w:tc>
        <w:tc>
          <w:tcPr>
            <w:tcW w:w="2662" w:type="pct"/>
          </w:tcPr>
          <w:p w14:paraId="540B0268">
            <w:pPr>
              <w:spacing w:line="360" w:lineRule="auto"/>
              <w:jc w:val="left"/>
              <w:rPr>
                <w:rFonts w:hAnsi="宋体" w:cs="宋体"/>
                <w:highlight w:val="none"/>
              </w:rPr>
            </w:pPr>
            <w:r>
              <w:rPr>
                <w:rFonts w:hint="eastAsia" w:hAnsi="宋体" w:cs="宋体"/>
                <w:highlight w:val="none"/>
              </w:rPr>
              <w:t>账号：</w:t>
            </w:r>
          </w:p>
        </w:tc>
      </w:tr>
      <w:tr w14:paraId="7AE2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tcPr>
          <w:p w14:paraId="177FC784">
            <w:pPr>
              <w:spacing w:line="360" w:lineRule="auto"/>
              <w:jc w:val="left"/>
              <w:rPr>
                <w:rFonts w:hAnsi="宋体" w:cs="宋体"/>
                <w:highlight w:val="none"/>
              </w:rPr>
            </w:pPr>
            <w:r>
              <w:rPr>
                <w:rFonts w:hint="eastAsia" w:hAnsi="宋体" w:cs="宋体"/>
                <w:highlight w:val="none"/>
              </w:rPr>
              <w:t>日期：   年  月   日</w:t>
            </w:r>
          </w:p>
        </w:tc>
        <w:tc>
          <w:tcPr>
            <w:tcW w:w="2662" w:type="pct"/>
          </w:tcPr>
          <w:p w14:paraId="5B167189">
            <w:pPr>
              <w:spacing w:line="360" w:lineRule="auto"/>
              <w:jc w:val="left"/>
              <w:rPr>
                <w:rFonts w:hAnsi="宋体" w:cs="宋体"/>
                <w:highlight w:val="none"/>
              </w:rPr>
            </w:pPr>
            <w:r>
              <w:rPr>
                <w:rFonts w:hint="eastAsia" w:hAnsi="宋体" w:cs="宋体"/>
                <w:highlight w:val="none"/>
              </w:rPr>
              <w:t>日期：   年  月   日</w:t>
            </w:r>
          </w:p>
        </w:tc>
      </w:tr>
    </w:tbl>
    <w:p w14:paraId="004CD6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07377F"/>
    <w:rsid w:val="3A354F6D"/>
    <w:rsid w:val="4F073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hAnsi="Courier New"/>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4851</Words>
  <Characters>4916</Characters>
  <Lines>0</Lines>
  <Paragraphs>0</Paragraphs>
  <TotalTime>2</TotalTime>
  <ScaleCrop>false</ScaleCrop>
  <LinksUpToDate>false</LinksUpToDate>
  <CharactersWithSpaces>5422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2025-03-19T01:55:00Z</dcterms:created>
  <dc:creator>晓 </dc:creator>
  <cp:lastModifiedBy>晓 </cp:lastModifiedBy>
  <dcterms:modified xsi:type="dcterms:W3CDTF">2025-03-19T07:11:18Z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F941750AB1CA41DAAA012EADE146FC9F_11</vt:lpwstr>
  </property>
  <property fmtid="{D5CDD505-2E9C-101B-9397-08002B2CF9AE}" pid="4" name="KSOTemplateDocerSaveRecord">
    <vt:lpwstr>eyJoZGlkIjoiMzk2MTljMjQ2ZmM1YTViMzFmYmJjNDI2MjcxMWZiNWYiLCJ1c2VySWQiOiI2NzQ5OTQ4MDEifQ==</vt:lpwstr>
  </property>
</Properties>
</file>