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版本号：JXRC-25022220250325002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后勤常用维修消耗材料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JXRC-250222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后勤常用维修消耗材料</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JXRC-250222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后勤常用维修消耗材料</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西安石油大学后勤常用维修消耗材料。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投标人应有良好的财务状况：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投标人应有依法缴纳税收的良好记录：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投标人应提供相关文件证明。并进行电子签章。</w:t>
      </w:r>
    </w:p>
    <w:p>
      <w:pPr>
        <w:pStyle w:val="null3"/>
      </w:pPr>
      <w:r>
        <w:rPr>
          <w:rFonts w:ascii="仿宋_GB2312" w:hAnsi="仿宋_GB2312" w:cs="仿宋_GB2312" w:eastAsia="仿宋_GB2312"/>
        </w:rPr>
        <w:t>4、投标人应有依法缴纳社会保障资金的良好记录：提供自2024年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5、法定代表授权书：法定代表人/负责人直接参加的，须递交《法定代表人/负责人身份证明》和身份证；法定代表人/负责人授权代表参加的，须递交《法定代表人/负责人授权书》及被授权人自2024年9月1日以来至少一个月在本公司的社会保障资金缴纳证明,并进行电子签章。</w:t>
      </w:r>
    </w:p>
    <w:p>
      <w:pPr>
        <w:pStyle w:val="null3"/>
      </w:pPr>
      <w:r>
        <w:rPr>
          <w:rFonts w:ascii="仿宋_GB2312" w:hAnsi="仿宋_GB2312" w:cs="仿宋_GB2312" w:eastAsia="仿宋_GB2312"/>
        </w:rPr>
        <w:t>6、参加本次政府采购活动前三年内，在经营活动中没有重大违法记录：投标人需提供《无重大违法记录声明》完成承诺并进行电子签章。</w:t>
      </w:r>
    </w:p>
    <w:p>
      <w:pPr>
        <w:pStyle w:val="null3"/>
      </w:pPr>
      <w:r>
        <w:rPr>
          <w:rFonts w:ascii="仿宋_GB2312" w:hAnsi="仿宋_GB2312" w:cs="仿宋_GB2312" w:eastAsia="仿宋_GB2312"/>
        </w:rPr>
        <w:t>7、投标人应具有履行合同所必需的设备和专业技术能力：投标人需提供《具有履行合同所必需的设备和专业技术能力的承诺书》完成承诺并进行电子签章。</w:t>
      </w:r>
    </w:p>
    <w:p>
      <w:pPr>
        <w:pStyle w:val="null3"/>
      </w:pPr>
      <w:r>
        <w:rPr>
          <w:rFonts w:ascii="仿宋_GB2312" w:hAnsi="仿宋_GB2312" w:cs="仿宋_GB2312" w:eastAsia="仿宋_GB2312"/>
        </w:rPr>
        <w:t>8、本项目不接受联合体投标：本项目不接受联合体投标，提供承诺书，并进行电子签章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投标人应有良好的财务状况：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投标人应有依法缴纳税收的良好记录：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投标人应提供相关文件证明。并进行电子签章。</w:t>
      </w:r>
    </w:p>
    <w:p>
      <w:pPr>
        <w:pStyle w:val="null3"/>
      </w:pPr>
      <w:r>
        <w:rPr>
          <w:rFonts w:ascii="仿宋_GB2312" w:hAnsi="仿宋_GB2312" w:cs="仿宋_GB2312" w:eastAsia="仿宋_GB2312"/>
        </w:rPr>
        <w:t>4、投标人应有依法缴纳社会保障资金的良好记录：提供自2024年1月1日以来至少一个月已缴纳的社会保障资金的证明（社会保障资金缴存单据或社保机构开具的社会保险参保缴费情况证明等)；依法不需要缴纳社会保障资金的投标人应提供相关证明文件。并进行电子签章。</w:t>
      </w:r>
    </w:p>
    <w:p>
      <w:pPr>
        <w:pStyle w:val="null3"/>
      </w:pPr>
      <w:r>
        <w:rPr>
          <w:rFonts w:ascii="仿宋_GB2312" w:hAnsi="仿宋_GB2312" w:cs="仿宋_GB2312" w:eastAsia="仿宋_GB2312"/>
        </w:rPr>
        <w:t>5、法定代表授权书：法定代表人/负责人直接参加的，须递交《法定代表人/负责人身份证明》和身份证；法定代表人/负责人授权代表参加的，须递交《法定代表人/负责人授权书》及被授权人自2024年9月1日以来至少一个月在本公司的社会保障资金缴纳证明，并进行电子签章。</w:t>
      </w:r>
    </w:p>
    <w:p>
      <w:pPr>
        <w:pStyle w:val="null3"/>
      </w:pPr>
      <w:r>
        <w:rPr>
          <w:rFonts w:ascii="仿宋_GB2312" w:hAnsi="仿宋_GB2312" w:cs="仿宋_GB2312" w:eastAsia="仿宋_GB2312"/>
        </w:rPr>
        <w:t>6、参加本次政府采购活动前三年内，在经营活动中没有重大违法记录：投标人需提供《无重大违法记录声明》完成承诺并进行电子签章。</w:t>
      </w:r>
    </w:p>
    <w:p>
      <w:pPr>
        <w:pStyle w:val="null3"/>
      </w:pPr>
      <w:r>
        <w:rPr>
          <w:rFonts w:ascii="仿宋_GB2312" w:hAnsi="仿宋_GB2312" w:cs="仿宋_GB2312" w:eastAsia="仿宋_GB2312"/>
        </w:rPr>
        <w:t>7、投标人应具有履行合同所必需的设备和专业技术能力：投标人需提供《具有履行合同所必需的设备和专业技术能力的承诺书》完成承诺并进行电子签章。</w:t>
      </w:r>
    </w:p>
    <w:p>
      <w:pPr>
        <w:pStyle w:val="null3"/>
      </w:pPr>
      <w:r>
        <w:rPr>
          <w:rFonts w:ascii="仿宋_GB2312" w:hAnsi="仿宋_GB2312" w:cs="仿宋_GB2312" w:eastAsia="仿宋_GB2312"/>
        </w:rPr>
        <w:t>8、本项目不接受联合体投标：本项目不接受联合体投标，提供承诺书，并进行电子签章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采购包1：679,400.00元</w:t>
            </w:r>
          </w:p>
          <w:p>
            <w:pPr>
              <w:pStyle w:val="null3"/>
            </w:pPr>
            <w:r>
              <w:rPr>
                <w:rFonts w:ascii="仿宋_GB2312" w:hAnsi="仿宋_GB2312" w:cs="仿宋_GB2312" w:eastAsia="仿宋_GB2312"/>
              </w:rPr>
              <w:t>采购包2：735,000.00元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开户银行：民生银行西安分行营业部（转账时须附言：250222-X包保证金）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质量标准：需满足最新国家标准；无国家标准的以行业标准为准。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质量标准：需满足最新国家标准；无国家标准的以行业标准为准。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西安石油大学后勤常用维修消耗材料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679,400.00</w:t>
      </w:r>
    </w:p>
    <w:p>
      <w:pPr>
        <w:pStyle w:val="null3"/>
      </w:pPr>
      <w:r>
        <w:rPr>
          <w:rFonts w:ascii="仿宋_GB2312" w:hAnsi="仿宋_GB2312" w:cs="仿宋_GB2312" w:eastAsia="仿宋_GB2312"/>
        </w:rPr>
        <w:t>采购包最高限价（元）: 679,400.00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电料一批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735,000.00</w:t>
      </w:r>
    </w:p>
    <w:p>
      <w:pPr>
        <w:pStyle w:val="null3"/>
      </w:pPr>
      <w:r>
        <w:rPr>
          <w:rFonts w:ascii="仿宋_GB2312" w:hAnsi="仿宋_GB2312" w:cs="仿宋_GB2312" w:eastAsia="仿宋_GB2312"/>
        </w:rPr>
        <w:t>采购包最高限价（元）: 735,000.00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后勤常用维修消耗材料（水暖木工类）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标的名称：电料一批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rPr>
              <w:t>详见附件1：后勤常用维修消耗材料采购规格数量统计表（电工类）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标的名称：后勤常用维修消耗材料（水暖木工类）</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rPr>
              <w:t>详见附件2：后勤常用维修消耗材料采购规格数量统计表（水暖类）、附件3：后勤常用维修消耗材料采购规格数量统计表（木工类）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提出材料需求后3天内全部需求货品到位，应急抢修需求材料12小时内到位。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提出材料需求后3天内全部需求货品到位，应急抢修需求材料12小时内到位。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附件中材料消耗量均为预估数量，具体结算时以合同期内实际采购货物数量为准，乙方提供全额供增值税专用发票，按月据实结算</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附件中材料消耗量均为预估数量，具体结算时以合同期内实际采购货物数量为准，乙方提供全额供增值税专用发票，按月据实结算</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质量标准：需满足最新国家标准；无国家标准的以行业标准为准。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质量标准：需满足最新国家标准；无国家标准的以行业标准为准。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质保期：根据材料类别按行业标准执行。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质保期：根据材料类别按行业标准执行。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因为不可抗拒的因素致使合同不能履行的，或有违约争议，双方协商解决，协商不成，由采购人所在地人民法院裁决。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因为不可抗拒的因素致使合同不能履行的，或有违约争议，双方协商解决，协商不成，由采购人所在地人民法院裁决。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1、投标报价：人民币（货品到达学校指定地点全部费用） 2、附件中货物数量依据往年采购数量估算，为预估数量。 3、付款方式：按月据实结算，合同有效期一年，每月对所供材料进行验收，验收合格乙方出具增值税专用发票后10个工作日内付款。（招标文件中付款方式有不一致时以此处为准）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 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投标人应有良好的财务状况</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投标人应有依法缴纳税收的良好记录</w:t>
            </w:r>
          </w:p>
        </w:tc>
        <w:tc>
          <w:tcPr>
            <w:tcW w:type="dxa" w:w="3322"/>
          </w:tcPr>
          <w:p>
            <w:pPr>
              <w:pStyle w:val="null3"/>
            </w:pPr>
            <w:r>
              <w:rPr>
                <w:rFonts w:ascii="仿宋_GB2312" w:hAnsi="仿宋_GB2312" w:cs="仿宋_GB2312" w:eastAsia="仿宋_GB2312"/>
              </w:rPr>
              <w:t>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投标人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投标人应有依法缴纳社会保障资金的良好记录</w:t>
            </w:r>
          </w:p>
        </w:tc>
        <w:tc>
          <w:tcPr>
            <w:tcW w:type="dxa" w:w="3322"/>
          </w:tcPr>
          <w:p>
            <w:pPr>
              <w:pStyle w:val="null3"/>
            </w:pPr>
            <w:r>
              <w:rPr>
                <w:rFonts w:ascii="仿宋_GB2312" w:hAnsi="仿宋_GB2312" w:cs="仿宋_GB2312" w:eastAsia="仿宋_GB2312"/>
              </w:rPr>
              <w:t>提供自2024年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和身份证；法定代表人/负责人授权代表参加的，须递交《法定代表人/负责人授权书》及被授权人自2024年9月1日以来至少一个月在本公司的社会保障资金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投标人需提供《具有履行合同所必需的设备和专业技术能力的承诺书》完成承诺并进行电子签章。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本项目不接受联合体投标，提供承诺书，并进行电子签章</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投标人应有良好的财务状况</w:t>
            </w:r>
          </w:p>
        </w:tc>
        <w:tc>
          <w:tcPr>
            <w:tcW w:type="dxa" w:w="3322"/>
          </w:tcPr>
          <w:p>
            <w:pPr>
              <w:pStyle w:val="null3"/>
            </w:pPr>
            <w:r>
              <w:rPr>
                <w:rFonts w:ascii="仿宋_GB2312" w:hAnsi="仿宋_GB2312" w:cs="仿宋_GB2312" w:eastAsia="仿宋_GB2312"/>
              </w:rPr>
              <w:t>法人提供会计师事务所出具的完整的2023年度或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投标人应有依法缴纳税收的良好记录</w:t>
            </w:r>
          </w:p>
        </w:tc>
        <w:tc>
          <w:tcPr>
            <w:tcW w:type="dxa" w:w="3322"/>
          </w:tcPr>
          <w:p>
            <w:pPr>
              <w:pStyle w:val="null3"/>
            </w:pPr>
            <w:r>
              <w:rPr>
                <w:rFonts w:ascii="仿宋_GB2312" w:hAnsi="仿宋_GB2312" w:cs="仿宋_GB2312" w:eastAsia="仿宋_GB2312"/>
              </w:rPr>
              <w:t>法人提供自2024年1月1日以来至少一个月的纳税证明或完税证明(增值税、企业所得税至少一种)，纳税证明或完税证明上应有代收机构或税务机关的公章或业务专用章；其他组织和自然人提供自2024年1月1日以来至少一个月缴纳税收的凭据；依法免税的投标人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投标人应有依法缴纳社会保障资金的良好记录</w:t>
            </w:r>
          </w:p>
        </w:tc>
        <w:tc>
          <w:tcPr>
            <w:tcW w:type="dxa" w:w="3322"/>
          </w:tcPr>
          <w:p>
            <w:pPr>
              <w:pStyle w:val="null3"/>
            </w:pPr>
            <w:r>
              <w:rPr>
                <w:rFonts w:ascii="仿宋_GB2312" w:hAnsi="仿宋_GB2312" w:cs="仿宋_GB2312" w:eastAsia="仿宋_GB2312"/>
              </w:rPr>
              <w:t>提供自2024年1月1日以来至少一个月已缴纳的社会保障资金的证明（社会保障资金缴存单据或社保机构开具的社会保险参保缴费情况证明等)；依法不需要缴纳社会保障资金的投标人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和身份证；法定代表人/负责人授权代表参加的，须递交《法定代表人/负责人授权书》及被授权人自2024年9月1日以来至少一个月在本公司的社会保障资金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投标人需提供《无重大违法记录声明》完成承诺并进行电子签章。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投标人需提供《具有履行合同所必需的设备和专业技术能力的承诺书》完成承诺并进行电子签章。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本项目不接受联合体投标，提供承诺书，并进行电子签章</w:t>
            </w:r>
          </w:p>
        </w:tc>
        <w:tc>
          <w:tcPr>
            <w:tcW w:type="dxa" w:w="1661"/>
          </w:tcPr>
          <w:p>
            <w:pPr>
              <w:pStyle w:val="null3"/>
            </w:pPr>
            <w:r>
              <w:rPr>
                <w:rFonts w:ascii="仿宋_GB2312" w:hAnsi="仿宋_GB2312" w:cs="仿宋_GB2312" w:eastAsia="仿宋_GB2312"/>
              </w:rPr>
              <w:t>供应商资格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招标文件的其他实质性要求，对于其中任意一项条款，供应商如不满足，其响应文件可以被否决</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投标保证金符合第二章投标人须知要求</w:t>
            </w:r>
          </w:p>
        </w:tc>
        <w:tc>
          <w:tcPr>
            <w:tcW w:type="dxa" w:w="1661"/>
          </w:tcPr>
          <w:p>
            <w:pPr>
              <w:pStyle w:val="null3"/>
            </w:pPr>
            <w:r>
              <w:rPr>
                <w:rFonts w:ascii="仿宋_GB2312" w:hAnsi="仿宋_GB2312" w:cs="仿宋_GB2312" w:eastAsia="仿宋_GB2312"/>
              </w:rPr>
              <w:t>投标保证金缴纳凭证</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根据所投产品性能和技术情况进行评审。产品技术参数完全满足招标文件要求得20分，负偏离在20项以内（不含20项），每有一项参数不满足扣1分；负偏离在20项以上（包含20项），本产品技术参数的响应程度评审项得0分。（供应商应尽可能多得提供证明材料以证明其技术参数的响应性，包括但不限于产品制造商出具的技术说明书或产品制造商的产品彩页或彩页复印件、产品标准、使用说明书、有资质的第三方出具的检验报告或其他完成过的类似产品证明材料，说明书或检测报告或验收合格证明材料或其他能佐证符合本项目技术参数的材料。供应商需在响应文件中提交技术响应偏离表）</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项目组织措施、供货方案</w:t>
            </w:r>
          </w:p>
        </w:tc>
        <w:tc>
          <w:tcPr>
            <w:tcW w:type="dxa" w:w="2492"/>
          </w:tcPr>
          <w:p>
            <w:pPr>
              <w:pStyle w:val="null3"/>
            </w:pPr>
            <w:r>
              <w:rPr>
                <w:rFonts w:ascii="仿宋_GB2312" w:hAnsi="仿宋_GB2312" w:cs="仿宋_GB2312" w:eastAsia="仿宋_GB2312"/>
              </w:rPr>
              <w:t>针对本项目的组织措施、产品的供货方案完善，并针对本项目特点做出合理计划及调配，根据投标人对本项目的需求理解、掌握程度情况提供的实施方案（含供货方案、拟投入的人力、财力、配送措施及安全保证体系等）。 供货方案完备、组织措施合理、安全保证体系切实可行,得15分； 供货方案较完备、组织措施合理、安全保证体系基本可行，得12分； 供货方案较完备、组织措施较合理、安全保证体系基本可行，得9分； 供货方案较差、组织措施有欠缺、安全保证体系可行性弱，得6分； 供货方案差、组织措施不合理、安全保证体系可行性弱，得3分；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产品供应渠道正常、质量有保证，具有较好的使用效果，符合国际、国内相关标准及行业要求，出厂检验合格，技术资料齐全，设备生产厂商如有ISO9001质量认证，可提供证书复印件。 产品的技术证明材料完整、来源渠道正规、质量保证措施完善，得15分； 产品的技术证明材料基本完整、来源渠道正规、质量保证措施基本完善，得12分； 产品的技术证明材料有缺项、来源渠道正规、质量保证措施基本完善，得9分； 产品的技术证明材料有缺项、来源渠道正规、质量保证措施有缺项，得6分； 产品的技术证明材料有缺项、来源渠道不清、质量保证措施有缺项，得3分；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投标人有详细、合理可行的售后服务方案。 方案完整、内容科学、合理、对本项目针对性强得10分； 方案基本完整，内容科学、合理、对本项目针对性强得8分； 方案有一定表述但不全面，内容详细可行，对本项目有一定的针对性得6分； 方案简略、内容片面，但基本满足项目需求得4分； 方案不满足要求、内容不科学、不系统得2分；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供应商基本信息</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供应商提供自2022年1月1日至今（以签订合同时间为准）类似项目供货业绩(以合同及所开发票复印件为准)，每提供一份有效业绩证明得2分，最高得10分。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 注：1、计算分数时四舍五入取小数点后两位；2、落实政府采购政策：参见投标人须知。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投标分项报价表--适用于合同包1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供应商企业关联关系说明书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产品技术参数的响应程度</w:t>
            </w:r>
          </w:p>
        </w:tc>
        <w:tc>
          <w:tcPr>
            <w:tcW w:type="dxa" w:w="2492"/>
          </w:tcPr>
          <w:p>
            <w:pPr>
              <w:pStyle w:val="null3"/>
            </w:pPr>
            <w:r>
              <w:rPr>
                <w:rFonts w:ascii="仿宋_GB2312" w:hAnsi="仿宋_GB2312" w:cs="仿宋_GB2312" w:eastAsia="仿宋_GB2312"/>
              </w:rPr>
              <w:t>根据所投产品性能和技术情况进行评审。产品技术参数完全满足招标文件要求得20分，负偏离在20项以内（不含20项），每有一项参数不满足扣1分；负偏离在20项以上（包含20项），本产品技术参数的响应程度评审项得0分。（供应商应尽可能多得提供证明材料以证明其技术参数的响应性，包括但不限于产品制造商出具的技术说明书或产品制造商的产品彩页或彩页复印件、产品标准、使用说明书、有资质的第三方出具的检验报告或其他完成过的类似产品证明材料，说明书或检测报告或验收合格证明材料或其他能佐证符合本项目技术参数的材料。供应商需在响应文件中提交技术响应偏离表）</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项目组织措施、供货方案</w:t>
            </w:r>
          </w:p>
        </w:tc>
        <w:tc>
          <w:tcPr>
            <w:tcW w:type="dxa" w:w="2492"/>
          </w:tcPr>
          <w:p>
            <w:pPr>
              <w:pStyle w:val="null3"/>
            </w:pPr>
            <w:r>
              <w:rPr>
                <w:rFonts w:ascii="仿宋_GB2312" w:hAnsi="仿宋_GB2312" w:cs="仿宋_GB2312" w:eastAsia="仿宋_GB2312"/>
              </w:rPr>
              <w:t>针对本项目的组织措施、产品的供货方案完善，并针对本项目特点做出合理计划及调配，根据投标人对本项目的需求理解、掌握程度情况提供的实施方案（含供货方案、拟投入的人力、财力、配送措施及安全保证体系等）。 供货方案完备、组织措施合理、安全保证体系切实可行,得15分； 供货方案较完备、组织措施合理、安全保证体系基本可行，得12分； 供货方案较完备、组织措施较合理、安全保证体系基本可行，得9分； 供货方案较差、组织措施有欠缺、安全保证体系可行性弱，得6分； 供货方案差、组织措施不合理、安全保证体系可行性弱，得3分；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产品供应渠道正常、质量有保证，具有较好的使用效果，符合国际、国内相关标准及行业要求，出厂检验合格，技术资料齐全，设备生产厂商如有ISO9001质量认证，可提供证书复印件。 产品的技术证明材料完整、来源渠道正规、质量保证措施完善，得15分； 产品的技术证明材料基本完整、来源渠道正规、质量保证措施基本完善，得12分； 产品的技术证明材料有缺项、来源渠道正规、质量保证措施基本完善，得9分； 产品的技术证明材料有缺项、来源渠道正规、质量保证措施有缺项，得6分； 产品的技术证明材料有缺项、来源渠道不清、质量保证措施有缺项，得3分；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投标人有详细、合理可行的售后服务方案。 方案完整、内容科学、合理、对本项目针对性强得10分； 方案基本完整，内容科学、合理、对本项目针对性强得8分； 方案有一定表述但不全面，内容详细可行，对本项目有一定的针对性得6分； 方案简略、内容片面，但基本满足项目需求得4分； 方案不满足要求、内容不科学、不系统得2分；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供应商基本信息</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供应商提供自2022年1月1日至今（以签订合同时间为准）类似项目供货业绩(以合同及所开发票复印件为准)，每提供一份有效业绩证明得2分，最高得10分。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 注：1、计算分数时四舍五入取小数点后两位；2、落实政府采购政策：参见投标人须知。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投标分项报价表--适用于合同包2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供应商企业关联关系说明书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详见附件：投标分项报价表--适用于合同包1</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详见附件：投标分项报价表--适用于合同包2</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详见附件：供应商资格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