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版本号：WSQ-2025-15720250319001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陕西华电西咸新区太平镇15万千瓦农光互补光伏发电项目（DK-1、DK-3、DK-4、DK-5、DK-6、DK-8、DK-9、DK-10、DK-11、DK-12）考古勘探劳务协作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WSQ-2025-157</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陕西华电西咸新区太平镇15万千瓦农光互补光伏发电项目（DK-1、DK-3、DK-4、DK-5、DK-6、DK-8、DK-9、DK-10、DK-11、DK-12）考古勘探劳务协作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WSQ-2025-157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陕西华电西咸新区太平镇15万千瓦农光互补光伏发电项目（DK-1、DK-3、DK-4、DK-5、DK-6、DK-8、DK-9、DK-10、DK-11、DK-12）考古勘探劳务协作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陕西华电西咸新区太平镇15万千瓦农光互补光伏发电项目（DK-1、DK-3、DK-4、DK5、DK-6、DK-8、DK-9、DK-10、DK-11、DK-12）考古勘探劳务协作，共分为四个包，具体内容详见招标文件第三章。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采购包1（陕西华电西咸新区太平镇15万千瓦农光互补光伏发电项目（DK-1、DK-3、DK-4、DK5、DK-6、DK-8、DK-9、DK-10、DK-11、DK-12）（一）考古勘探劳务协作）：属于专门面向中小企业采购。</w:t>
      </w:r>
    </w:p>
    <w:p>
      <w:pPr>
        <w:pStyle w:val="null3"/>
      </w:pPr>
      <w:r>
        <w:rPr>
          <w:rFonts w:ascii="仿宋_GB2312" w:hAnsi="仿宋_GB2312" w:cs="仿宋_GB2312" w:eastAsia="仿宋_GB2312"/>
        </w:rPr>
        <w:t>采购包2（陕西华电西咸新区太平镇15万千瓦农光互补光伏发电项目（DK-1、DK-3、DK-4、DK5、DK-6、DK-8、DK-9、DK-10、DK-11、DK-12）（二）考古勘探劳务协作）：属于专门面向中小企业采购。</w:t>
      </w:r>
    </w:p>
    <w:p>
      <w:pPr>
        <w:pStyle w:val="null3"/>
      </w:pPr>
      <w:r>
        <w:rPr>
          <w:rFonts w:ascii="仿宋_GB2312" w:hAnsi="仿宋_GB2312" w:cs="仿宋_GB2312" w:eastAsia="仿宋_GB2312"/>
        </w:rPr>
        <w:t>采购包3（陕西华电西咸新区太平镇15万千瓦农光互补光伏发电项目（DK-1、DK-3、DK-4、DK5、DK-6、DK-8、DK-9、DK-10、DK-11、DK-12）（三）考古勘探劳务协作）：属于专门面向中小企业采购。</w:t>
      </w:r>
    </w:p>
    <w:p>
      <w:pPr>
        <w:pStyle w:val="null3"/>
      </w:pPr>
      <w:r>
        <w:rPr>
          <w:rFonts w:ascii="仿宋_GB2312" w:hAnsi="仿宋_GB2312" w:cs="仿宋_GB2312" w:eastAsia="仿宋_GB2312"/>
        </w:rPr>
        <w:t>采购包4（陕西华电西咸新区太平镇15万千瓦农光互补光伏发电项目（DK-1、DK-3、DK-4、DK5、DK-6、DK-8、DK-9、DK-10、DK-11、DK-12）（四）考古勘探劳务协作）：属于专门面向中小企业采购。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陕西省西安市雁塔区陕西省西安市雁塔区富裕一路以北紫薇西棠3幢1单元10202室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采购包1：1,282,722.43元</w:t>
            </w:r>
          </w:p>
          <w:p>
            <w:pPr>
              <w:pStyle w:val="null3"/>
            </w:pPr>
            <w:r>
              <w:rPr>
                <w:rFonts w:ascii="仿宋_GB2312" w:hAnsi="仿宋_GB2312" w:cs="仿宋_GB2312" w:eastAsia="仿宋_GB2312"/>
              </w:rPr>
              <w:t>采购包2：1,282,722.43元</w:t>
            </w:r>
          </w:p>
          <w:p>
            <w:pPr>
              <w:pStyle w:val="null3"/>
            </w:pPr>
            <w:r>
              <w:rPr>
                <w:rFonts w:ascii="仿宋_GB2312" w:hAnsi="仿宋_GB2312" w:cs="仿宋_GB2312" w:eastAsia="仿宋_GB2312"/>
              </w:rPr>
              <w:t>采购包3：1,282,722.43元</w:t>
            </w:r>
          </w:p>
          <w:p>
            <w:pPr>
              <w:pStyle w:val="null3"/>
            </w:pPr>
            <w:r>
              <w:rPr>
                <w:rFonts w:ascii="仿宋_GB2312" w:hAnsi="仿宋_GB2312" w:cs="仿宋_GB2312" w:eastAsia="仿宋_GB2312"/>
              </w:rPr>
              <w:t>采购包4：1,282,722.43元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与改革委员会《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地址：陕西省西安市长安区常宁新区神禾二路西安恒大养生谷公寓12号楼1单元15层1501号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陕西省西咸新区空港新城太平镇，面积为407213.47㎡，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陕西省西咸新区空港新城太平镇，面积为407213.47㎡，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3：本项目位于陕西省西咸新区空港新城太平镇，面积为407213.47㎡，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4：本项目位于陕西省西咸新区空港新城太平镇，面积为407213.47㎡，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1,282,722.43</w:t>
      </w:r>
    </w:p>
    <w:p>
      <w:pPr>
        <w:pStyle w:val="null3"/>
      </w:pPr>
      <w:r>
        <w:rPr>
          <w:rFonts w:ascii="仿宋_GB2312" w:hAnsi="仿宋_GB2312" w:cs="仿宋_GB2312" w:eastAsia="仿宋_GB2312"/>
        </w:rPr>
        <w:t>采购包最高限价（元）: 1,282,722.43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1,282,722.43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1,282,722.43</w:t>
      </w:r>
    </w:p>
    <w:p>
      <w:pPr>
        <w:pStyle w:val="null3"/>
      </w:pPr>
      <w:r>
        <w:rPr>
          <w:rFonts w:ascii="仿宋_GB2312" w:hAnsi="仿宋_GB2312" w:cs="仿宋_GB2312" w:eastAsia="仿宋_GB2312"/>
        </w:rPr>
        <w:t>采购包最高限价（元）: 1,282,722.43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1,282,722.43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1,282,722.43</w:t>
      </w:r>
    </w:p>
    <w:p>
      <w:pPr>
        <w:pStyle w:val="null3"/>
      </w:pPr>
      <w:r>
        <w:rPr>
          <w:rFonts w:ascii="仿宋_GB2312" w:hAnsi="仿宋_GB2312" w:cs="仿宋_GB2312" w:eastAsia="仿宋_GB2312"/>
        </w:rPr>
        <w:t>采购包最高限价（元）: 1,282,722.43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1,282,722.43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1,282,722.43</w:t>
      </w:r>
    </w:p>
    <w:p>
      <w:pPr>
        <w:pStyle w:val="null3"/>
      </w:pPr>
      <w:r>
        <w:rPr>
          <w:rFonts w:ascii="仿宋_GB2312" w:hAnsi="仿宋_GB2312" w:cs="仿宋_GB2312" w:eastAsia="仿宋_GB2312"/>
        </w:rPr>
        <w:t>采购包最高限价（元）: 1,282,722.43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1,282,722.43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所配备人员充足，可保证本项目顺利实施。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所提供设施设备充足先进，可保证本项目顺利实施。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90个工作日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90个工作日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陕西省西咸新区空港新城太平镇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陕西省西咸新区空港新城太平镇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陕西省西咸新区空港新城太平镇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陕西省西咸新区空港新城太平镇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法律途径解决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1、本项目为专门面向中小企业。2、若为多个标包项目，则兼投不兼中。3、开标当日，供应商应保持通讯畅通，以便出现询标时能及时在线。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业绩一览表.docx 中小企业声明函 承诺书.docx 技术指标偏差表.docx 商务条款响应说明.docx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业绩一览表.docx 中小企业声明函 承诺书.docx 技术指标偏差表.docx 商务条款响应说明.docx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业绩一览表.docx 开标一览表 中小企业声明函 承诺书.docx 技术指标偏差表.docx 商务条款响应说明.docx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业绩一览表.docx 中小企业声明函 承诺书.docx 技术指标偏差表.docx 商务条款响应说明.docx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满足招标文件要求的有效报价中最低报价为最高得分点：报价最低计15分，其它报价所得分值按（最低报价／投标报价）×15的公式计算。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满足招标文件要求的有效报价中最低报价为最高得分点：报价最低计15分，其它报价所得分值按（最低报价／投标报价）×15的公式计算。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满足招标文件要求的有效报价中最低报价为最高得分点：报价最低计15分，其它报价所得分值按（最低报价／投标报价）×15的公式计算。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满足招标文件要求的有效报价中最低报价为最高得分点：报价最低计15分，其它报价所得分值按（最低报价／投标报价）×15的公式计算。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