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版本号：HRC-ZBDL-2025-0026720250322003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鄠邑校区体育场东看台用房改造项目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HRC-ZBDL-2025-00267</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鄠邑校区体育场东看台用房改造项目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HRC-ZBDL-2025-00267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鄠邑校区体育场东看台用房改造项目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鄠邑校区体育场东看台用房改造项目，详见竞争性磋商文件。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采购包1（鄠邑校区体育场东看台用房改造项目）：属于专门面向中小企业采购。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拟派项目负责人具有建筑工程专业二级及以上注册建造师证书，有效的安全生产考核合格证书（建安B证），且无在建工程（提供无在建工程的承诺函）。供应商需在项目电子化交易系统中按要求上传相应证明文件并进行电子签章。 专业：建筑工程专业</w:t>
      </w:r>
    </w:p>
    <w:p>
      <w:pPr>
        <w:pStyle w:val="null3"/>
      </w:pPr>
      <w:r>
        <w:rPr>
          <w:rFonts w:ascii="仿宋_GB2312" w:hAnsi="仿宋_GB2312" w:cs="仿宋_GB2312" w:eastAsia="仿宋_GB2312"/>
        </w:rPr>
        <w:t>2、供应商资质要求：供应商具备建筑工程施工总承包叁级及以上资质或建筑装饰装修工程专业承包贰级及以上资质，并提供有效的安全生产许可证。供应商需在项目电子化交易系统中按要求上传相应证明文件并进行电子签章。</w:t>
      </w:r>
    </w:p>
    <w:p>
      <w:pPr>
        <w:pStyle w:val="null3"/>
      </w:pPr>
      <w:r>
        <w:rPr>
          <w:rFonts w:ascii="仿宋_GB2312" w:hAnsi="仿宋_GB2312" w:cs="仿宋_GB2312" w:eastAsia="仿宋_GB2312"/>
        </w:rPr>
        <w:t>3、信息查询：外省进陕企业提供陕西省住房和城乡建设厅官网企业库外省进陕企业信息首页截图，供应商及拟派项目负责人在“陕西省住房和城乡建设厅（企业库、人员库）”可查询，供应商需在项目电子化交易系统中按要求上传查询截图并进行电子签章。</w:t>
      </w:r>
    </w:p>
    <w:p>
      <w:pPr>
        <w:pStyle w:val="null3"/>
      </w:pPr>
      <w:r>
        <w:rPr>
          <w:rFonts w:ascii="仿宋_GB2312" w:hAnsi="仿宋_GB2312" w:cs="仿宋_GB2312" w:eastAsia="仿宋_GB2312"/>
        </w:rPr>
        <w:t>4、中小企业声明函：本项目为专门面向中小企业项目，供应商提供《中小企业声明函》。承揽工程的供应商应为中型企业或小型、微型企业或监狱企业或残疾人福利性单位（监狱企业以及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15209203045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本采购包履约保证金为合同金额的0.01%</w:t>
            </w:r>
          </w:p>
          <w:p>
            <w:pPr>
              <w:pStyle w:val="null3"/>
            </w:pPr>
            <w:r>
              <w:rPr>
                <w:rFonts w:ascii="仿宋_GB2312" w:hAnsi="仿宋_GB2312" w:cs="仿宋_GB2312" w:eastAsia="仿宋_GB2312"/>
              </w:rPr>
              <w:t>说明：合同签订前缴纳，缴纳金额为3000.00元；缴纳方式：银行转账、支票/汇票/本票、保函/保险 ；退还方式：在工程正常验收合格后，两周内无息退还。（履约保证金缴纳比例仅为系统填写所列，与项目实际要求无关）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以成交金额为基数，参照国家计委颁布的《招标代理服务收费管理暂行办法》(计价格[2002]1980号)号文件收费标准下浮10%收取。预算30万元(含)以下项目，按标准收取。 成交供应商在领取成交通知书前，须向采购代理机构支付代理服务费。 缴纳方式：银行转账户名：华睿诚项目管理有限公司 开户银行：西安银行小寨东路支行 账 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西安石油大学</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依据合同文本、合同附件、磋商文件、响应文件、国内相应的标准、规范验收。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联系人：何幸</w:t>
      </w:r>
    </w:p>
    <w:p>
      <w:pPr>
        <w:pStyle w:val="null3"/>
      </w:pPr>
      <w:r>
        <w:rPr>
          <w:rFonts w:ascii="仿宋_GB2312" w:hAnsi="仿宋_GB2312" w:cs="仿宋_GB2312" w:eastAsia="仿宋_GB2312"/>
        </w:rPr>
        <w:t>联系电话：15209203045</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1,068,000.00</w:t>
      </w:r>
    </w:p>
    <w:p>
      <w:pPr>
        <w:pStyle w:val="null3"/>
      </w:pPr>
      <w:r>
        <w:rPr>
          <w:rFonts w:ascii="仿宋_GB2312" w:hAnsi="仿宋_GB2312" w:cs="仿宋_GB2312" w:eastAsia="仿宋_GB2312"/>
        </w:rPr>
        <w:t>采购包最高限价（元）: 1,053,946.83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西安石油大学鄠邑校区体育场东看台用房改造项目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1,068,000.00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标的名称：西安石油大学鄠邑校区体育场东看台用房改造项目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ind w:firstLine="400"/>
              <w:jc w:val="both"/>
            </w:pPr>
            <w:r>
              <w:rPr>
                <w:rFonts w:ascii="仿宋_GB2312" w:hAnsi="仿宋_GB2312" w:cs="仿宋_GB2312" w:eastAsia="仿宋_GB2312"/>
              </w:rPr>
              <w:t>拟对鄠邑校区东区体育场东侧一二层用房进行分隔改造，供音乐系作为琴房使用。本次共改造分隔琴房</w:t>
            </w:r>
            <w:r>
              <w:rPr>
                <w:rFonts w:ascii="仿宋_GB2312" w:hAnsi="仿宋_GB2312" w:cs="仿宋_GB2312" w:eastAsia="仿宋_GB2312"/>
              </w:rPr>
              <w:t>69间，其中东看台二楼分隔29间，一层分隔40间。主要改造内容为隔断安装、吊顶、电气安装、暖通设备设施安装以及隔音改造等内容</w:t>
            </w:r>
            <w:r>
              <w:rPr>
                <w:rFonts w:ascii="仿宋_GB2312" w:hAnsi="仿宋_GB2312" w:cs="仿宋_GB2312" w:eastAsia="仿宋_GB2312"/>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二、标准要求</w:t>
            </w:r>
          </w:p>
        </w:tc>
        <w:tc>
          <w:tcPr>
            <w:tcW w:type="dxa" w:w="2076"/>
          </w:tcPr>
          <w:p>
            <w:pPr>
              <w:pStyle w:val="null3"/>
              <w:jc w:val="both"/>
            </w:pPr>
            <w:r>
              <w:rPr>
                <w:rFonts w:ascii="仿宋_GB2312" w:hAnsi="仿宋_GB2312" w:cs="仿宋_GB2312" w:eastAsia="仿宋_GB2312"/>
              </w:rPr>
              <w:t>1.依据设计文件的要求，本工程项目的施工、材料和设备安装等技术和工艺环节须达到现行的中华人民共和国以及陕西省、西安市的工程建设标准或行业规程的要求。当各级、各类标准及规范中的同一条文规定有出入时，以较严格者为准。</w:t>
            </w:r>
          </w:p>
          <w:p>
            <w:pPr>
              <w:pStyle w:val="null3"/>
              <w:jc w:val="both"/>
            </w:pPr>
            <w:r>
              <w:rPr>
                <w:rFonts w:ascii="仿宋_GB2312" w:hAnsi="仿宋_GB2312" w:cs="仿宋_GB2312" w:eastAsia="仿宋_GB2312"/>
              </w:rPr>
              <w:t>1.1《民用建筑电气设计标准》</w:t>
            </w:r>
            <w:r>
              <w:rPr>
                <w:rFonts w:ascii="仿宋_GB2312" w:hAnsi="仿宋_GB2312" w:cs="仿宋_GB2312" w:eastAsia="仿宋_GB2312"/>
              </w:rPr>
              <w:t xml:space="preserve"> </w:t>
            </w:r>
            <w:r>
              <w:rPr>
                <w:rFonts w:ascii="仿宋_GB2312" w:hAnsi="仿宋_GB2312" w:cs="仿宋_GB2312" w:eastAsia="仿宋_GB2312"/>
              </w:rPr>
              <w:t>GB51348-2019</w:t>
            </w:r>
          </w:p>
          <w:p>
            <w:pPr>
              <w:pStyle w:val="null3"/>
              <w:jc w:val="both"/>
            </w:pPr>
            <w:r>
              <w:rPr>
                <w:rFonts w:ascii="仿宋_GB2312" w:hAnsi="仿宋_GB2312" w:cs="仿宋_GB2312" w:eastAsia="仿宋_GB2312"/>
              </w:rPr>
              <w:t>1.2《供配电系统设计规范》GB50052-2009</w:t>
            </w:r>
          </w:p>
          <w:p>
            <w:pPr>
              <w:pStyle w:val="null3"/>
              <w:jc w:val="both"/>
            </w:pPr>
            <w:r>
              <w:rPr>
                <w:rFonts w:ascii="仿宋_GB2312" w:hAnsi="仿宋_GB2312" w:cs="仿宋_GB2312" w:eastAsia="仿宋_GB2312"/>
              </w:rPr>
              <w:t>1.3《建筑照明设计标准》 GB50034-2013</w:t>
            </w:r>
          </w:p>
          <w:p>
            <w:pPr>
              <w:pStyle w:val="null3"/>
              <w:jc w:val="both"/>
            </w:pPr>
            <w:r>
              <w:rPr>
                <w:rFonts w:ascii="仿宋_GB2312" w:hAnsi="仿宋_GB2312" w:cs="仿宋_GB2312" w:eastAsia="仿宋_GB2312"/>
              </w:rPr>
              <w:t>1.4《消防设施通用规范》</w:t>
            </w:r>
            <w:r>
              <w:rPr>
                <w:rFonts w:ascii="仿宋_GB2312" w:hAnsi="仿宋_GB2312" w:cs="仿宋_GB2312" w:eastAsia="仿宋_GB2312"/>
              </w:rPr>
              <w:t xml:space="preserve"> </w:t>
            </w:r>
            <w:r>
              <w:rPr>
                <w:rFonts w:ascii="仿宋_GB2312" w:hAnsi="仿宋_GB2312" w:cs="仿宋_GB2312" w:eastAsia="仿宋_GB2312"/>
              </w:rPr>
              <w:t>GB55036-2022</w:t>
            </w:r>
          </w:p>
          <w:p>
            <w:pPr>
              <w:pStyle w:val="null3"/>
              <w:jc w:val="both"/>
            </w:pPr>
            <w:r>
              <w:rPr>
                <w:rFonts w:ascii="仿宋_GB2312" w:hAnsi="仿宋_GB2312" w:cs="仿宋_GB2312" w:eastAsia="仿宋_GB2312"/>
              </w:rPr>
              <w:t>1.5《教育建筑电气设计规范》</w:t>
            </w:r>
            <w:r>
              <w:rPr>
                <w:rFonts w:ascii="仿宋_GB2312" w:hAnsi="仿宋_GB2312" w:cs="仿宋_GB2312" w:eastAsia="仿宋_GB2312"/>
              </w:rPr>
              <w:t xml:space="preserve"> </w:t>
            </w:r>
            <w:r>
              <w:rPr>
                <w:rFonts w:ascii="仿宋_GB2312" w:hAnsi="仿宋_GB2312" w:cs="仿宋_GB2312" w:eastAsia="仿宋_GB2312"/>
              </w:rPr>
              <w:t>JGJ 310-2013</w:t>
            </w:r>
          </w:p>
          <w:p>
            <w:pPr>
              <w:pStyle w:val="null3"/>
              <w:jc w:val="both"/>
            </w:pPr>
            <w:r>
              <w:rPr>
                <w:rFonts w:ascii="仿宋_GB2312" w:hAnsi="仿宋_GB2312" w:cs="仿宋_GB2312" w:eastAsia="仿宋_GB2312"/>
              </w:rPr>
              <w:t>1.6《建筑装饰工程施工及验收规范》GB20210-2001</w:t>
            </w:r>
          </w:p>
          <w:p>
            <w:pPr>
              <w:pStyle w:val="null3"/>
              <w:jc w:val="both"/>
            </w:pPr>
            <w:r>
              <w:rPr>
                <w:rFonts w:ascii="仿宋_GB2312" w:hAnsi="仿宋_GB2312" w:cs="仿宋_GB2312" w:eastAsia="仿宋_GB2312"/>
              </w:rPr>
              <w:t>1.7《民用建筑供暖通风与空气调节设计规范》GB50736-2012</w:t>
            </w:r>
          </w:p>
          <w:p>
            <w:pPr>
              <w:pStyle w:val="null3"/>
              <w:jc w:val="both"/>
            </w:pPr>
            <w:r>
              <w:rPr>
                <w:rFonts w:ascii="仿宋_GB2312" w:hAnsi="仿宋_GB2312" w:cs="仿宋_GB2312" w:eastAsia="仿宋_GB2312"/>
              </w:rPr>
              <w:t>1.8《通风与空调工程施工质量验收规范》GB50243-2016</w:t>
            </w:r>
          </w:p>
          <w:p>
            <w:pPr>
              <w:pStyle w:val="null3"/>
              <w:jc w:val="both"/>
            </w:pPr>
            <w:r>
              <w:rPr>
                <w:rFonts w:ascii="仿宋_GB2312" w:hAnsi="仿宋_GB2312" w:cs="仿宋_GB2312" w:eastAsia="仿宋_GB2312"/>
              </w:rPr>
              <w:t>1.9《民用建筑设计统一标准》GB50352-2019</w:t>
            </w:r>
          </w:p>
          <w:p>
            <w:pPr>
              <w:pStyle w:val="null3"/>
              <w:jc w:val="both"/>
            </w:pPr>
            <w:r>
              <w:rPr>
                <w:rFonts w:ascii="仿宋_GB2312" w:hAnsi="仿宋_GB2312" w:cs="仿宋_GB2312" w:eastAsia="仿宋_GB2312"/>
              </w:rPr>
              <w:t>1.10《民用建筑通用规范》GB55031-2022</w:t>
            </w:r>
          </w:p>
          <w:p>
            <w:pPr>
              <w:pStyle w:val="null3"/>
              <w:jc w:val="both"/>
            </w:pPr>
            <w:r>
              <w:rPr>
                <w:rFonts w:ascii="仿宋_GB2312" w:hAnsi="仿宋_GB2312" w:cs="仿宋_GB2312" w:eastAsia="仿宋_GB2312"/>
              </w:rPr>
              <w:t>1.11《消防设施通用规范》GB55036-2022</w:t>
            </w:r>
          </w:p>
          <w:p>
            <w:pPr>
              <w:pStyle w:val="null3"/>
              <w:jc w:val="both"/>
            </w:pPr>
            <w:r>
              <w:rPr>
                <w:rFonts w:ascii="仿宋_GB2312" w:hAnsi="仿宋_GB2312" w:cs="仿宋_GB2312" w:eastAsia="仿宋_GB2312"/>
              </w:rPr>
              <w:t>1.12《自动喷水灭火系统设计规范》GB50084-2017</w:t>
            </w:r>
          </w:p>
          <w:p>
            <w:pPr>
              <w:pStyle w:val="null3"/>
              <w:jc w:val="both"/>
            </w:pPr>
            <w:r>
              <w:rPr>
                <w:rFonts w:ascii="仿宋_GB2312" w:hAnsi="仿宋_GB2312" w:cs="仿宋_GB2312" w:eastAsia="仿宋_GB2312"/>
                <w:sz w:val="21"/>
              </w:rPr>
              <w:t>2.根据工程设计要求，该项工程项目的施工、材料、设备和安装等除达到以上标准外，还应满足设计要求和招标人在招标文件中的有关要求。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三、电气要求</w:t>
            </w:r>
          </w:p>
        </w:tc>
        <w:tc>
          <w:tcPr>
            <w:tcW w:type="dxa" w:w="2076"/>
          </w:tcPr>
          <w:p>
            <w:pPr>
              <w:pStyle w:val="null3"/>
              <w:jc w:val="both"/>
            </w:pPr>
            <w:r>
              <w:rPr>
                <w:rFonts w:ascii="仿宋_GB2312" w:hAnsi="仿宋_GB2312" w:cs="仿宋_GB2312" w:eastAsia="仿宋_GB2312"/>
              </w:rPr>
              <w:t>1.本次改造范围为局部改造。一层照明配电线路电源均由原有层配电箱5AL1引出，二层照明配电线路电源均由原有层配电箱4AL2,5AL2引出，负荷等级：均为三级负荷。</w:t>
            </w:r>
          </w:p>
          <w:p>
            <w:pPr>
              <w:pStyle w:val="null3"/>
              <w:jc w:val="both"/>
            </w:pPr>
            <w:r>
              <w:rPr>
                <w:rFonts w:ascii="仿宋_GB2312" w:hAnsi="仿宋_GB2312" w:cs="仿宋_GB2312" w:eastAsia="仿宋_GB2312"/>
              </w:rPr>
              <w:t>2.穿管吊项内明数或墙内暗配，导线根数为2-3根穿SC20,4-5根穿SC25。</w:t>
            </w:r>
          </w:p>
          <w:p>
            <w:pPr>
              <w:pStyle w:val="null3"/>
              <w:jc w:val="both"/>
            </w:pPr>
            <w:r>
              <w:rPr>
                <w:rFonts w:ascii="仿宋_GB2312" w:hAnsi="仿宋_GB2312" w:cs="仿宋_GB2312" w:eastAsia="仿宋_GB2312"/>
              </w:rPr>
              <w:t>3.照明线路中全部采用单相三线制。插座回路配管配线方式为BV-3x4-SC25，每个插座回路均安装漏电保护器。插座除具体要求外安装高度均为0.3M.</w:t>
            </w:r>
          </w:p>
          <w:p>
            <w:pPr>
              <w:pStyle w:val="null3"/>
              <w:jc w:val="both"/>
            </w:pPr>
            <w:r>
              <w:rPr>
                <w:rFonts w:ascii="仿宋_GB2312" w:hAnsi="仿宋_GB2312" w:cs="仿宋_GB2312" w:eastAsia="仿宋_GB2312"/>
              </w:rPr>
              <w:t>4.配电间内线路均为明敷，所有孔洞待电气设备安装完成后用防火堵料封堵.</w:t>
            </w:r>
          </w:p>
          <w:p>
            <w:pPr>
              <w:pStyle w:val="null3"/>
              <w:jc w:val="both"/>
            </w:pPr>
            <w:r>
              <w:rPr>
                <w:rFonts w:ascii="仿宋_GB2312" w:hAnsi="仿宋_GB2312" w:cs="仿宋_GB2312" w:eastAsia="仿宋_GB2312"/>
              </w:rPr>
              <w:t>5.电线及电缆在金属线槽内不得有接头，接头应在接线箱内及接线盒内或出线口内，金属线槽吊装安装间距不大于2m。电缆桥架布线要求：电缆桥架水平敷设时，其支撑点间距不宜大于1.5m。垂直数设时，其固定点间距不大于2m。</w:t>
            </w:r>
          </w:p>
          <w:p>
            <w:pPr>
              <w:pStyle w:val="null3"/>
              <w:jc w:val="both"/>
            </w:pPr>
            <w:r>
              <w:rPr>
                <w:rFonts w:ascii="仿宋_GB2312" w:hAnsi="仿宋_GB2312" w:cs="仿宋_GB2312" w:eastAsia="仿宋_GB2312"/>
              </w:rPr>
              <w:t>6.电气安装用导管壁厚必须符合国家规范标准的相关技术要求。敷设在钢筋混凝土现浇楼板内的电线导管的最大外径不应大于楼板的1/3．当电线导管（非消防）暗敷设在楼板、墙体内时，其与楼板、墙体表面的外护层厚度不应小于15mm．导管 和电缆槽盒内配电电线的总截面面积不应超过导管或电缆槽盒内截面面积的40%，电缆槽盒内控制线缆的总裁面面积不应超过电缆槽盒内截面面积的50%。</w:t>
            </w:r>
          </w:p>
          <w:p>
            <w:pPr>
              <w:pStyle w:val="null3"/>
              <w:jc w:val="both"/>
            </w:pPr>
            <w:r>
              <w:rPr>
                <w:rFonts w:ascii="仿宋_GB2312" w:hAnsi="仿宋_GB2312" w:cs="仿宋_GB2312" w:eastAsia="仿宋_GB2312"/>
              </w:rPr>
              <w:t>7.硫散通道采用的火灾自动报警系统的报 警总线，应选择燃烧性能B1级的电线、电缆：其他场所的报警 总线应选择燃烧性能不低于B2级的电线、电缆。消防联动总线 及联动控制线应选择耐火钢芯电线、电缆、电线、电缆的燃烧性 能应符合现行国家标准《电缆及光缆燃烧性能分级》GB31247的规定。</w:t>
            </w:r>
          </w:p>
          <w:p>
            <w:pPr>
              <w:pStyle w:val="null3"/>
              <w:jc w:val="both"/>
            </w:pPr>
            <w:r>
              <w:rPr>
                <w:rFonts w:ascii="仿宋_GB2312" w:hAnsi="仿宋_GB2312" w:cs="仿宋_GB2312" w:eastAsia="仿宋_GB2312"/>
              </w:rPr>
              <w:t>8.消防应急照明和疏傲指示系统，本次设计为局部改造，原应急照明系统不变，只对末端点位进行调整。</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四、暖通要求</w:t>
            </w:r>
          </w:p>
        </w:tc>
        <w:tc>
          <w:tcPr>
            <w:tcW w:type="dxa" w:w="2076"/>
          </w:tcPr>
          <w:p>
            <w:pPr>
              <w:pStyle w:val="null3"/>
              <w:jc w:val="both"/>
            </w:pPr>
            <w:r>
              <w:rPr>
                <w:rFonts w:ascii="仿宋_GB2312" w:hAnsi="仿宋_GB2312" w:cs="仿宋_GB2312" w:eastAsia="仿宋_GB2312"/>
              </w:rPr>
              <w:t>1.本工程一层琴房室内设置四台风管机，室外机设置在一层地面，空调单位冷指标为：q = 120W/m²。</w:t>
            </w:r>
          </w:p>
          <w:p>
            <w:pPr>
              <w:pStyle w:val="null3"/>
              <w:jc w:val="both"/>
            </w:pPr>
            <w:r>
              <w:rPr>
                <w:rFonts w:ascii="仿宋_GB2312" w:hAnsi="仿宋_GB2312" w:cs="仿宋_GB2312" w:eastAsia="仿宋_GB2312"/>
              </w:rPr>
              <w:t>2. 二层采用分体空调，由电气专业预留空调电量及插座位置。</w:t>
            </w:r>
          </w:p>
          <w:p>
            <w:pPr>
              <w:pStyle w:val="null3"/>
              <w:jc w:val="both"/>
            </w:pPr>
            <w:r>
              <w:rPr>
                <w:rFonts w:ascii="仿宋_GB2312" w:hAnsi="仿宋_GB2312" w:cs="仿宋_GB2312" w:eastAsia="仿宋_GB2312"/>
              </w:rPr>
              <w:t>3. 空调冷媒管采用无缝铜管，冷凝水管采用镀锌钢管。冷媒管严禁在管道内有压力的情况下进行焊接；当空调系统需要排空制冷剂进行维修时，应使用专用回收机对系统内剩余的制冷剂回收。</w:t>
            </w:r>
          </w:p>
          <w:p>
            <w:pPr>
              <w:pStyle w:val="null3"/>
              <w:jc w:val="both"/>
            </w:pPr>
            <w:r>
              <w:rPr>
                <w:rFonts w:ascii="仿宋_GB2312" w:hAnsi="仿宋_GB2312" w:cs="仿宋_GB2312" w:eastAsia="仿宋_GB2312"/>
              </w:rPr>
              <w:t>4.本次更换二层老旧破损散热器，选用QF9B06型三柱散热器，散热器的高度为2000,Tp=64.5℃时，散热量为：g=108W／片。散热器均明设挂装，底距地面150mm，允许工作压力均为0.6Mpa.每组散热器均装自力式恒温阀和手动跑风，散热器支管同侧连接。</w:t>
            </w:r>
          </w:p>
          <w:p>
            <w:pPr>
              <w:pStyle w:val="null3"/>
              <w:jc w:val="both"/>
            </w:pPr>
            <w:r>
              <w:rPr>
                <w:rFonts w:ascii="仿宋_GB2312" w:hAnsi="仿宋_GB2312" w:cs="仿宋_GB2312" w:eastAsia="仿宋_GB2312"/>
              </w:rPr>
              <w:t>5.采暖系统为双管下供下回式系统，供回水干管敷设在地沟内。</w:t>
            </w:r>
          </w:p>
          <w:p>
            <w:pPr>
              <w:pStyle w:val="null3"/>
              <w:jc w:val="both"/>
            </w:pPr>
            <w:r>
              <w:rPr>
                <w:rFonts w:ascii="仿宋_GB2312" w:hAnsi="仿宋_GB2312" w:cs="仿宋_GB2312" w:eastAsia="仿宋_GB2312"/>
              </w:rPr>
              <w:t>6.管道不应穿过抗震缝。当必须穿越时，应在抗震缝两边各装一个柔性管接头或在通过抗震缝处安装门形弯头或设伸缩节。</w:t>
            </w:r>
          </w:p>
          <w:p>
            <w:pPr>
              <w:pStyle w:val="null3"/>
              <w:jc w:val="both"/>
            </w:pPr>
            <w:r>
              <w:rPr>
                <w:rFonts w:ascii="仿宋_GB2312" w:hAnsi="仿宋_GB2312" w:cs="仿宋_GB2312" w:eastAsia="仿宋_GB2312"/>
              </w:rPr>
              <w:t>7.管道穿过内墙或楼板时，应设置套管，套管与管道间的缝隙应填充柔性耐火材料。</w:t>
            </w:r>
          </w:p>
          <w:p>
            <w:pPr>
              <w:pStyle w:val="null3"/>
              <w:jc w:val="both"/>
            </w:pPr>
            <w:r>
              <w:rPr>
                <w:rFonts w:ascii="仿宋_GB2312" w:hAnsi="仿宋_GB2312" w:cs="仿宋_GB2312" w:eastAsia="仿宋_GB2312"/>
              </w:rPr>
              <w:t>8.空调、通风、防烟排烟工程风管除特别说明外，均用热浸镀锌钢板制作。</w:t>
            </w:r>
          </w:p>
          <w:p>
            <w:pPr>
              <w:pStyle w:val="null3"/>
              <w:jc w:val="both"/>
            </w:pPr>
            <w:r>
              <w:rPr>
                <w:rFonts w:ascii="仿宋_GB2312" w:hAnsi="仿宋_GB2312" w:cs="仿宋_GB2312" w:eastAsia="仿宋_GB2312"/>
              </w:rPr>
              <w:t>9.风管可采用管内或管外加固、管壁压制加强筋等形式进行加固，矩形风管加固件宜采用角钢。轻钢型材或钢板折叠：圆形风管加固件宜采用角钢。</w:t>
            </w:r>
          </w:p>
          <w:p>
            <w:pPr>
              <w:pStyle w:val="null3"/>
              <w:jc w:val="both"/>
            </w:pPr>
            <w:r>
              <w:rPr>
                <w:rFonts w:ascii="仿宋_GB2312" w:hAnsi="仿宋_GB2312" w:cs="仿宋_GB2312" w:eastAsia="仿宋_GB2312"/>
              </w:rPr>
              <w:t>10.风管穿过防火隔墙、楼板和防火墙时，穿越处风管上的防火阀、排烟防火阀两侧各2.0m范围内的风管应采用耐火风管或风管外壁应采取防火保护措施，且耐火极限不应低于该防火分隔体的耐火极限。其中排烟、补风及加压送风管道需外包不燃防火板，材质为纤维增强硅酸盐。当风管穿过需要封闭的防火、防爆的墙体或楼板时，必须设置厚度不小于1.6mm的钢制防护套管；风管与防护套管之间应采用不燃柔性材料封堵严密。</w:t>
            </w:r>
          </w:p>
          <w:p>
            <w:pPr>
              <w:pStyle w:val="null3"/>
              <w:jc w:val="both"/>
            </w:pPr>
            <w:r>
              <w:rPr>
                <w:rFonts w:ascii="仿宋_GB2312" w:hAnsi="仿宋_GB2312" w:cs="仿宋_GB2312" w:eastAsia="仿宋_GB2312"/>
              </w:rPr>
              <w:t>11.通风机进出风口处若设置消声静压箱，其做法如下：用1.2mm厚镀锌铁皮做外壳，内部粘贴50mm厚玻璃棉加玻璃布，再设一层穿孔率为30%、厚0.5mm穿孔镀锌铁皮，穿孔孔径为03mm。穿孔板与箱壳间用间距0.5m、宽30mm、厚5mm的铝合金型材和自攻螺丝连接。</w:t>
            </w:r>
          </w:p>
          <w:p>
            <w:pPr>
              <w:pStyle w:val="null3"/>
              <w:jc w:val="both"/>
            </w:pPr>
            <w:r>
              <w:rPr>
                <w:rFonts w:ascii="仿宋_GB2312" w:hAnsi="仿宋_GB2312" w:cs="仿宋_GB2312" w:eastAsia="仿宋_GB2312"/>
              </w:rPr>
              <w:t>12.通风机传动装置的外露部分以及通风机直通大气的进、出口，必须装设防护罩（网）或采取其他安全措施，并设防雨措施。</w:t>
            </w:r>
          </w:p>
          <w:p>
            <w:pPr>
              <w:pStyle w:val="null3"/>
              <w:jc w:val="both"/>
            </w:pPr>
            <w:r>
              <w:rPr>
                <w:rFonts w:ascii="仿宋_GB2312" w:hAnsi="仿宋_GB2312" w:cs="仿宋_GB2312" w:eastAsia="仿宋_GB2312"/>
              </w:rPr>
              <w:t>13.风管穿越防火墙、楼板、竖井壁所装的防火阀应贴墙、贴楼板或贴竖井壁安装，其间距应小于200mm，否则需做防火加强措施。</w:t>
            </w:r>
          </w:p>
          <w:p>
            <w:pPr>
              <w:pStyle w:val="null3"/>
              <w:jc w:val="both"/>
            </w:pPr>
            <w:r>
              <w:rPr>
                <w:rFonts w:ascii="仿宋_GB2312" w:hAnsi="仿宋_GB2312" w:cs="仿宋_GB2312" w:eastAsia="仿宋_GB2312"/>
              </w:rPr>
              <w:t>14.位于房间上部区域的排风口，除用于排除空气与氢气的混合物时，吸风口上缘至顶棚平面或屋顶的距离不大于0.4m。</w:t>
            </w:r>
          </w:p>
          <w:p>
            <w:pPr>
              <w:pStyle w:val="null3"/>
              <w:jc w:val="both"/>
            </w:pPr>
            <w:r>
              <w:rPr>
                <w:rFonts w:ascii="仿宋_GB2312" w:hAnsi="仿宋_GB2312" w:cs="仿宋_GB2312" w:eastAsia="仿宋_GB2312"/>
              </w:rPr>
              <w:t>15.管道防腐工程施工需在水管强度试验及风、水管气密性试验合格后进行。而保温工程在防腐后进行。风管、吊架等钢制零配件均需刷二遍防锈漆，外露的还需再刷二遍与周围颜色协调的调和漆。所有金属管道。管件和支架等均应做防腐处理，在涂刷底漆前必须清除表面的灰尘污垢锈斑焊渣等物。经除锈处理后刷防锈底漆两遍：对于非保温的明装金属管道、管件及所有支架应先刷防锈底漆两遍，再刷耐热色漆或银粉漆两遍。穿过防火墙处的管道保温材料，应采用不燃材料。</w:t>
            </w:r>
          </w:p>
          <w:p>
            <w:pPr>
              <w:pStyle w:val="null3"/>
              <w:jc w:val="both"/>
            </w:pPr>
            <w:r>
              <w:rPr>
                <w:rFonts w:ascii="仿宋_GB2312" w:hAnsi="仿宋_GB2312" w:cs="仿宋_GB2312" w:eastAsia="仿宋_GB2312"/>
              </w:rPr>
              <w:t>16.通风设备应有装箱清单、设备说明书、产品质量合格证和产品性能检测报告等随机文件，进口设备还应有商检合格文件。安装在楼板上的风机等设备、应按设计图纸要求做好减振、隔振、防噪等措施。</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五、建筑要求</w:t>
            </w:r>
          </w:p>
        </w:tc>
        <w:tc>
          <w:tcPr>
            <w:tcW w:type="dxa" w:w="2076"/>
          </w:tcPr>
          <w:p>
            <w:pPr>
              <w:pStyle w:val="null3"/>
              <w:jc w:val="both"/>
            </w:pPr>
            <w:r>
              <w:rPr>
                <w:rFonts w:ascii="仿宋_GB2312" w:hAnsi="仿宋_GB2312" w:cs="仿宋_GB2312" w:eastAsia="仿宋_GB2312"/>
              </w:rPr>
              <w:t>1.本工程所用材料规格、材质、施工及验收等要求，均应遵照国家现行标准、各项工程施工及验收规范进行。</w:t>
            </w:r>
          </w:p>
          <w:p>
            <w:pPr>
              <w:pStyle w:val="null3"/>
              <w:jc w:val="both"/>
            </w:pPr>
            <w:r>
              <w:rPr>
                <w:rFonts w:ascii="仿宋_GB2312" w:hAnsi="仿宋_GB2312" w:cs="仿宋_GB2312" w:eastAsia="仿宋_GB2312"/>
              </w:rPr>
              <w:t>2.门窗（采光屋顶、防火门窗、人防门等）、幕墙（玻璃、金属及石材等）制作和安装时，生产厂家必须具有国家认定的相应资质。其产品的各项性能指标应符合相关技术规范的要求。还应及时提供与结构主体有关的预埋件和预留洞口的尺寸、位置、误差范围，并配合施工。厂家在制作前应复核土建施工后的相关尺寸，以确保安装无误。</w:t>
            </w:r>
          </w:p>
          <w:p>
            <w:pPr>
              <w:pStyle w:val="null3"/>
              <w:jc w:val="both"/>
            </w:pPr>
            <w:r>
              <w:rPr>
                <w:rFonts w:ascii="仿宋_GB2312" w:hAnsi="仿宋_GB2312" w:cs="仿宋_GB2312" w:eastAsia="仿宋_GB2312"/>
              </w:rPr>
              <w:t>3.防水材料的主要性能应符合GB55030-2022表3.4.2的要求。</w:t>
            </w:r>
          </w:p>
          <w:p>
            <w:pPr>
              <w:pStyle w:val="null3"/>
              <w:jc w:val="both"/>
            </w:pPr>
            <w:r>
              <w:rPr>
                <w:rFonts w:ascii="仿宋_GB2312" w:hAnsi="仿宋_GB2312" w:cs="仿宋_GB2312" w:eastAsia="仿宋_GB2312"/>
              </w:rPr>
              <w:t>4.砂浆防水层中增设耐碱玻璃纤维网布，并用塑料栓固定于墙体。砂浆防水层留分格缝，分缝设置在墙体不同材料交接处；水平缝宜与窗口上下沿平齐，垂直缝不大于6m；缝宽为8~10mm缝内用密封材料密封。</w:t>
            </w:r>
          </w:p>
          <w:p>
            <w:pPr>
              <w:pStyle w:val="null3"/>
              <w:jc w:val="both"/>
            </w:pPr>
            <w:r>
              <w:rPr>
                <w:rFonts w:ascii="仿宋_GB2312" w:hAnsi="仿宋_GB2312" w:cs="仿宋_GB2312" w:eastAsia="仿宋_GB2312"/>
              </w:rPr>
              <w:t>5.外墙防水层应延伸至门窗框，门窗上桶的外口应做滴水线，外窗台应设置不小于5％的外排水坡度。</w:t>
            </w:r>
          </w:p>
          <w:p>
            <w:pPr>
              <w:pStyle w:val="null3"/>
              <w:jc w:val="both"/>
            </w:pPr>
            <w:r>
              <w:rPr>
                <w:rFonts w:ascii="仿宋_GB2312" w:hAnsi="仿宋_GB2312" w:cs="仿宋_GB2312" w:eastAsia="仿宋_GB2312"/>
              </w:rPr>
              <w:t>6.突出外墙面的横向线脚、挑板等构件上部与墙交接处应做成小圆角并向外找坡不小于3%，下部应做滴水槽。</w:t>
            </w:r>
          </w:p>
          <w:p>
            <w:pPr>
              <w:pStyle w:val="null3"/>
              <w:jc w:val="both"/>
            </w:pPr>
            <w:r>
              <w:rPr>
                <w:rFonts w:ascii="仿宋_GB2312" w:hAnsi="仿宋_GB2312" w:cs="仿宋_GB2312" w:eastAsia="仿宋_GB2312"/>
              </w:rPr>
              <w:t>7.穿过外墙的管道采用套管，套管应内高外低，被度不应小于5%。</w:t>
            </w:r>
          </w:p>
          <w:p>
            <w:pPr>
              <w:pStyle w:val="null3"/>
              <w:jc w:val="both"/>
            </w:pPr>
            <w:r>
              <w:rPr>
                <w:rFonts w:ascii="仿宋_GB2312" w:hAnsi="仿宋_GB2312" w:cs="仿宋_GB2312" w:eastAsia="仿宋_GB2312"/>
              </w:rPr>
              <w:t>8.工程室内所选用的建筑材料和装修材料，不得使用国家禁止使用，限制使用的建筑材料：应选用符合规范GB 50325-2020要求的材料。建筑工程所使用的砂、石、砖、砌块、水泥、混凝土，混凝土预制构件等无机非金属建筑主体材料的效射性限量，应符合现行国家标准《建筑材料放射性核素限量》GB 6566的规定。建筑工程所使用的无机非金属装修材料，包括石材，建筑卫生陶瓷、石膏板、吊顶材料、无机套质砖新接材料等，其放射性限量应分类符合现行国家标准《建筑材料放射性核素限量》GB 6566的规定。</w:t>
            </w:r>
          </w:p>
          <w:p>
            <w:pPr>
              <w:pStyle w:val="null3"/>
              <w:jc w:val="both"/>
            </w:pPr>
            <w:r>
              <w:rPr>
                <w:rFonts w:ascii="仿宋_GB2312" w:hAnsi="仿宋_GB2312" w:cs="仿宋_GB2312" w:eastAsia="仿宋_GB2312"/>
              </w:rPr>
              <w:t>9.建筑工程所使用的加气混凝土等建筑主体材料等，其放射性限量应符合标准GB50325-2020表3.1.3的规定。建筑工程室内装修时，如用人造木板及饰面人造木板，必须测定游离甲醛含量或游离甲醛释放量，根据测量方法，其限量应符合标准GB50325-2020第3.2.3和3.2.4条要求。建筑工程中所使用的能释放氨的阻燃剂、混凝土外加剂，氨的释放量不应大于0.10%。</w:t>
            </w:r>
          </w:p>
          <w:p>
            <w:pPr>
              <w:pStyle w:val="null3"/>
              <w:jc w:val="both"/>
            </w:pPr>
            <w:r>
              <w:rPr>
                <w:rFonts w:ascii="仿宋_GB2312" w:hAnsi="仿宋_GB2312" w:cs="仿宋_GB2312" w:eastAsia="仿宋_GB2312"/>
              </w:rPr>
              <w:t>10.建筑工程室内装修中所使用的木质材料、严禁采用沥青、煤焦油类防腐、防潮处理剂。建筑工程室内装修时，严禁使用苯、工业苯、石油苯，重质苯及混苯作为稀释剂和溶剂。</w:t>
            </w:r>
          </w:p>
          <w:p>
            <w:pPr>
              <w:pStyle w:val="null3"/>
              <w:jc w:val="both"/>
            </w:pPr>
            <w:r>
              <w:rPr>
                <w:rFonts w:ascii="仿宋_GB2312" w:hAnsi="仿宋_GB2312" w:cs="仿宋_GB2312" w:eastAsia="仿宋_GB2312"/>
              </w:rPr>
              <w:t>11.建筑工程室内严禁使用有机溶剂清洗施工用具。</w:t>
            </w:r>
          </w:p>
          <w:p>
            <w:pPr>
              <w:pStyle w:val="null3"/>
              <w:jc w:val="both"/>
            </w:pPr>
            <w:r>
              <w:rPr>
                <w:rFonts w:ascii="仿宋_GB2312" w:hAnsi="仿宋_GB2312" w:cs="仿宋_GB2312" w:eastAsia="仿宋_GB2312"/>
              </w:rPr>
              <w:t>12.生产厂家应结合建筑功能、当地气候及环境条件、确定门窗的抗风压、水密性、气密性、隔声、隔热、防火、防玻璃炸裂等技术要求现场复核无误后，按照相应规范负责设计、制作与安装。</w:t>
            </w:r>
          </w:p>
          <w:p>
            <w:pPr>
              <w:pStyle w:val="null3"/>
              <w:jc w:val="both"/>
            </w:pPr>
            <w:r>
              <w:rPr>
                <w:rFonts w:ascii="仿宋_GB2312" w:hAnsi="仿宋_GB2312" w:cs="仿宋_GB2312" w:eastAsia="仿宋_GB2312"/>
              </w:rPr>
              <w:t>13.外窗：框料为深灰色断桥铝合金：玻璃为无色透明中空玻璃，外窗开启扇处均设纱窗。外门窗框与附框或墙体之间的缝隙，应清除杂质后用聚氨醋发泡胶等隔热材料填嵌饱满，并采用硅酮建筑耐候胶密封，以防漏水。</w:t>
            </w:r>
          </w:p>
          <w:p>
            <w:pPr>
              <w:pStyle w:val="null3"/>
              <w:jc w:val="both"/>
            </w:pPr>
            <w:r>
              <w:rPr>
                <w:rFonts w:ascii="仿宋_GB2312" w:hAnsi="仿宋_GB2312" w:cs="仿宋_GB2312" w:eastAsia="仿宋_GB2312"/>
              </w:rPr>
              <w:t>14.琴房及办公室门需有观察窗。</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六、装饰要求</w:t>
            </w:r>
          </w:p>
        </w:tc>
        <w:tc>
          <w:tcPr>
            <w:tcW w:type="dxa" w:w="2076"/>
          </w:tcPr>
          <w:p>
            <w:pPr>
              <w:pStyle w:val="null3"/>
              <w:jc w:val="both"/>
            </w:pPr>
            <w:r>
              <w:rPr>
                <w:rFonts w:ascii="仿宋_GB2312" w:hAnsi="仿宋_GB2312" w:cs="仿宋_GB2312" w:eastAsia="仿宋_GB2312"/>
              </w:rPr>
              <w:t>1.室内二次装修设计：应满足消防安全、使用功能、节能及环保等要求，不得超过结构楼面设计荷载值。也不得任意更改公用的给排水管道、暖通风管及消防设施：不得任意降低吊顶控制标高以及改动吊顶上的通风与消防设施：不应减少安全出口及疏散走道的净宽和数量。</w:t>
            </w:r>
          </w:p>
          <w:p>
            <w:pPr>
              <w:pStyle w:val="null3"/>
              <w:jc w:val="both"/>
            </w:pPr>
            <w:r>
              <w:rPr>
                <w:rFonts w:ascii="仿宋_GB2312" w:hAnsi="仿宋_GB2312" w:cs="仿宋_GB2312" w:eastAsia="仿宋_GB2312"/>
              </w:rPr>
              <w:t>2.未经技术鉴定和设计认可，不得破坏建筑主体结构承重构件，不得拆改结构构件和加层改造、增设隔墙或墙体移位。</w:t>
            </w:r>
          </w:p>
          <w:p>
            <w:pPr>
              <w:pStyle w:val="null3"/>
              <w:jc w:val="both"/>
            </w:pPr>
            <w:r>
              <w:rPr>
                <w:rFonts w:ascii="仿宋_GB2312" w:hAnsi="仿宋_GB2312" w:cs="仿宋_GB2312" w:eastAsia="仿宋_GB2312"/>
              </w:rPr>
              <w:t>3.室内为混合砂浆粉刷时，墙、柱和门洞口的阳角，应用每侧宽度＞50</w:t>
            </w:r>
          </w:p>
          <w:p>
            <w:pPr>
              <w:pStyle w:val="null3"/>
              <w:jc w:val="both"/>
            </w:pPr>
            <w:r>
              <w:rPr>
                <w:rFonts w:ascii="仿宋_GB2312" w:hAnsi="仿宋_GB2312" w:cs="仿宋_GB2312" w:eastAsia="仿宋_GB2312"/>
              </w:rPr>
              <w:t>4.有吊顶的房间，装饰面层应做至吊顶标高以上100高处。</w:t>
            </w:r>
          </w:p>
          <w:p>
            <w:pPr>
              <w:pStyle w:val="null3"/>
              <w:jc w:val="both"/>
            </w:pPr>
            <w:r>
              <w:rPr>
                <w:rFonts w:ascii="仿宋_GB2312" w:hAnsi="仿宋_GB2312" w:cs="仿宋_GB2312" w:eastAsia="仿宋_GB2312"/>
              </w:rPr>
              <w:t>5.不同材料交接处，应在找平层中附加耐碱玻璃纤维网格布，两边搭接不小于100，防止墙体开裂。</w:t>
            </w:r>
          </w:p>
          <w:p>
            <w:pPr>
              <w:pStyle w:val="null3"/>
              <w:jc w:val="both"/>
            </w:pPr>
            <w:r>
              <w:rPr>
                <w:rFonts w:ascii="仿宋_GB2312" w:hAnsi="仿宋_GB2312" w:cs="仿宋_GB2312" w:eastAsia="仿宋_GB2312"/>
              </w:rPr>
              <w:t>6.室内采暖立管、给排水立管、雨水管未设在管道井内时可统一由装修统一包管。</w:t>
            </w:r>
          </w:p>
          <w:p>
            <w:pPr>
              <w:pStyle w:val="null3"/>
              <w:jc w:val="both"/>
            </w:pPr>
            <w:r>
              <w:rPr>
                <w:rFonts w:ascii="仿宋_GB2312" w:hAnsi="仿宋_GB2312" w:cs="仿宋_GB2312" w:eastAsia="仿宋_GB2312"/>
              </w:rPr>
              <w:t>7.产生噪音和震动的设备机房，需作减噪隔声处理，具体做法见建施用料表，设备用房隔声量≥50dB其它房间隔声量应符合《民用建筑隔声设计规范》GB50118-2010。</w:t>
            </w:r>
          </w:p>
          <w:p>
            <w:pPr>
              <w:pStyle w:val="null3"/>
              <w:jc w:val="both"/>
            </w:pPr>
            <w:r>
              <w:rPr>
                <w:rFonts w:ascii="仿宋_GB2312" w:hAnsi="仿宋_GB2312" w:cs="仿宋_GB2312" w:eastAsia="仿宋_GB2312"/>
              </w:rPr>
              <w:t>8.设有地漏的房间均应做防水层，未注明整个房间找坡者，在地漏周围1米范围内向地漏找1%~2％坡。</w:t>
            </w:r>
          </w:p>
          <w:p>
            <w:pPr>
              <w:pStyle w:val="null3"/>
              <w:jc w:val="both"/>
            </w:pPr>
            <w:r>
              <w:rPr>
                <w:rFonts w:ascii="仿宋_GB2312" w:hAnsi="仿宋_GB2312" w:cs="仿宋_GB2312" w:eastAsia="仿宋_GB2312"/>
              </w:rPr>
              <w:t>9.及时清理施工现场垃圾。</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七、以下内容为对本工程的最基本要求，包括但不限于：</w:t>
            </w:r>
          </w:p>
        </w:tc>
        <w:tc>
          <w:tcPr>
            <w:tcW w:type="dxa" w:w="2076"/>
          </w:tcPr>
          <w:p>
            <w:pPr>
              <w:pStyle w:val="null3"/>
              <w:jc w:val="both"/>
            </w:pPr>
            <w:r>
              <w:rPr>
                <w:rFonts w:ascii="仿宋_GB2312" w:hAnsi="仿宋_GB2312" w:cs="仿宋_GB2312" w:eastAsia="仿宋_GB2312"/>
              </w:rPr>
              <w:t>1.施工单位项目负责人是安全生产第一责任人，施工单位应建立健全安全生产责任制度和安全教育培训、安全生产检查和安全生产操作规程等各项规章制度；向施工作业人员提供符合相关标准的劳动安全防护用品（具），为施工人员缴纳意外伤害保险。</w:t>
            </w:r>
          </w:p>
          <w:p>
            <w:pPr>
              <w:pStyle w:val="null3"/>
              <w:jc w:val="both"/>
            </w:pPr>
            <w:r>
              <w:rPr>
                <w:rFonts w:ascii="仿宋_GB2312" w:hAnsi="仿宋_GB2312" w:cs="仿宋_GB2312" w:eastAsia="仿宋_GB2312"/>
              </w:rPr>
              <w:t>2.施工单位应根据工程特点和周边各种管线管网、相邻建筑物以及绿化等其他设施等编制工程安全防护措施方案。该方案经施工单位技术负责人签字批准送建设单位审核后方可施工。</w:t>
            </w:r>
          </w:p>
          <w:p>
            <w:pPr>
              <w:pStyle w:val="null3"/>
              <w:jc w:val="both"/>
            </w:pPr>
            <w:r>
              <w:rPr>
                <w:rFonts w:ascii="仿宋_GB2312" w:hAnsi="仿宋_GB2312" w:cs="仿宋_GB2312" w:eastAsia="仿宋_GB2312"/>
              </w:rPr>
              <w:t>3.施工单位在施工现场应建立项目部，并按规定配备专职安全员。现场专职安全员必须持有安全生产考核合格证。</w:t>
            </w:r>
          </w:p>
          <w:p>
            <w:pPr>
              <w:pStyle w:val="null3"/>
              <w:jc w:val="both"/>
            </w:pPr>
            <w:r>
              <w:rPr>
                <w:rFonts w:ascii="仿宋_GB2312" w:hAnsi="仿宋_GB2312" w:cs="仿宋_GB2312" w:eastAsia="仿宋_GB2312"/>
              </w:rPr>
              <w:t>4.关键部位作业人员必须经专业安全技术培训后方可上岗。必要时施工前施工单位对施工作业人员进行安全技术交底，派出技术人员到现场指导，专职安全员在现场监督安全管理。另外施工单位必须制定安全事故应急救援方案。</w:t>
            </w:r>
          </w:p>
          <w:p>
            <w:pPr>
              <w:pStyle w:val="null3"/>
              <w:jc w:val="both"/>
            </w:pPr>
            <w:r>
              <w:rPr>
                <w:rFonts w:ascii="仿宋_GB2312" w:hAnsi="仿宋_GB2312" w:cs="仿宋_GB2312" w:eastAsia="仿宋_GB2312"/>
              </w:rPr>
              <w:t>5.拆除时不得野蛮施工、不得对附近建筑物、路灯、规划外的树木等造成损害。</w:t>
            </w:r>
          </w:p>
          <w:p>
            <w:pPr>
              <w:pStyle w:val="null3"/>
              <w:jc w:val="both"/>
            </w:pPr>
            <w:r>
              <w:rPr>
                <w:rFonts w:ascii="仿宋_GB2312" w:hAnsi="仿宋_GB2312" w:cs="仿宋_GB2312" w:eastAsia="仿宋_GB2312"/>
              </w:rPr>
              <w:t>6.施工单位对工程的周边环境和施工区域内的环境卫生负责。</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八、质量保修</w:t>
            </w:r>
          </w:p>
        </w:tc>
        <w:tc>
          <w:tcPr>
            <w:tcW w:type="dxa" w:w="2076"/>
          </w:tcPr>
          <w:p>
            <w:pPr>
              <w:pStyle w:val="null3"/>
              <w:jc w:val="both"/>
            </w:pPr>
            <w:r>
              <w:rPr>
                <w:rFonts w:ascii="仿宋_GB2312" w:hAnsi="仿宋_GB2312" w:cs="仿宋_GB2312" w:eastAsia="仿宋_GB2312"/>
              </w:rPr>
              <w:t>项目质保期：自竣工验收合格之日起</w:t>
            </w:r>
            <w:r>
              <w:rPr>
                <w:rFonts w:ascii="仿宋_GB2312" w:hAnsi="仿宋_GB2312" w:cs="仿宋_GB2312" w:eastAsia="仿宋_GB2312"/>
              </w:rPr>
              <w:t>2</w:t>
            </w:r>
            <w:r>
              <w:rPr>
                <w:rFonts w:ascii="仿宋_GB2312" w:hAnsi="仿宋_GB2312" w:cs="仿宋_GB2312" w:eastAsia="仿宋_GB2312"/>
              </w:rPr>
              <w:t>年。</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九、商务要求</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、工期：签订合同之日起</w:t>
            </w:r>
            <w:r>
              <w:rPr>
                <w:rFonts w:ascii="仿宋_GB2312" w:hAnsi="仿宋_GB2312" w:cs="仿宋_GB2312" w:eastAsia="仿宋_GB2312"/>
              </w:rPr>
              <w:t>30</w:t>
            </w:r>
            <w:r>
              <w:rPr>
                <w:rFonts w:ascii="仿宋_GB2312" w:hAnsi="仿宋_GB2312" w:cs="仿宋_GB2312" w:eastAsia="仿宋_GB2312"/>
              </w:rPr>
              <w:t>日历</w:t>
            </w:r>
            <w:r>
              <w:rPr>
                <w:rFonts w:ascii="仿宋_GB2312" w:hAnsi="仿宋_GB2312" w:cs="仿宋_GB2312" w:eastAsia="仿宋_GB2312"/>
              </w:rPr>
              <w:t>天。</w:t>
            </w:r>
          </w:p>
          <w:p>
            <w:pPr>
              <w:pStyle w:val="null3"/>
              <w:jc w:val="both"/>
            </w:pPr>
            <w:r>
              <w:rPr>
                <w:rFonts w:ascii="仿宋_GB2312" w:hAnsi="仿宋_GB2312" w:cs="仿宋_GB2312" w:eastAsia="仿宋_GB2312"/>
              </w:rPr>
              <w:t>2</w:t>
            </w:r>
            <w:r>
              <w:rPr>
                <w:rFonts w:ascii="仿宋_GB2312" w:hAnsi="仿宋_GB2312" w:cs="仿宋_GB2312" w:eastAsia="仿宋_GB2312"/>
              </w:rPr>
              <w:t>、实施地点：西安石油大学</w:t>
            </w:r>
            <w:r>
              <w:rPr>
                <w:rFonts w:ascii="仿宋_GB2312" w:hAnsi="仿宋_GB2312" w:cs="仿宋_GB2312" w:eastAsia="仿宋_GB2312"/>
              </w:rPr>
              <w:t>鄠邑校区东区体育场东侧</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、付款方式：</w:t>
            </w:r>
            <w:r>
              <w:rPr>
                <w:rFonts w:ascii="仿宋_GB2312" w:hAnsi="仿宋_GB2312" w:cs="仿宋_GB2312" w:eastAsia="仿宋_GB2312"/>
              </w:rPr>
              <w:t>本工程无预付款，工程施工完毕，经甲方验收合格后，</w:t>
            </w:r>
            <w:r>
              <w:rPr>
                <w:rFonts w:ascii="仿宋_GB2312" w:hAnsi="仿宋_GB2312" w:cs="仿宋_GB2312" w:eastAsia="仿宋_GB2312"/>
              </w:rPr>
              <w:t>10日内支付合同总价款的80%；经工程审计结算审核后10日内，扣除1%的水电费，余款一次性付清（不计利息）.办理付款时，乙方应提供增值税专用发票。</w:t>
            </w:r>
          </w:p>
          <w:p>
            <w:pPr>
              <w:pStyle w:val="null3"/>
              <w:jc w:val="both"/>
            </w:pPr>
            <w:r>
              <w:rPr>
                <w:rFonts w:ascii="仿宋_GB2312" w:hAnsi="仿宋_GB2312" w:cs="仿宋_GB2312" w:eastAsia="仿宋_GB2312"/>
                <w:sz w:val="21"/>
              </w:rPr>
              <w:t>承包人递交的工程结算资料应详实、准确，经发包人委托的造价咨询机构进行结算审核，审减额在</w:t>
            </w:r>
            <w:r>
              <w:rPr>
                <w:rFonts w:ascii="仿宋_GB2312" w:hAnsi="仿宋_GB2312" w:cs="仿宋_GB2312" w:eastAsia="仿宋_GB2312"/>
                <w:sz w:val="21"/>
              </w:rPr>
              <w:t>5%以内（含5%）的审核成果费由发包人承担；审减额超过5%的，超出部分的审计成果费由承包人承担</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符合国家、省、市、区相关规范和标准的要求。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1.本项目不得分包、转包。 2.供应商在竞争性磋商响应文件中承诺的项目负责人及相应资质的专业技术、安全管理人员未经采购人书面同意，承包人不得调换和撤离，并按工程进度及时到位。采购人有权要求施工单位撤换工作不负责任、管理不力、贻误工期和造成严重安全事故和违法乱纪的专业技术、安全管理人员。如项目负责人及相应资质的专业技术人员未按要求到位，视作违约，采购人有权按合同约定进行罚款直至单方面终止合同。 3.成交供应商须无条件接受甲方代表的现场检查和管理。 4.成交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学校无关。 5.施工的建筑垃圾应清运至有关部门指定的地点，做到工完场清，不留死角。</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成交供应商在领取成交通知书时，需线下提供纸质响应文件叁份、电子版（U盘）壹份（内容与平台上传的签章版电子文件保持一致），纸质响应文件建议A4纸双面打印，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供应商依法缴纳税收、缴纳社会保障金、具有履行合同所必需的设备和专业技术能力、参加政府采购活动前三年内，在经营活动中没有重大违法记录，供应商按照磋商文件提供的《基本资格条件承诺函》进行承诺； （3）未被列入失信被执行人、重大税收违法案件当事人名单及政府采购严重违法失信行为记录名单的证明材料：提供《基本资格条件承诺函》。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年度经审计完整的财务报告（包括审计报告、资产负债表、利润表、现金流量表、所有者权益变动表及其附注等相关资料），②可提供截至响应文件提交截止日一年内银行出具的资信证明，③供应商注册时间截至响应文件提交截止日不足一年的，也可提供在工商管理部门备案的公司章程；④提供财政部门认可的政府采购专业担保机构出具的投标担保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建筑工程专业二级及以上注册建造师证书，有效的安全生产考核合格证书（建安B证），且无在建工程（提供无在建工程的承诺函）。供应商需在项目电子化交易系统中按要求上传相应证明文件并进行电子签章。 专业：建筑工程专业</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供应商具备建筑工程施工总承包叁级及以上资质或建筑装饰装修工程专业承包贰级及以上资质，并提供有效的安全生产许可证。供应商需在项目电子化交易系统中按要求上传相应证明文件并进行电子签章。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外省进陕企业提供陕西省住房和城乡建设厅官网企业库外省进陕企业信息首页截图，供应商及拟派项目负责人在“陕西省住房和城乡建设厅（企业库、人员库）”可查询，供应商需在项目电子化交易系统中按要求上传查询截图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本项目为专门面向中小企业项目，供应商提供《中小企业声明函》。承揽工程的供应商应为中型企业或小型、微型企业或监狱企业或残疾人福利性单位（监狱企业以及残疾人福利性单位视同小型、微型企业）。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 2、报价货币符合磋商文件要求 ; 3、未超出磋商文件规定的最高限价。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技术、服务及其他商务要求应答表.docx 供应商应提交的相关资格证明材料.docx 项目管理机构组成表 残疾人福利性单位声明函 技术方案响应说明.docx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响应文件封面 技术、服务及其他商务要求应答表.docx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已标价工程量清单 中小企业声明函 强制优先采购产品承诺函 响应文件封面 技术、服务及其他商务要求应答表.docx 供应商应提交的相关资格证明材料.docx 项目管理机构组成表 残疾人福利性单位声明函 技术方案响应说明.docx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响应文件封面 技术、服务及其他商务要求应答表.docx 技术方案响应说明.docx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总体思路清晰、合理、可操作性强、可执行程度强，且能很好推动项目实施，得6分；施工方案总体思路基本明确、可行性、合理性较强，得4分；方案思路模糊、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技术、服务及其他商务要求应答表.docx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确保工程质量的技术组织措施；措施明确、合理，计划完备、可行性强，得6分；措施基本完备、有较强可行性，得4分；措施可行性、合理性一般，得2分；未提供不计分。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技术、服务及其他商务要求应答表.docx</w:t>
            </w:r>
          </w:p>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技术、服务及其他商务要求应答表.docx</w:t>
            </w:r>
          </w:p>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确保文明施工的技术组织措施及环境保护措施；措施明确、合理，计划完备、可行性强，得5分；措施基本完备、有较强可行性，得3分；措施可行性、合理性一般，得1分；未提供不计分。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技术、服务及其他商务要求应答表.docx</w:t>
            </w:r>
          </w:p>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确保工期的技术组织措施；措施明确、合理，计划完备、可行性强，得5分；措施 基本完备、有较强可行性，得3分；措施可行性、合理性一般，得1分；未提供不计分。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技术、服务及其他商务要求应答表.docx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施工机械配备和材料投入计划；内容完整、计划合理得5分；内容基本完整、计划比较合理得3分；内容不够完整、计划欠合理得1分；未提供不计分。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技术、服务及其他商务要求应答表.docx</w:t>
            </w:r>
          </w:p>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施工进度表或施工网络图纸</w:t>
            </w:r>
          </w:p>
        </w:tc>
        <w:tc>
          <w:tcPr>
            <w:tcW w:type="dxa" w:w="2492"/>
          </w:tcPr>
          <w:p>
            <w:pPr>
              <w:pStyle w:val="null3"/>
            </w:pPr>
            <w:r>
              <w:rPr>
                <w:rFonts w:ascii="仿宋_GB2312" w:hAnsi="仿宋_GB2312" w:cs="仿宋_GB2312" w:eastAsia="仿宋_GB2312"/>
              </w:rPr>
              <w:t>施工进度表或施工网络图纸详细表明本项目涉及的暖气改造全流程实施的时间节点和时间进度安排，详细、合理、可行性强得5；相对详细、比较合理、有可行性得3分；安排不详细但不影响具体项目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技术、服务及其他商务要求应答表.docx</w:t>
            </w:r>
          </w:p>
        </w:tc>
      </w:tr>
      <w:tr>
        <w:tc>
          <w:tcPr>
            <w:tcW w:type="dxa" w:w="831"/>
            <w:vMerge/>
          </w:tcPr>
          <w:p/>
        </w:tc>
        <w:tc>
          <w:tcPr>
            <w:tcW w:type="dxa" w:w="1661"/>
          </w:tcPr>
          <w:p>
            <w:pPr>
              <w:pStyle w:val="null3"/>
            </w:pPr>
            <w:r>
              <w:rPr>
                <w:rFonts w:ascii="仿宋_GB2312" w:hAnsi="仿宋_GB2312" w:cs="仿宋_GB2312" w:eastAsia="仿宋_GB2312"/>
              </w:rPr>
              <w:t>人员劳动力安排计划</w:t>
            </w:r>
          </w:p>
        </w:tc>
        <w:tc>
          <w:tcPr>
            <w:tcW w:type="dxa" w:w="2492"/>
          </w:tcPr>
          <w:p>
            <w:pPr>
              <w:pStyle w:val="null3"/>
            </w:pPr>
            <w:r>
              <w:rPr>
                <w:rFonts w:ascii="仿宋_GB2312" w:hAnsi="仿宋_GB2312" w:cs="仿宋_GB2312" w:eastAsia="仿宋_GB2312"/>
              </w:rPr>
              <w:t>除项目经理、技术负责人以外的人员劳动力安排计划：团队人员搭配合理，充分满足项目需求，具有较强的可行性、科学性、合理性得5分；项目组织人员搭配基本满足项目需求，可行性、科学性及合理性一般，得3分；项目组织人员搭配不合理，难以满足项目需求，可行性、合理性较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技术、服务及其他商务要求应答表.docx</w:t>
            </w:r>
          </w:p>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施工总平面布置图、现场临时设施布置</w:t>
            </w:r>
          </w:p>
        </w:tc>
        <w:tc>
          <w:tcPr>
            <w:tcW w:type="dxa" w:w="2492"/>
          </w:tcPr>
          <w:p>
            <w:pPr>
              <w:pStyle w:val="null3"/>
            </w:pPr>
            <w:r>
              <w:rPr>
                <w:rFonts w:ascii="仿宋_GB2312" w:hAnsi="仿宋_GB2312" w:cs="仿宋_GB2312" w:eastAsia="仿宋_GB2312"/>
              </w:rPr>
              <w:t>施工总平面布置图、现场临时设施布置；施工现场平面布置科学合理、临时设施解决方案针对性强、扰民问题解决方案或措施完善得4分，基本合理可行得2分，不够合理得1分，未提供不计分；未提供不计分。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技术、服务及其他商务要求应答表.docx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满足项目需求，具有较强的可行性、科学性、合理性得4分；基本满足项目需求，可行性、科学性及合理性一般，得2分；难以满足项目需求，可行性、合理性较差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技术、服务及其他商务要求应答表.docx</w:t>
            </w:r>
          </w:p>
        </w:tc>
      </w:tr>
      <w:tr>
        <w:tc>
          <w:tcPr>
            <w:tcW w:type="dxa" w:w="831"/>
            <w:vMerge/>
          </w:tcPr>
          <w:p/>
        </w:tc>
        <w:tc>
          <w:tcPr>
            <w:tcW w:type="dxa" w:w="1661"/>
          </w:tcPr>
          <w:p>
            <w:pPr>
              <w:pStyle w:val="null3"/>
            </w:pPr>
            <w:r>
              <w:rPr>
                <w:rFonts w:ascii="仿宋_GB2312" w:hAnsi="仿宋_GB2312" w:cs="仿宋_GB2312" w:eastAsia="仿宋_GB2312"/>
              </w:rPr>
              <w:t>主要材料质量</w:t>
            </w:r>
          </w:p>
        </w:tc>
        <w:tc>
          <w:tcPr>
            <w:tcW w:type="dxa" w:w="2492"/>
          </w:tcPr>
          <w:p>
            <w:pPr>
              <w:pStyle w:val="null3"/>
            </w:pPr>
            <w:r>
              <w:rPr>
                <w:rFonts w:ascii="仿宋_GB2312" w:hAnsi="仿宋_GB2312" w:cs="仿宋_GB2312" w:eastAsia="仿宋_GB2312"/>
              </w:rPr>
              <w:t>根据供应商提供的所投主要材料（吸音复合板、空调器、线缆）产品选型的合理性、质量保证、环保性能等（内容包括但不限于材料名称、品牌、规格、材质及主材检测报告、技术参数性能证明材料等资料）进行评分：提供主材及清单内容完整齐全，技术参数性能完全满足采购人要求得6分；提供主材及清单内容基本齐全，技术参数性能基本满足采购人要求得3分；未提供质量认证报告或相关证明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技术、服务及其他商务要求应答表.docx</w:t>
            </w:r>
          </w:p>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主要材料来源</w:t>
            </w:r>
          </w:p>
        </w:tc>
        <w:tc>
          <w:tcPr>
            <w:tcW w:type="dxa" w:w="2492"/>
          </w:tcPr>
          <w:p>
            <w:pPr>
              <w:pStyle w:val="null3"/>
            </w:pPr>
            <w:r>
              <w:rPr>
                <w:rFonts w:ascii="仿宋_GB2312" w:hAnsi="仿宋_GB2312" w:cs="仿宋_GB2312" w:eastAsia="仿宋_GB2312"/>
              </w:rPr>
              <w:t>供应商根据拟投入的主要材料（吸音复合板、空调器、线缆）的供货渠道、来源的合法性提供相关证明材料，证明材料全部提供的得6分，提供任意一项得2分，不提供的得0分。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p>
            <w:pPr>
              <w:pStyle w:val="null3"/>
            </w:pPr>
            <w:r>
              <w:rPr>
                <w:rFonts w:ascii="仿宋_GB2312" w:hAnsi="仿宋_GB2312" w:cs="仿宋_GB2312" w:eastAsia="仿宋_GB2312"/>
              </w:rPr>
              <w:t>技术、服务及其他商务要求应答表.docx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须提供近三年类似业绩证明材料（2021年1月1日至今，以合同签订日期为准），每具备一项上述业绩得2分，最高得8分。证明材料不全的不予赋分。（提供完整的合同证明资料或中标通知书，关键信息及印章清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价格分采用低价优先法计算，即满足竞争性磋商文件要求且最终报价最低的磋商报价作为评审基准价，其价格分为满分。其他供应商的价格分统一按照下列公式计算： 报价得分=（评审基准价/磋商报价）×30。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详见附件：技术方案响应说明.docx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