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版本号：KY2025-1-31020250325001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陕西省食品安全监管综合业务系统维保项目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KY2025-1-310</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陕西省食品安全监管综合业务系统维保项目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陕西省食品安全监管综合业务系统维保项目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陕西省市场监督管理局陕西省食品安全监管综合业务系统维保项目，1项，具体内容详见采购文件第3章。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采购包1（陕西省食品安全监管综合业务系统维保项目）：属于专门面向中小企业采购。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合同及附件文本；国家相应的标准、规范。 2、成交供应商应负责在项目验收前将项目过程中产生的全部各种相关各阶段文档整理好装订提交，并提交相关文档。 3、对整个项目的验收包括检查应用系统是否实现了采购人在采购文件中所要求的功能，是否与成交供应商提出的解决方案中既定目标功能完全一致。 4、本项目的最终验收由采购人、成交供应商共同进行。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联系人：尚娇、韩婷</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陕西省市场监督管理局陕西省食品安全监管综合业务系统维保项目，1项，具体内容详见服务要求。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陕西省食品安全监管综合业务系统维保项目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标的名称：陕西省食品安全监管综合业务系统维保项目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陕西省食品安全监管综合业务系统维保项目</w:t>
            </w:r>
          </w:p>
        </w:tc>
        <w:tc>
          <w:tcPr>
            <w:tcW w:type="dxa" w:w="2076"/>
          </w:tcPr>
          <w:p>
            <w:pPr>
              <w:pStyle w:val="null3"/>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项目概述</w:t>
            </w:r>
          </w:p>
          <w:p>
            <w:pPr>
              <w:pStyle w:val="null3"/>
              <w:jc w:val="left"/>
              <w:outlineLvl w:val="2"/>
            </w:pPr>
            <w:r>
              <w:rPr>
                <w:rFonts w:ascii="仿宋_GB2312" w:hAnsi="仿宋_GB2312" w:cs="仿宋_GB2312" w:eastAsia="仿宋_GB2312"/>
                <w:sz w:val="24"/>
                <w:b/>
              </w:rPr>
              <w:t>1.项目背景</w:t>
            </w:r>
          </w:p>
          <w:p>
            <w:pPr>
              <w:pStyle w:val="null3"/>
            </w:pPr>
            <w:r>
              <w:rPr>
                <w:rFonts w:ascii="仿宋_GB2312" w:hAnsi="仿宋_GB2312" w:cs="仿宋_GB2312" w:eastAsia="仿宋_GB2312"/>
                <w:sz w:val="24"/>
              </w:rPr>
              <w:t xml:space="preserve">  根据国务院关于加强互联网</w:t>
            </w:r>
            <w:r>
              <w:rPr>
                <w:rFonts w:ascii="仿宋_GB2312" w:hAnsi="仿宋_GB2312" w:cs="仿宋_GB2312" w:eastAsia="仿宋_GB2312"/>
                <w:sz w:val="24"/>
              </w:rPr>
              <w:t>+政务服务的指导精神以及《陕西省“十三五”食品药品安全规划》的总体要求，借助信息化推进政府治理、提升政府服务、探索食品监管创新的趋势，为应对监管对象发展变化、推动多部门协同治理、促进食品安全工作的有效途径和重要手段，原陕西省食品药品监督管理局依据信息化建设总体规划，结合全省食品安全监管领域的业务需求，融合食品安全治理过程中的科学成熟的监管理念，坚持省级统筹建设、四级应用的信息化建设模式，建立了覆盖全省政府、企业及公众的食品安全监管统一信息化监管系统。</w:t>
            </w:r>
          </w:p>
          <w:p>
            <w:pPr>
              <w:pStyle w:val="null3"/>
            </w:pPr>
            <w:r>
              <w:rPr>
                <w:rFonts w:ascii="仿宋_GB2312" w:hAnsi="仿宋_GB2312" w:cs="仿宋_GB2312" w:eastAsia="仿宋_GB2312"/>
                <w:sz w:val="24"/>
              </w:rPr>
              <w:t xml:space="preserve">  陕西省食品安全监管综合业务系统运行以来，以统一身份认证为切入口，以微服务分布式技术架构为基础，以政务云资源为支撑，以规范有效的运维服务机制为保障，为陕西全省用户提供了便捷可靠的服务。经过不断完善和升级，目前提供服务于企业的企业服务端，服务于政府监管人员的监管端，服务于公众的公示与查询端；同时提供微信及移动端支持服务。</w:t>
            </w:r>
          </w:p>
          <w:p>
            <w:pPr>
              <w:pStyle w:val="null3"/>
              <w:jc w:val="left"/>
              <w:outlineLvl w:val="2"/>
            </w:pPr>
            <w:r>
              <w:rPr>
                <w:rFonts w:ascii="仿宋_GB2312" w:hAnsi="仿宋_GB2312" w:cs="仿宋_GB2312" w:eastAsia="仿宋_GB2312"/>
                <w:sz w:val="24"/>
                <w:b/>
              </w:rPr>
              <w:t>2.运维服务情况</w:t>
            </w:r>
          </w:p>
          <w:p>
            <w:pPr>
              <w:pStyle w:val="null3"/>
            </w:pPr>
            <w:r>
              <w:rPr>
                <w:rFonts w:ascii="仿宋_GB2312" w:hAnsi="仿宋_GB2312" w:cs="仿宋_GB2312" w:eastAsia="仿宋_GB2312"/>
                <w:sz w:val="24"/>
              </w:rPr>
              <w:t xml:space="preserve">  陕西省食品安全监管综合业务系统由陕西省市场监督管理局进行负责运维管理，第三方负责运维服务及技术支持</w:t>
            </w:r>
            <w:r>
              <w:rPr>
                <w:rFonts w:ascii="仿宋_GB2312" w:hAnsi="仿宋_GB2312" w:cs="仿宋_GB2312" w:eastAsia="仿宋_GB2312"/>
                <w:sz w:val="24"/>
              </w:rPr>
              <w:t>，</w:t>
            </w:r>
            <w:r>
              <w:rPr>
                <w:rFonts w:ascii="仿宋_GB2312" w:hAnsi="仿宋_GB2312" w:cs="仿宋_GB2312" w:eastAsia="仿宋_GB2312"/>
                <w:sz w:val="24"/>
              </w:rPr>
              <w:t>按照标准的运维服务规范对系统进行全方位的运维服务，确保陕西省食品安全监管业务系统业务持续稳定开展。</w:t>
            </w:r>
          </w:p>
          <w:p>
            <w:pPr>
              <w:pStyle w:val="null3"/>
            </w:pPr>
            <w:r>
              <w:rPr>
                <w:rFonts w:ascii="仿宋_GB2312" w:hAnsi="仿宋_GB2312" w:cs="仿宋_GB2312" w:eastAsia="仿宋_GB2312"/>
                <w:sz w:val="24"/>
              </w:rPr>
              <w:t xml:space="preserve">  为了能保证陕西省食品安全监管业务系统运维服务的正常开展，</w:t>
            </w:r>
            <w:r>
              <w:rPr>
                <w:rFonts w:ascii="仿宋_GB2312" w:hAnsi="仿宋_GB2312" w:cs="仿宋_GB2312" w:eastAsia="仿宋_GB2312"/>
                <w:sz w:val="24"/>
              </w:rPr>
              <w:t>2024</w:t>
            </w:r>
            <w:r>
              <w:rPr>
                <w:rFonts w:ascii="仿宋_GB2312" w:hAnsi="仿宋_GB2312" w:cs="仿宋_GB2312" w:eastAsia="仿宋_GB2312"/>
                <w:sz w:val="24"/>
              </w:rPr>
              <w:t>年度</w:t>
            </w:r>
            <w:r>
              <w:rPr>
                <w:rFonts w:ascii="仿宋_GB2312" w:hAnsi="仿宋_GB2312" w:cs="仿宋_GB2312" w:eastAsia="仿宋_GB2312"/>
                <w:sz w:val="24"/>
              </w:rPr>
              <w:t>的</w:t>
            </w:r>
            <w:r>
              <w:rPr>
                <w:rFonts w:ascii="仿宋_GB2312" w:hAnsi="仿宋_GB2312" w:cs="仿宋_GB2312" w:eastAsia="仿宋_GB2312"/>
                <w:sz w:val="24"/>
              </w:rPr>
              <w:t>运维服务由</w:t>
            </w:r>
            <w:r>
              <w:rPr>
                <w:rFonts w:ascii="仿宋_GB2312" w:hAnsi="仿宋_GB2312" w:cs="仿宋_GB2312" w:eastAsia="仿宋_GB2312"/>
                <w:sz w:val="24"/>
              </w:rPr>
              <w:t>3名驻场服务人员进行业务服务，后台专职安全运维工程师1人开展技术保障工作，项目主管1人及本地化服务团队做相关服务支撑。</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技术要求</w:t>
            </w:r>
          </w:p>
          <w:p>
            <w:pPr>
              <w:pStyle w:val="null3"/>
              <w:jc w:val="left"/>
              <w:outlineLvl w:val="2"/>
            </w:pPr>
            <w:r>
              <w:rPr>
                <w:rFonts w:ascii="仿宋_GB2312" w:hAnsi="仿宋_GB2312" w:cs="仿宋_GB2312" w:eastAsia="仿宋_GB2312"/>
                <w:sz w:val="24"/>
                <w:b/>
              </w:rPr>
              <w:t>1.服务范围</w:t>
            </w:r>
          </w:p>
          <w:p>
            <w:pPr>
              <w:pStyle w:val="null3"/>
            </w:pPr>
            <w:r>
              <w:rPr>
                <w:rFonts w:ascii="仿宋_GB2312" w:hAnsi="仿宋_GB2312" w:cs="仿宋_GB2312" w:eastAsia="仿宋_GB2312"/>
                <w:sz w:val="24"/>
              </w:rPr>
              <w:t xml:space="preserve">  为了更好的服务陕西省食品安全综合业务系统的应用和业务的开展，针对运维服务，针对</w:t>
            </w:r>
            <w:r>
              <w:rPr>
                <w:rFonts w:ascii="仿宋_GB2312" w:hAnsi="仿宋_GB2312" w:cs="仿宋_GB2312" w:eastAsia="仿宋_GB2312"/>
                <w:sz w:val="24"/>
              </w:rPr>
              <w:t>2025</w:t>
            </w:r>
            <w:r>
              <w:rPr>
                <w:rFonts w:ascii="仿宋_GB2312" w:hAnsi="仿宋_GB2312" w:cs="仿宋_GB2312" w:eastAsia="仿宋_GB2312"/>
                <w:sz w:val="24"/>
              </w:rPr>
              <w:t>运维服务，主要从软件维护、其他运维</w:t>
            </w:r>
            <w:r>
              <w:rPr>
                <w:rFonts w:ascii="仿宋_GB2312" w:hAnsi="仿宋_GB2312" w:cs="仿宋_GB2312" w:eastAsia="仿宋_GB2312"/>
                <w:sz w:val="24"/>
              </w:rPr>
              <w:t>两</w:t>
            </w:r>
            <w:r>
              <w:rPr>
                <w:rFonts w:ascii="仿宋_GB2312" w:hAnsi="仿宋_GB2312" w:cs="仿宋_GB2312" w:eastAsia="仿宋_GB2312"/>
                <w:sz w:val="24"/>
              </w:rPr>
              <w:t>方面进行全面的系统运行维护及保障。</w:t>
            </w:r>
            <w:r>
              <w:rPr>
                <w:rFonts w:ascii="仿宋_GB2312" w:hAnsi="仿宋_GB2312" w:cs="仿宋_GB2312" w:eastAsia="仿宋_GB2312"/>
                <w:sz w:val="24"/>
              </w:rPr>
              <w:t>其他运维服务的范围包括：驻场运维服务、培训推广服务和应急保障服务等</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4"/>
                <w:b/>
              </w:rPr>
              <w:t>2.服务期限</w:t>
            </w:r>
          </w:p>
          <w:p>
            <w:pPr>
              <w:pStyle w:val="null3"/>
            </w:pPr>
            <w:r>
              <w:rPr>
                <w:rFonts w:ascii="仿宋_GB2312" w:hAnsi="仿宋_GB2312" w:cs="仿宋_GB2312" w:eastAsia="仿宋_GB2312"/>
                <w:sz w:val="24"/>
              </w:rPr>
              <w:t>本次服务期限为：</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w:t>
            </w:r>
          </w:p>
          <w:p>
            <w:pPr>
              <w:pStyle w:val="null3"/>
              <w:jc w:val="left"/>
              <w:outlineLvl w:val="2"/>
            </w:pPr>
            <w:r>
              <w:rPr>
                <w:rFonts w:ascii="仿宋_GB2312" w:hAnsi="仿宋_GB2312" w:cs="仿宋_GB2312" w:eastAsia="仿宋_GB2312"/>
                <w:sz w:val="24"/>
                <w:b/>
              </w:rPr>
              <w:t>3</w:t>
            </w:r>
            <w:r>
              <w:rPr>
                <w:rFonts w:ascii="仿宋_GB2312" w:hAnsi="仿宋_GB2312" w:cs="仿宋_GB2312" w:eastAsia="仿宋_GB2312"/>
                <w:sz w:val="24"/>
                <w:b/>
              </w:rPr>
              <w:t>.服务目标</w:t>
            </w:r>
          </w:p>
          <w:p>
            <w:pPr>
              <w:pStyle w:val="null3"/>
            </w:pPr>
            <w:r>
              <w:rPr>
                <w:rFonts w:ascii="仿宋_GB2312" w:hAnsi="仿宋_GB2312" w:cs="仿宋_GB2312" w:eastAsia="仿宋_GB2312"/>
                <w:sz w:val="24"/>
              </w:rPr>
              <w:t>·保障软件及资源的稳定性和可靠性；</w:t>
            </w:r>
          </w:p>
          <w:p>
            <w:pPr>
              <w:pStyle w:val="null3"/>
            </w:pPr>
            <w:r>
              <w:rPr>
                <w:rFonts w:ascii="仿宋_GB2312" w:hAnsi="仿宋_GB2312" w:cs="仿宋_GB2312" w:eastAsia="仿宋_GB2312"/>
                <w:sz w:val="24"/>
              </w:rPr>
              <w:t>·保障软件及资源的安全性和可恢复性；</w:t>
            </w:r>
          </w:p>
          <w:p>
            <w:pPr>
              <w:pStyle w:val="null3"/>
            </w:pPr>
            <w:r>
              <w:rPr>
                <w:rFonts w:ascii="仿宋_GB2312" w:hAnsi="仿宋_GB2312" w:cs="仿宋_GB2312" w:eastAsia="仿宋_GB2312"/>
                <w:sz w:val="24"/>
              </w:rPr>
              <w:t>·故障的及时响应与修复；</w:t>
            </w:r>
          </w:p>
          <w:p>
            <w:pPr>
              <w:pStyle w:val="null3"/>
            </w:pPr>
            <w:r>
              <w:rPr>
                <w:rFonts w:ascii="仿宋_GB2312" w:hAnsi="仿宋_GB2312" w:cs="仿宋_GB2312" w:eastAsia="仿宋_GB2312"/>
                <w:sz w:val="24"/>
              </w:rPr>
              <w:t>·信息系统的维护服务；</w:t>
            </w:r>
          </w:p>
          <w:p>
            <w:pPr>
              <w:pStyle w:val="null3"/>
            </w:pPr>
            <w:r>
              <w:rPr>
                <w:rFonts w:ascii="仿宋_GB2312" w:hAnsi="仿宋_GB2312" w:cs="仿宋_GB2312" w:eastAsia="仿宋_GB2312"/>
                <w:sz w:val="24"/>
              </w:rPr>
              <w:t>·人员的技术培训服务；</w:t>
            </w:r>
          </w:p>
          <w:p>
            <w:pPr>
              <w:pStyle w:val="null3"/>
            </w:pPr>
            <w:r>
              <w:rPr>
                <w:rFonts w:ascii="仿宋_GB2312" w:hAnsi="仿宋_GB2312" w:cs="仿宋_GB2312" w:eastAsia="仿宋_GB2312"/>
                <w:sz w:val="24"/>
              </w:rPr>
              <w:t>·信息化建设规划、方案制定等咨询服务。</w:t>
            </w:r>
          </w:p>
          <w:p>
            <w:pPr>
              <w:pStyle w:val="null3"/>
            </w:pPr>
            <w:r>
              <w:rPr>
                <w:rFonts w:ascii="仿宋_GB2312" w:hAnsi="仿宋_GB2312" w:cs="仿宋_GB2312" w:eastAsia="仿宋_GB2312"/>
                <w:sz w:val="24"/>
              </w:rPr>
              <w:t xml:space="preserve">  保障软件及资源的稳定性和可靠性</w:t>
            </w:r>
            <w:r>
              <w:rPr>
                <w:rFonts w:ascii="仿宋_GB2312" w:hAnsi="仿宋_GB2312" w:cs="仿宋_GB2312" w:eastAsia="仿宋_GB2312"/>
                <w:sz w:val="24"/>
              </w:rPr>
              <w:t>及</w:t>
            </w:r>
            <w:r>
              <w:rPr>
                <w:rFonts w:ascii="仿宋_GB2312" w:hAnsi="仿宋_GB2312" w:cs="仿宋_GB2312" w:eastAsia="仿宋_GB2312"/>
                <w:sz w:val="24"/>
              </w:rPr>
              <w:t>安全性和可恢复性</w:t>
            </w:r>
            <w:r>
              <w:rPr>
                <w:rFonts w:ascii="仿宋_GB2312" w:hAnsi="仿宋_GB2312" w:cs="仿宋_GB2312" w:eastAsia="仿宋_GB2312"/>
                <w:sz w:val="24"/>
              </w:rPr>
              <w:t>即</w:t>
            </w:r>
            <w:r>
              <w:rPr>
                <w:rFonts w:ascii="仿宋_GB2312" w:hAnsi="仿宋_GB2312" w:cs="仿宋_GB2312" w:eastAsia="仿宋_GB2312"/>
                <w:sz w:val="24"/>
              </w:rPr>
              <w:t>通过有效的运维管理，确保各信息化系统的可用性和稳定性，减少系统故障和停机时间。具体的可量化的运维目标指标包括全年系统可用率达到</w:t>
            </w: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%以上，故障率低于</w:t>
            </w:r>
            <w:r>
              <w:rPr>
                <w:rFonts w:ascii="仿宋_GB2312" w:hAnsi="仿宋_GB2312" w:cs="仿宋_GB2312" w:eastAsia="仿宋_GB2312"/>
                <w:sz w:val="24"/>
              </w:rPr>
              <w:t>5</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  高效的问题管理和应急响应：建立有效的问题管理和应急响应机制，及时发现、定位和解决系统故障和问题。可量化的运维目标指标包括问题解决及时率达到</w:t>
            </w:r>
            <w:r>
              <w:rPr>
                <w:rFonts w:ascii="仿宋_GB2312" w:hAnsi="仿宋_GB2312" w:cs="仿宋_GB2312" w:eastAsia="仿宋_GB2312"/>
                <w:sz w:val="24"/>
              </w:rPr>
              <w:t>95%以上，应急响应时间缩短至分钟级。</w:t>
            </w:r>
          </w:p>
          <w:p>
            <w:pPr>
              <w:pStyle w:val="null3"/>
            </w:pPr>
            <w:r>
              <w:rPr>
                <w:rFonts w:ascii="仿宋_GB2312" w:hAnsi="仿宋_GB2312" w:cs="仿宋_GB2312" w:eastAsia="仿宋_GB2312"/>
                <w:sz w:val="24"/>
              </w:rPr>
              <w:t xml:space="preserve">  持续的系统优化和升级：通过不断的系统优化和升级，提高各信息化系统的性能和效率，满足不断变化的业务需求。可量化的运维目标指标</w:t>
            </w:r>
            <w:r>
              <w:rPr>
                <w:rFonts w:ascii="仿宋_GB2312" w:hAnsi="仿宋_GB2312" w:cs="仿宋_GB2312" w:eastAsia="仿宋_GB2312"/>
                <w:sz w:val="24"/>
              </w:rPr>
              <w:t>为</w:t>
            </w:r>
            <w:r>
              <w:rPr>
                <w:rFonts w:ascii="仿宋_GB2312" w:hAnsi="仿宋_GB2312" w:cs="仿宋_GB2312" w:eastAsia="仿宋_GB2312"/>
                <w:sz w:val="24"/>
              </w:rPr>
              <w:t>用户满意度达到</w:t>
            </w:r>
            <w:r>
              <w:rPr>
                <w:rFonts w:ascii="仿宋_GB2312" w:hAnsi="仿宋_GB2312" w:cs="仿宋_GB2312" w:eastAsia="仿宋_GB2312"/>
                <w:sz w:val="24"/>
              </w:rPr>
              <w:t>90%以上。</w:t>
            </w:r>
          </w:p>
          <w:p>
            <w:pPr>
              <w:pStyle w:val="null3"/>
            </w:pPr>
            <w:r>
              <w:rPr>
                <w:rFonts w:ascii="仿宋_GB2312" w:hAnsi="仿宋_GB2312" w:cs="仿宋_GB2312" w:eastAsia="仿宋_GB2312"/>
                <w:sz w:val="24"/>
              </w:rPr>
              <w:t xml:space="preserve">  合理的资源利用和管理：合理利用和管理系统资源，降低运维成本，提高运维效率。</w:t>
            </w:r>
          </w:p>
          <w:p>
            <w:pPr>
              <w:pStyle w:val="null3"/>
              <w:jc w:val="left"/>
              <w:outlineLvl w:val="2"/>
            </w:pPr>
            <w:r>
              <w:rPr>
                <w:rFonts w:ascii="仿宋_GB2312" w:hAnsi="仿宋_GB2312" w:cs="仿宋_GB2312" w:eastAsia="仿宋_GB2312"/>
                <w:sz w:val="24"/>
                <w:b/>
              </w:rPr>
              <w:t>4.服务内容</w:t>
            </w:r>
          </w:p>
          <w:p>
            <w:pPr>
              <w:pStyle w:val="null3"/>
            </w:pPr>
            <w:r>
              <w:rPr>
                <w:rFonts w:ascii="仿宋_GB2312" w:hAnsi="仿宋_GB2312" w:cs="仿宋_GB2312" w:eastAsia="仿宋_GB2312"/>
                <w:sz w:val="24"/>
              </w:rPr>
              <w:t xml:space="preserve">  为了更好的服务陕西省食品安全综合业务系统的应用和业务的开展，针对运维服务，主要从软件维护、其他运维</w:t>
            </w:r>
            <w:r>
              <w:rPr>
                <w:rFonts w:ascii="仿宋_GB2312" w:hAnsi="仿宋_GB2312" w:cs="仿宋_GB2312" w:eastAsia="仿宋_GB2312"/>
                <w:sz w:val="24"/>
              </w:rPr>
              <w:t>两</w:t>
            </w:r>
            <w:r>
              <w:rPr>
                <w:rFonts w:ascii="仿宋_GB2312" w:hAnsi="仿宋_GB2312" w:cs="仿宋_GB2312" w:eastAsia="仿宋_GB2312"/>
                <w:sz w:val="24"/>
              </w:rPr>
              <w:t>方面，通过驻场服务、二线专业运维服务的方式进行全面的系统运行维护及保障。</w:t>
            </w:r>
          </w:p>
          <w:p>
            <w:pPr>
              <w:pStyle w:val="null3"/>
              <w:jc w:val="left"/>
              <w:outlineLvl w:val="2"/>
            </w:pPr>
            <w:r>
              <w:rPr>
                <w:rFonts w:ascii="仿宋_GB2312" w:hAnsi="仿宋_GB2312" w:cs="仿宋_GB2312" w:eastAsia="仿宋_GB2312"/>
                <w:sz w:val="24"/>
                <w:b/>
              </w:rPr>
              <w:t>4.1软件运维</w:t>
            </w:r>
            <w:r>
              <w:rPr>
                <w:rFonts w:ascii="仿宋_GB2312" w:hAnsi="仿宋_GB2312" w:cs="仿宋_GB2312" w:eastAsia="仿宋_GB2312"/>
                <w:sz w:val="24"/>
                <w:b/>
              </w:rPr>
              <w:t>服务</w:t>
            </w:r>
          </w:p>
          <w:p>
            <w:pPr>
              <w:pStyle w:val="null3"/>
              <w:jc w:val="left"/>
              <w:outlineLvl w:val="2"/>
            </w:pPr>
            <w:r>
              <w:rPr>
                <w:rFonts w:ascii="仿宋_GB2312" w:hAnsi="仿宋_GB2312" w:cs="仿宋_GB2312" w:eastAsia="仿宋_GB2312"/>
                <w:sz w:val="24"/>
                <w:b/>
              </w:rPr>
              <w:t>4.1.1满足业务需求的软件</w:t>
            </w:r>
          </w:p>
          <w:p>
            <w:pPr>
              <w:pStyle w:val="null3"/>
              <w:ind w:firstLine="480"/>
              <w:jc w:val="both"/>
            </w:pPr>
            <w:r>
              <w:rPr>
                <w:rFonts w:ascii="仿宋_GB2312" w:hAnsi="仿宋_GB2312" w:cs="仿宋_GB2312" w:eastAsia="仿宋_GB2312"/>
                <w:sz w:val="24"/>
              </w:rPr>
              <w:t>正常运行对于整个系统的稳定至关重要，而与其紧密相关的软件运行状况同样不可忽视。为了确保硬件及其附带软件的高效、稳定运行，需要提供一系列全面的运维服务。</w:t>
            </w:r>
          </w:p>
          <w:p>
            <w:pPr>
              <w:pStyle w:val="null3"/>
              <w:ind w:firstLine="480"/>
              <w:jc w:val="both"/>
            </w:pPr>
            <w:r>
              <w:rPr>
                <w:rFonts w:ascii="仿宋_GB2312" w:hAnsi="仿宋_GB2312" w:cs="仿宋_GB2312" w:eastAsia="仿宋_GB2312"/>
                <w:sz w:val="24"/>
              </w:rPr>
              <w:t>1.基础软件运维</w:t>
            </w:r>
          </w:p>
          <w:p>
            <w:pPr>
              <w:pStyle w:val="null3"/>
              <w:ind w:firstLine="480"/>
              <w:jc w:val="both"/>
            </w:pPr>
            <w:r>
              <w:rPr>
                <w:rFonts w:ascii="仿宋_GB2312" w:hAnsi="仿宋_GB2312" w:cs="仿宋_GB2312" w:eastAsia="仿宋_GB2312"/>
                <w:sz w:val="24"/>
              </w:rPr>
              <w:t>系统目前部署在省信息化中心政务云，通过政务外网提供访问入口，操作系统、网络环境、数据库等基础资源全部由政务云提供。系统基础软件运维时仅涉及相关系统网络情况、服务器与存储情况及系统软件与其他工具情况。</w:t>
            </w:r>
          </w:p>
          <w:p>
            <w:pPr>
              <w:pStyle w:val="null3"/>
            </w:pPr>
            <w:r>
              <w:rPr>
                <w:rFonts w:ascii="仿宋_GB2312" w:hAnsi="仿宋_GB2312" w:cs="仿宋_GB2312" w:eastAsia="仿宋_GB2312"/>
                <w:sz w:val="24"/>
              </w:rPr>
              <w:t>服务器运维清单</w:t>
            </w:r>
          </w:p>
          <w:tbl>
            <w:tblPr>
              <w:tblInd w:type="dxa" w:w="90"/>
              <w:tblBorders>
                <w:top w:val="none" w:color="000000" w:sz="4"/>
                <w:left w:val="none" w:color="000000" w:sz="4"/>
                <w:bottom w:val="none" w:color="000000" w:sz="4"/>
                <w:right w:val="none" w:color="000000" w:sz="4"/>
                <w:insideH w:val="none"/>
                <w:insideV w:val="none"/>
              </w:tblBorders>
            </w:tblPr>
            <w:tblGrid>
              <w:gridCol w:w="154"/>
              <w:gridCol w:w="404"/>
              <w:gridCol w:w="654"/>
              <w:gridCol w:w="647"/>
            </w:tblGrid>
            <w:tr>
              <w:tc>
                <w:tcPr>
                  <w:tcW w:type="dxa" w:w="18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陕西省食品安全监管综合业务系统虚拟资源清单</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ip</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OS版本</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用途</w:t>
                  </w:r>
                </w:p>
              </w:tc>
            </w:tr>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10.5.45.135</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CentOS7.2X64</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10.5.45.136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CentOS7.2X64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10.5.45.137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CentOS7.2X64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10.5.45.138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CentOS7.2X64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10.5.45.139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CentOS7.2X64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10.5.45.140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CentOS7.2X64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10.5.56.149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10.5.56.159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主文件服务器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10.5.62.66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10.5.62.67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10.5.62.68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10.5.62.69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10.5.62.70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10.5.62.75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10.5.62.76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10.5.62.77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10.5.62.78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CentOS6.9X64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10.5.62.79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10.5.62.189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10.5.62.199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10.5.62.200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10.5.62.201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10.5.62.202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10.5.62.203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10.5.62.204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10.5.62.205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10.5.63.58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从文件服务器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10.5.63.59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CentOS6.9X64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10.5.63.60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10.5.63.61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Linux CentOS6.9X64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10.5.63.159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10.5.63.160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10.5.63.161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10.5.63.162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10.5.63.163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10.5.63.164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10.5.70.126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主数据库</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10.5.70.127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W08R2X64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从数据库</w:t>
                  </w:r>
                </w:p>
              </w:tc>
            </w:tr>
          </w:tbl>
          <w:p>
            <w:pPr>
              <w:pStyle w:val="null3"/>
            </w:pPr>
            <w:r>
              <w:rPr>
                <w:rFonts w:ascii="仿宋_GB2312" w:hAnsi="仿宋_GB2312" w:cs="仿宋_GB2312" w:eastAsia="仿宋_GB2312"/>
                <w:sz w:val="24"/>
              </w:rPr>
              <w:t>2</w:t>
            </w:r>
            <w:r>
              <w:rPr>
                <w:rFonts w:ascii="仿宋_GB2312" w:hAnsi="仿宋_GB2312" w:cs="仿宋_GB2312" w:eastAsia="仿宋_GB2312"/>
                <w:sz w:val="24"/>
              </w:rPr>
              <w:t>.应用软件运维</w:t>
            </w:r>
          </w:p>
          <w:p>
            <w:pPr>
              <w:pStyle w:val="null3"/>
            </w:pPr>
            <w:r>
              <w:rPr>
                <w:rFonts w:ascii="仿宋_GB2312" w:hAnsi="仿宋_GB2312" w:cs="仿宋_GB2312" w:eastAsia="仿宋_GB2312"/>
                <w:sz w:val="24"/>
              </w:rPr>
              <w:t xml:space="preserve">  1）</w:t>
            </w:r>
            <w:r>
              <w:rPr>
                <w:rFonts w:ascii="仿宋_GB2312" w:hAnsi="仿宋_GB2312" w:cs="仿宋_GB2312" w:eastAsia="仿宋_GB2312"/>
                <w:sz w:val="24"/>
              </w:rPr>
              <w:t>应用系统维护围绕陕西省食品安全监管综合业务系统进行，按照原有系统的建设内容，主要分为政务监管端、企</w:t>
            </w:r>
            <w:r>
              <w:rPr>
                <w:rFonts w:ascii="仿宋_GB2312" w:hAnsi="仿宋_GB2312" w:cs="仿宋_GB2312" w:eastAsia="仿宋_GB2312"/>
                <w:sz w:val="24"/>
              </w:rPr>
              <w:t>业申报端、公开公示端</w:t>
            </w:r>
            <w:r>
              <w:rPr>
                <w:rFonts w:ascii="仿宋_GB2312" w:hAnsi="仿宋_GB2312" w:cs="仿宋_GB2312" w:eastAsia="仿宋_GB2312"/>
                <w:sz w:val="24"/>
              </w:rPr>
              <w:t>等十几个端</w:t>
            </w:r>
            <w:r>
              <w:rPr>
                <w:rFonts w:ascii="仿宋_GB2312" w:hAnsi="仿宋_GB2312" w:cs="仿宋_GB2312" w:eastAsia="仿宋_GB2312"/>
                <w:sz w:val="24"/>
              </w:rPr>
              <w:t>，运行使用环境主要有</w:t>
            </w:r>
            <w:r>
              <w:rPr>
                <w:rFonts w:ascii="仿宋_GB2312" w:hAnsi="仿宋_GB2312" w:cs="仿宋_GB2312" w:eastAsia="仿宋_GB2312"/>
                <w:sz w:val="24"/>
              </w:rPr>
              <w:t>PC端、APP端、微信等多种访问和使用方式。运维提供商需对系统所有</w:t>
            </w:r>
            <w:r>
              <w:rPr>
                <w:rFonts w:ascii="仿宋_GB2312" w:hAnsi="仿宋_GB2312" w:cs="仿宋_GB2312" w:eastAsia="仿宋_GB2312"/>
                <w:sz w:val="24"/>
              </w:rPr>
              <w:t>项目及</w:t>
            </w:r>
            <w:r>
              <w:rPr>
                <w:rFonts w:ascii="仿宋_GB2312" w:hAnsi="仿宋_GB2312" w:cs="仿宋_GB2312" w:eastAsia="仿宋_GB2312"/>
                <w:sz w:val="24"/>
              </w:rPr>
              <w:t>功能进行日常维护和技术支持。</w:t>
            </w:r>
          </w:p>
          <w:p>
            <w:pPr>
              <w:pStyle w:val="null3"/>
            </w:pPr>
            <w:r>
              <w:rPr>
                <w:rFonts w:ascii="仿宋_GB2312" w:hAnsi="仿宋_GB2312" w:cs="仿宋_GB2312" w:eastAsia="仿宋_GB2312"/>
                <w:sz w:val="24"/>
              </w:rPr>
              <w:t>运维模块清单</w:t>
            </w:r>
          </w:p>
          <w:tbl>
            <w:tblPr>
              <w:tblBorders>
                <w:top w:val="none" w:color="000000" w:sz="4"/>
                <w:left w:val="none" w:color="000000" w:sz="4"/>
                <w:bottom w:val="none" w:color="000000" w:sz="4"/>
                <w:right w:val="none" w:color="000000" w:sz="4"/>
                <w:insideH w:val="none"/>
                <w:insideV w:val="none"/>
              </w:tblBorders>
            </w:tblPr>
            <w:tblGrid>
              <w:gridCol w:w="106"/>
              <w:gridCol w:w="285"/>
              <w:gridCol w:w="260"/>
              <w:gridCol w:w="1208"/>
            </w:tblGrid>
            <w:tr>
              <w:tc>
                <w:tcPr>
                  <w:tcW w:type="dxa" w:w="1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7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维护内容</w:t>
                  </w:r>
                </w:p>
              </w:tc>
            </w:tr>
            <w:tr>
              <w:tc>
                <w:tcPr>
                  <w:tcW w:type="dxa" w:w="106"/>
                  <w:vMerge/>
                  <w:tcBorders>
                    <w:top w:val="single" w:color="000000" w:sz="4"/>
                    <w:left w:val="single" w:color="000000" w:sz="4"/>
                    <w:bottom w:val="single" w:color="000000" w:sz="4"/>
                    <w:right w:val="single" w:color="000000" w:sz="4"/>
                  </w:tcBorders>
                </w:tcP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w:t>
                  </w:r>
                </w:p>
              </w:tc>
              <w:tc>
                <w:tcPr>
                  <w:tcW w:type="dxa" w:w="1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食品生产许可</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抽取功能、现场核查</w:t>
                  </w:r>
                  <w:r>
                    <w:rPr>
                      <w:rFonts w:ascii="仿宋_GB2312" w:hAnsi="仿宋_GB2312" w:cs="仿宋_GB2312" w:eastAsia="仿宋_GB2312"/>
                      <w:sz w:val="24"/>
                    </w:rPr>
                    <w:t>。</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食品经营许可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保健用品许可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食品经营总部许可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食品经营门店许可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小作坊许可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小餐饮许可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药品广告审批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保健食品广告审批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医疗器械广告审批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特殊医学用途食品广告审批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药品广告备案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网络交易平台备案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开办、变更、延续、补发、注销申请。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自动公示、手动公示。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多维度统计。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日常监管</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日常监督检查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监管计划：根据年度监管计划，风险评级、信用评级设定检查频次，并分配至日常监管员。</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55.</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年度检查计划：以国家总局指定的日常监督检查结果记录表为基准，制定食品经营、生产检查适用的表格。</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56.</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计划执行：可通过电脑端及移动执法设备根据检查计划执行检查，检查要点表需要有合理的提示和引导，支持录音录像上传。</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57.</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风险分级管理：实现风险分级和日常监督检查无缝衔接。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58.</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信用评级管理：实现信用评级和日常监督检查无缝衔接。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59.</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餐饮服务量化分级：餐饮服务量化分级管理按餐饮处要求进行处理。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监管对象状态：可以根据检查情况，明确监管对象状态。</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61.</w:t>
                  </w:r>
                </w:p>
              </w:tc>
              <w:tc>
                <w:tcPr>
                  <w:tcW w:type="dxa" w:w="285"/>
                  <w:vMerge/>
                  <w:tcBorders>
                    <w:top w:val="none" w:color="000000" w:sz="4"/>
                    <w:left w:val="single" w:color="000000" w:sz="4"/>
                    <w:bottom w:val="single" w:color="000000" w:sz="4"/>
                    <w:right w:val="single" w:color="000000" w:sz="4"/>
                  </w:tcBorders>
                </w:tcP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专项检查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计划制定：入专项检查文件名称和文号，根据专项检查要求，制定检查表格，筛选检查对象，明确检查时限</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62.</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计划的执行：专项检查计划与日常监督检查计划自动协调，条件允许的情况下一并执行，系统需要提供对应的便捷功能（移动端）。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63.</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检查结果模板支持：对检查结果提供模板支持，省局提供模板。</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64.</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检查结果的自动汇总以及报告模板支持，省局提供模板。</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检查记录</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多维度检查记录查询。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能够多维度对检查情况进行统计，所有统计结果可以输出图形和电子表。</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对各类办法中要求监管对象主动报告事项进行统一管理，将处理完结的报告事项纳入监管档案。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自动关联</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对快检设备、快检项目、快检方法实现选择和自动关联，对检品和主体能够快速筛选，不能筛选的手工录入，但要尽量减少手工录入量。</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监督抽检</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抽检计划、抽样单管理、检验报告管理。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能够多维度对检查情况进行统计，所有统计结果可以输出图形和电子表。</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71.</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抽检快检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抽样检查管理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抽检计划、抽样单管理、检验报告管理。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快速检验管理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对快速检验项目进行综合管理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快检车数据采集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对快检设备、快检项目、快检方法实现选择和自动关联，与全省快检车进行数据互通，将快检数据实时采集应用。</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稽查执法</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案源管理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案源分新建、检查转入、抽检转入、投诉举报转入、移交转入多种类型。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75.</w:t>
                  </w:r>
                </w:p>
              </w:tc>
              <w:tc>
                <w:tcPr>
                  <w:tcW w:type="dxa" w:w="285"/>
                  <w:vMerge/>
                  <w:tcBorders>
                    <w:top w:val="none" w:color="000000" w:sz="4"/>
                    <w:left w:val="single" w:color="000000" w:sz="4"/>
                    <w:bottom w:val="single" w:color="000000" w:sz="4"/>
                    <w:right w:val="single" w:color="000000" w:sz="4"/>
                  </w:tcBorders>
                </w:tcP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案件办理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案件办理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76.</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1.一般程序和简易程序案件办理过程的全程管理。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77.</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2.案由管理及带入。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78.</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3.内置询问调查笔录和现场检查记录模版。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79.</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4.内置办案过程中需要的各种法律法规。</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使用分析数据对全省各地区案件进行多维度展示，辅助稽查工作。</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电子印章、签名采集管理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各级监管部门可以通过电子印章、签名采集管理系统采集电子印章和个人签名，个人签名的采集支持原笔迹自动采集。印章和签名使用与统一身份认证系统关联。</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82.</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风险评级</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包括对食品生产企业风险的静态评定、动态评定、风险等级调整、风险等级审批，支持企业风险的综合查询，并将评定结果同步至监管档案。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社会</w:t>
                  </w:r>
                  <w:r>
                    <w:rPr>
                      <w:rFonts w:ascii="仿宋_GB2312" w:hAnsi="仿宋_GB2312" w:cs="仿宋_GB2312" w:eastAsia="仿宋_GB2312"/>
                      <w:sz w:val="24"/>
                    </w:rPr>
                    <w:t>餐饮服务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w:t>
                  </w:r>
                  <w:r>
                    <w:rPr>
                      <w:rFonts w:ascii="仿宋_GB2312" w:hAnsi="仿宋_GB2312" w:cs="仿宋_GB2312" w:eastAsia="仿宋_GB2312"/>
                      <w:sz w:val="24"/>
                    </w:rPr>
                    <w:t>社会</w:t>
                  </w:r>
                  <w:r>
                    <w:rPr>
                      <w:rFonts w:ascii="仿宋_GB2312" w:hAnsi="仿宋_GB2312" w:cs="仿宋_GB2312" w:eastAsia="仿宋_GB2312"/>
                      <w:sz w:val="24"/>
                    </w:rPr>
                    <w:t>餐饮服务企业风险的静态评定、动态评定、风险等级调整、风险等级审批，支持企业风险的综合查询，并将评定结果同步至监管档案。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贮存服务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w:t>
                  </w:r>
                  <w:r>
                    <w:rPr>
                      <w:rFonts w:ascii="仿宋_GB2312" w:hAnsi="仿宋_GB2312" w:cs="仿宋_GB2312" w:eastAsia="仿宋_GB2312"/>
                      <w:sz w:val="24"/>
                    </w:rPr>
                    <w:t>贮存服务</w:t>
                  </w:r>
                  <w:r>
                    <w:rPr>
                      <w:rFonts w:ascii="仿宋_GB2312" w:hAnsi="仿宋_GB2312" w:cs="仿宋_GB2312" w:eastAsia="仿宋_GB2312"/>
                      <w:sz w:val="24"/>
                    </w:rPr>
                    <w:t>企业风险的静态评定、动态评定、风险等级调整、风险等级审批，支持企业风险的综合查询，并将评定结果同步至监管档案。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单位食堂</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w:t>
                  </w:r>
                  <w:r>
                    <w:rPr>
                      <w:rFonts w:ascii="仿宋_GB2312" w:hAnsi="仿宋_GB2312" w:cs="仿宋_GB2312" w:eastAsia="仿宋_GB2312"/>
                      <w:sz w:val="24"/>
                    </w:rPr>
                    <w:t>单位食堂包括学校食堂</w:t>
                  </w:r>
                  <w:r>
                    <w:rPr>
                      <w:rFonts w:ascii="仿宋_GB2312" w:hAnsi="仿宋_GB2312" w:cs="仿宋_GB2312" w:eastAsia="仿宋_GB2312"/>
                      <w:sz w:val="24"/>
                    </w:rPr>
                    <w:t>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食品销售</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包括对食品销售企业风险的静态评定、动态评定、风险等级调整、风险等级审批，支持企业风险的综合查询，并将评定结果同步至监管档案。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小餐饮</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包括对小餐饮风险的静态评定、动态评定、风险等级调整、风险等级审批，支持企业风险的综合查询，并将评定结果同步至监管档案。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小作坊</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包括对小作坊风险的静态评定、动态评定、风险等级调整、风险等级审批，支持企业风险的综合查询，并将评定结果同步至监管档案。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集中交易市场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w:t>
                  </w:r>
                  <w:r>
                    <w:rPr>
                      <w:rFonts w:ascii="仿宋_GB2312" w:hAnsi="仿宋_GB2312" w:cs="仿宋_GB2312" w:eastAsia="仿宋_GB2312"/>
                      <w:sz w:val="24"/>
                    </w:rPr>
                    <w:t>集中交易市场</w:t>
                  </w:r>
                  <w:r>
                    <w:rPr>
                      <w:rFonts w:ascii="仿宋_GB2312" w:hAnsi="仿宋_GB2312" w:cs="仿宋_GB2312" w:eastAsia="仿宋_GB2312"/>
                      <w:sz w:val="24"/>
                    </w:rPr>
                    <w:t>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保健食品生产</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包括对保健品食品生产企业风险的静态评定、动态评定、风险等级调整、风险等级审批，支持企业风险的综合查询，并将评定结果同步至监管档案。</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91.</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信用评级</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信用评级</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对食品经营、食品生产、餐饮销售、食品小作坊等监管类型的企业信用进行评级。</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公开公示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对食品经营、食品生产、餐饮销售、食品小作坊等监管类型的企业信用进行评级结果，同步至企业公开公示端。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信用统计报表</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对食品经营、食品生产、餐饮销售、食品小作坊等监管类型的企业信用进行评级结果，进行统计查询。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监管档案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提供与现有系统对接、批量导入，提供方便的数据筛选功能，并能将筛选的数据导出为电子表格，导出功能需要权限限制，不是所有人员都可以导出。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监管地图</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实现监管对象分布图和监管责任图。</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黑名单管理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根据《陕西省食品药品安全</w:t>
                  </w:r>
                  <w:r>
                    <w:rPr>
                      <w:rFonts w:ascii="仿宋_GB2312" w:hAnsi="仿宋_GB2312" w:cs="仿宋_GB2312" w:eastAsia="仿宋_GB2312"/>
                      <w:sz w:val="24"/>
                    </w:rPr>
                    <w:t>“黑名单”信息共享和联合惩戒办法》具体规定，实现相关功能。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统计报表</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完善统计报表，满足国家局和省局的统计要求。</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98.</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冷藏冷冻备案</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99.</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对所有备案情况进行综合查询。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101.</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食用农产品批发（农贸）市场备案</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内网业务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开办、变更、注销流程。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102.</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对所有备案情况进行综合查询。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外网申报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开办、变更、注销申请。</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网上申报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填报示例</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提供申请填报正确和错误示例，帮助申请人快速准确填报相关信息。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手机申报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扩展手机端的申报功能，可以通过手机进行资料的填写，资料的拍照上传功能。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移动监管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安卓</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软件进行业务受理、审批、提醒等工作。对监管档案进行便捷查询。提供通讯录功能。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IOS</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软件进行业务受理、审批、提醒等工作。对监管档案进行便捷查询。提供通讯录功能。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微信公众平台</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通过微信平台，实现许可申报数据填写，材料拍照上传，进度查看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109.</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公示查询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数据公示</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公示查询系统的公示数据范围增加到监管档案中相关数据，对许可、检查、检验和处罚等信息均可无障碍公示查询。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移动版</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实现移动版公示查询平台。</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视频共享及交换平台</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汇聚所有的明厨亮灶视频，通过流媒体服务技术对采集的视频进行转发、存储、分析，并将视频流进行规范化处理，用来支持陕西省食品安全综合业务系统监管的需要</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112.</w:t>
                  </w:r>
                </w:p>
              </w:tc>
              <w:tc>
                <w:tcPr>
                  <w:tcW w:type="dxa" w:w="285"/>
                  <w:vMerge/>
                  <w:tcBorders>
                    <w:top w:val="none" w:color="000000" w:sz="4"/>
                    <w:left w:val="single" w:color="000000" w:sz="4"/>
                    <w:bottom w:val="single" w:color="000000" w:sz="4"/>
                    <w:right w:val="single" w:color="000000" w:sz="4"/>
                  </w:tcBorders>
                </w:tcP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明厨亮灶监管端平台</w:t>
                  </w:r>
                </w:p>
              </w:tc>
              <w:tc>
                <w:tcPr>
                  <w:tcW w:type="dxa" w:w="1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明厨亮灶分布图、餐饮企业视频列表、统计报表生成导出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113.</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vMerge/>
                  <w:tcBorders>
                    <w:top w:val="none" w:color="000000" w:sz="4"/>
                    <w:left w:val="single" w:color="000000" w:sz="4"/>
                    <w:bottom w:val="single" w:color="000000" w:sz="4"/>
                    <w:right w:val="single" w:color="000000" w:sz="4"/>
                  </w:tcBorders>
                </w:tcP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明厨亮灶监管</w:t>
                  </w:r>
                  <w:r>
                    <w:rPr>
                      <w:rFonts w:ascii="仿宋_GB2312" w:hAnsi="仿宋_GB2312" w:cs="仿宋_GB2312" w:eastAsia="仿宋_GB2312"/>
                      <w:sz w:val="24"/>
                    </w:rPr>
                    <w:t>APP</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明厨亮灶企业分布图、扫码视频查看、扫码档案信息查看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陕西食安公众</w:t>
                  </w:r>
                  <w:r>
                    <w:rPr>
                      <w:rFonts w:ascii="仿宋_GB2312" w:hAnsi="仿宋_GB2312" w:cs="仿宋_GB2312" w:eastAsia="仿宋_GB2312"/>
                      <w:sz w:val="24"/>
                    </w:rPr>
                    <w:t>APP</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明厨亮灶企业分布图，企业路线导航，企业监管信息查看、大众点评</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食安二维码融合</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监管信息融合、公众点评</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数据接口</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与综合业务系统各子系统对接，与各大视频厂商对接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118.</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食品生产电子许可证书信息化管理子系统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审批端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包含食品生产及小作坊的事项行政审批流程调整，增加及实现电子许可证的生成以及统计、管理、验签、二维码融合等功能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包含食品生产及小作坊电子许可证的查看、下载、验签等功能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数据接口</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及小作坊电子许可证数据要求横向需要打通前期已建系统；纵向需要使数据上通国家局，下通市县局，保证全省电子许可证信息共享，并实现与陕西省信用办、陕西省政务服务网及国家企业信用信息公示网等相关部门通过接口实现电子许可证的信息共享。</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121.</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食品生产质量安全追溯子系统</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食品生产追溯管理平台</w:t>
                  </w:r>
                </w:p>
              </w:tc>
              <w:tc>
                <w:tcPr>
                  <w:tcW w:type="dxa" w:w="1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食品生产追溯管理平台实现对于生产企业的管理、产品管理、追溯管理、统计分析、与已建监管档案数据融合，可实现对于食品企业的相关产品全流程追溯。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122.</w:t>
                  </w:r>
                </w:p>
              </w:tc>
              <w:tc>
                <w:tcPr>
                  <w:tcW w:type="dxa" w:w="285"/>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1208"/>
                  <w:vMerge/>
                  <w:tcBorders>
                    <w:top w:val="none" w:color="000000" w:sz="4"/>
                    <w:left w:val="single" w:color="000000" w:sz="4"/>
                    <w:bottom w:val="single" w:color="000000" w:sz="4"/>
                    <w:right w:val="single" w:color="000000" w:sz="4"/>
                  </w:tcBorders>
                </w:tcP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生产追溯</w:t>
                  </w:r>
                  <w:r>
                    <w:rPr>
                      <w:rFonts w:ascii="仿宋_GB2312" w:hAnsi="仿宋_GB2312" w:cs="仿宋_GB2312" w:eastAsia="仿宋_GB2312"/>
                      <w:sz w:val="24"/>
                    </w:rPr>
                    <w:t>APP</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通过对上报数据分类型分区域监测，通过产品、企业、生产日期等监管查询，形成总量可监、产品可追、过程可管、应急可处置。</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公众查询端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大众可通过微信、浏览器等方式扫描商品条形码，输入产品生产日期，可查看该产品的生产、加工、流通、消费等供应链环节消费者关心的公共追溯要素。</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数据接口</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支持与各生产企业自建追溯管理系统进行对接；同时还需保证数据上通省局，下通市县局，保证全省信息共享。</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126.</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食品安全抽检检测数据分析子系统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数据采集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“国家食品安全抽样检验信息系统”中各年度食品抽检检测工作，系统需采集到历年来所有相关数据，及今后的增量数据。</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数据清洗</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针对从国家局系统获取到的各项食品抽检数据，在进行数据统计分析之前，按照业务需要及相关要求，需要对其数据进行入库、清洗、过滤。</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结合业务需要进行深层次的数据分析，便于监督管理部门对食品抽检相关的历史及现状进行清晰掌握，再通过对比分析、关联分析等数据分析方法，进而可以得出各类存在食品安全问题相关的风险项。</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生成报告</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定期对食品安全抽检数据分析及统计结果，生成相应的抽检报告。系统根据对应的抽检报告内容，将抽检情况基本信息及分析结果等带入到报告中，同时支持报告的预览、下载、打印功能。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130.</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食品安全评议考核系统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上报端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根据评议考核工作要求，</w:t>
                  </w:r>
                  <w:r>
                    <w:rPr>
                      <w:rFonts w:ascii="仿宋_GB2312" w:hAnsi="仿宋_GB2312" w:cs="仿宋_GB2312" w:eastAsia="仿宋_GB2312"/>
                      <w:sz w:val="24"/>
                    </w:rPr>
                    <w:t>实现考评工作的</w:t>
                  </w:r>
                  <w:r>
                    <w:rPr>
                      <w:rFonts w:ascii="仿宋_GB2312" w:hAnsi="仿宋_GB2312" w:cs="仿宋_GB2312" w:eastAsia="仿宋_GB2312"/>
                      <w:sz w:val="24"/>
                    </w:rPr>
                    <w:t>信息</w:t>
                  </w:r>
                  <w:r>
                    <w:rPr>
                      <w:rFonts w:ascii="仿宋_GB2312" w:hAnsi="仿宋_GB2312" w:cs="仿宋_GB2312" w:eastAsia="仿宋_GB2312"/>
                      <w:sz w:val="24"/>
                    </w:rPr>
                    <w:t>上报</w:t>
                  </w:r>
                  <w:r>
                    <w:rPr>
                      <w:rFonts w:ascii="仿宋_GB2312" w:hAnsi="仿宋_GB2312" w:cs="仿宋_GB2312" w:eastAsia="仿宋_GB2312"/>
                      <w:sz w:val="24"/>
                    </w:rPr>
                    <w:t>，上报相关信息，并上传文件佐证。</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评分端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根据各地市上报的相关</w:t>
                  </w:r>
                  <w:r>
                    <w:rPr>
                      <w:rFonts w:ascii="仿宋_GB2312" w:hAnsi="仿宋_GB2312" w:cs="仿宋_GB2312" w:eastAsia="仿宋_GB2312"/>
                      <w:sz w:val="24"/>
                    </w:rPr>
                    <w:t>评议</w:t>
                  </w:r>
                  <w:r>
                    <w:rPr>
                      <w:rFonts w:ascii="仿宋_GB2312" w:hAnsi="仿宋_GB2312" w:cs="仿宋_GB2312" w:eastAsia="仿宋_GB2312"/>
                      <w:sz w:val="24"/>
                    </w:rPr>
                    <w:t>考核内容及作证材料进行</w:t>
                  </w:r>
                  <w:r>
                    <w:rPr>
                      <w:rFonts w:ascii="仿宋_GB2312" w:hAnsi="仿宋_GB2312" w:cs="仿宋_GB2312" w:eastAsia="仿宋_GB2312"/>
                      <w:sz w:val="24"/>
                    </w:rPr>
                    <w:t>审核，</w:t>
                  </w:r>
                  <w:r>
                    <w:rPr>
                      <w:rFonts w:ascii="仿宋_GB2312" w:hAnsi="仿宋_GB2312" w:cs="仿宋_GB2312" w:eastAsia="仿宋_GB2312"/>
                      <w:sz w:val="24"/>
                    </w:rPr>
                    <w:t>使用信息化手段</w:t>
                  </w:r>
                  <w:r>
                    <w:rPr>
                      <w:rFonts w:ascii="仿宋_GB2312" w:hAnsi="仿宋_GB2312" w:cs="仿宋_GB2312" w:eastAsia="仿宋_GB2312"/>
                      <w:sz w:val="24"/>
                    </w:rPr>
                    <w:t>提升审核效率，便于考核工作的顺利开展及数据及相关资料的有效管理。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132.</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食品安全示范县</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上报端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根据食品安全示范县相关工作要求，</w:t>
                  </w:r>
                  <w:r>
                    <w:rPr>
                      <w:rFonts w:ascii="仿宋_GB2312" w:hAnsi="仿宋_GB2312" w:cs="仿宋_GB2312" w:eastAsia="仿宋_GB2312"/>
                      <w:sz w:val="24"/>
                    </w:rPr>
                    <w:t>实现</w:t>
                  </w:r>
                  <w:r>
                    <w:rPr>
                      <w:rFonts w:ascii="仿宋_GB2312" w:hAnsi="仿宋_GB2312" w:cs="仿宋_GB2312" w:eastAsia="仿宋_GB2312"/>
                      <w:sz w:val="24"/>
                    </w:rPr>
                    <w:t>评定</w:t>
                  </w:r>
                  <w:r>
                    <w:rPr>
                      <w:rFonts w:ascii="仿宋_GB2312" w:hAnsi="仿宋_GB2312" w:cs="仿宋_GB2312" w:eastAsia="仿宋_GB2312"/>
                      <w:sz w:val="24"/>
                    </w:rPr>
                    <w:t>工作的</w:t>
                  </w:r>
                  <w:r>
                    <w:rPr>
                      <w:rFonts w:ascii="仿宋_GB2312" w:hAnsi="仿宋_GB2312" w:cs="仿宋_GB2312" w:eastAsia="仿宋_GB2312"/>
                      <w:sz w:val="24"/>
                    </w:rPr>
                    <w:t>信息</w:t>
                  </w:r>
                  <w:r>
                    <w:rPr>
                      <w:rFonts w:ascii="仿宋_GB2312" w:hAnsi="仿宋_GB2312" w:cs="仿宋_GB2312" w:eastAsia="仿宋_GB2312"/>
                      <w:sz w:val="24"/>
                    </w:rPr>
                    <w:t>上报</w:t>
                  </w:r>
                  <w:r>
                    <w:rPr>
                      <w:rFonts w:ascii="仿宋_GB2312" w:hAnsi="仿宋_GB2312" w:cs="仿宋_GB2312" w:eastAsia="仿宋_GB2312"/>
                      <w:sz w:val="24"/>
                    </w:rPr>
                    <w:t>，和自评相关得分，并上传文件佐证。</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评分端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根据各地市上报的相关示范县内容及作证材料进行</w:t>
                  </w:r>
                  <w:r>
                    <w:rPr>
                      <w:rFonts w:ascii="仿宋_GB2312" w:hAnsi="仿宋_GB2312" w:cs="仿宋_GB2312" w:eastAsia="仿宋_GB2312"/>
                      <w:sz w:val="24"/>
                    </w:rPr>
                    <w:t>审核，</w:t>
                  </w:r>
                  <w:r>
                    <w:rPr>
                      <w:rFonts w:ascii="仿宋_GB2312" w:hAnsi="仿宋_GB2312" w:cs="仿宋_GB2312" w:eastAsia="仿宋_GB2312"/>
                      <w:sz w:val="24"/>
                    </w:rPr>
                    <w:t>使用信息化手段</w:t>
                  </w:r>
                  <w:r>
                    <w:rPr>
                      <w:rFonts w:ascii="仿宋_GB2312" w:hAnsi="仿宋_GB2312" w:cs="仿宋_GB2312" w:eastAsia="仿宋_GB2312"/>
                      <w:sz w:val="24"/>
                    </w:rPr>
                    <w:t>提升审核效率，便于</w:t>
                  </w:r>
                  <w:r>
                    <w:rPr>
                      <w:rFonts w:ascii="仿宋_GB2312" w:hAnsi="仿宋_GB2312" w:cs="仿宋_GB2312" w:eastAsia="仿宋_GB2312"/>
                      <w:sz w:val="24"/>
                    </w:rPr>
                    <w:t>示范县</w:t>
                  </w:r>
                  <w:r>
                    <w:rPr>
                      <w:rFonts w:ascii="仿宋_GB2312" w:hAnsi="仿宋_GB2312" w:cs="仿宋_GB2312" w:eastAsia="仿宋_GB2312"/>
                      <w:sz w:val="24"/>
                    </w:rPr>
                    <w:t>工作的顺利开展及数据及相关资料的有效管理。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134.</w:t>
                  </w:r>
                </w:p>
              </w:tc>
              <w:tc>
                <w:tcPr>
                  <w:tcW w:type="dxa" w:w="5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食品安全信息共享系统</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食药安办线上下发数据共享模板，各单位按照要求上报数据并选择是否公开，各单位可通过线上申请查看未公开的其他单位上报的数据。</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135.</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网络餐饮服务监管子系统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经营行为监管</w:t>
                  </w:r>
                </w:p>
              </w:tc>
              <w:tc>
                <w:tcPr>
                  <w:tcW w:type="dxa" w:w="1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通过对网络餐饮交易订单认证，实现基于的交易证据链存证，发生问题投诉时，无需协调第三方平台协助，监管执法人员在系统可快速查询订单核实，提高核查处置的时效性和准确性。</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异常信息推送</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准入资格审查服务实时掌握第三方平台商户底数，通过与监管系统中的许可库、监管库、违法库对接，针对有异常信息的商户向第三方平台推送，并责令商户下线，异常信息包含一址多店、证照不符、证照过期、证照注销、一照多用、超范围经营、责令停业等违法行为。</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风险预警管理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通过对认证商户的资质信息、交易信息、投诉信息、监管信息、评价信息进行分析，建立食安风险模型，形成风险预警机制，对风险高的企业进行标记并加强风险管控，加大监管力度，实现靶向监管。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问题评论管理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实现与第三方的数据对接，对消费者评价中涉及食品安全的相关评论进行语义分析，并对与食品安全相关的评价信息进行接入，针对相关评论信息进行分析，分析后进行预警。</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监管核查管理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建立网络餐饮问题处理推送机制，将总局每月推送的网络订餐平台问题，及时下发至对应辖区的监管部门进行核查，核查结果向总局汇总上报。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支持对全省网络餐饮的企业信息进行汇总分析，生成对应的统计分析图表。支持对所有的统计分析结果生成对应的报表，并支持导出为</w:t>
                  </w:r>
                  <w:r>
                    <w:rPr>
                      <w:rFonts w:ascii="仿宋_GB2312" w:hAnsi="仿宋_GB2312" w:cs="仿宋_GB2312" w:eastAsia="仿宋_GB2312"/>
                      <w:sz w:val="24"/>
                    </w:rPr>
                    <w:t>EXCEL格式。</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数据对接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对外提供标准接口，将第三方平台将订单信息、评论信息等接入网络餐饮监管系统。</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142.</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两库一平台培训考核子系统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“两库一平台”企业端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“两库一平台”企业端服务于开展食品安全管理人员、从业人员学习培训及考核，通过敦促从业人员在线学习管理，采用“学分统计、分类考核”模式，解决从业人员“不懂法、难整改”等突出问题。</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在线培训监管平台</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陕西省食品安全在线培训平台”服务于政府对餐饮从业者监管的需要，实现对于监管主体的管理、学员的管理、资料管理、考试管理、题库管理、同时可对企业下发通知公告，建立统计分析可视化，全面展示餐饮从业人员知识技能水平提升情况。</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144.</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食品安全抽检承检机构质量考核子系统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盲样考核</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实现对于考核报名、盲样准备、盲样发放、技术考核、限期整改等全流程的盲样考核管理。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留样复测</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实现调样通知、接收服务样品、任务下发、复测机构执行、上报复测结果、信息查看等全流程的留样复测管理。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数据质量抽查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实现下发数据抽查通知及模板、上报抽查结果、抽查结果分析、统计分析及系统管理等全流程的数据质量抽查管理。</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食品生产信用档案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食品生产信用档案</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对食品生产监管档案进行升级改造，结合食品生产监管事权，对食品生产企业按照</w:t>
                  </w:r>
                  <w:r>
                    <w:rPr>
                      <w:rFonts w:ascii="仿宋_GB2312" w:hAnsi="仿宋_GB2312" w:cs="仿宋_GB2312" w:eastAsia="仿宋_GB2312"/>
                      <w:sz w:val="24"/>
                    </w:rPr>
                    <w:t>“一企一档”增加风险清单、措施清单和责任清单，信用档案记录的信息主要包括企业基本信息、监督管理信息 、和社会监督信息。同时增加食品生产企业风险排查报告及市场监管部门核查录入栏。</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148.</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食品生产现场检查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现场检查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最新陕西省现场核查细则，核查人员抽取时只能抽取本市检查人员，不能跨级抽取，系统内在全省各市之间机构联动抽取进行限制，本市账号只能抽取市本级和本市区、县、所获得核查资质证书的人员，省级审批账号可对全省检查人员进行抽取。</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149.</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守护者</w:t>
                  </w:r>
                  <w:r>
                    <w:rPr>
                      <w:rFonts w:ascii="仿宋_GB2312" w:hAnsi="仿宋_GB2312" w:cs="仿宋_GB2312" w:eastAsia="仿宋_GB2312"/>
                      <w:sz w:val="24"/>
                    </w:rPr>
                    <w:t>APP</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监管档案</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企业档案模块可以查看企业的监管相关信息。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统计分析模块支持数据的统计分析，查询。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日常监管</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日常监管模块支持在线检查、检查信息查询。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特食监控</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特殊食品强企业安装的视频</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153.</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陕食安</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许可申报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涵盖食品经营小餐饮的电子许可证开办的许可申报。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企业自查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针对企业接收的自查任务，自查后便捷提交相关资料，及企业自身信息查询。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事项上报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企业按要求完成监管要求的承诺、企业年报及其他企业相关信息的报送。</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政企互动</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实现辖区监管要求的调研，完成相关问卷调查填写，协调解决企业困难问题实现。</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通知公告</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展示监管部门发送的消息通知信息，提供实时提醒用户实时查阅功能。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模块内容</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功能描述</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陕冷链</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陕冷链入口，企业点击后，可快速跳转至相关企业端。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非冷链</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陕非冷链入口，企业点击后，可快速跳转至相关企业端。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明厨亮灶</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支持企业分布图查看、位置导航、企业基本信息及监管信息查看、在线视频信息查看。</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162.</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员工管理</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可维护企业不同角色人员，监管其学习进度，考核情况及考试成绩信息。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信息查询</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各类食品企业（包含食品生产、餐饮服务、小餐饮、小作坊、食品销售、单位食堂、农贸市场、三方冷库）等信息的查询，查询结果信息包含基本信息及监管信息、明厨亮灶视频信息、评价信息。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164.</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地图导航</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从地图中看到普通的矩形地图，可以使用地图查询相关地理位置，并进行路线导航。</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165.</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扫码溯源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可扫描许可证二维码、冷链追溯码、商品条形码，进行相关信息搜索。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166.</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陕生鲜食用农产品追溯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企业可以使用入场登记、查看农产品销售情况、查看我的采购单、查看产品库存、查看主营产品、查看台账同时系统支持生成商家二维码、支持扫码溯源、并提供个人中心服务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167.</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支持对集中交易市场销售者管理、对集中交易市场开办方管理并对其他销售者管理，同时查看登记情况。</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168.</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特殊食品智慧监管系统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监管端包括特殊食品企业的许可注册、信用等级特食企业的风险等级、所有特殊食品法律法规、知识库、专家库、检查人员库及特食企业信息等。</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可视端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在电脑端查看特殊食品动态可视，查看特殊食品企业的视频</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企业端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具有企业信息查看及相关自查报告查看填写、线上培训功能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171.</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公众端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为公众提供特殊食品的科普知识及方便为民服务的相关查询</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172.</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仅销售预包装食品备案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监管端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具有业务受理</w:t>
                  </w:r>
                  <w:r>
                    <w:rPr>
                      <w:rFonts w:ascii="仿宋_GB2312" w:hAnsi="仿宋_GB2312" w:cs="仿宋_GB2312" w:eastAsia="仿宋_GB2312"/>
                      <w:sz w:val="24"/>
                    </w:rPr>
                    <w:t>、打印备案</w:t>
                  </w:r>
                  <w:r>
                    <w:rPr>
                      <w:rFonts w:ascii="仿宋_GB2312" w:hAnsi="仿宋_GB2312" w:cs="仿宋_GB2312" w:eastAsia="仿宋_GB2312"/>
                      <w:sz w:val="24"/>
                    </w:rPr>
                    <w:t>、综合查询的业务流程，可查询正在审核中的企业受理状态，以及完成备案的企业具体情况。</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173.</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企业端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仅销售预包装备案企业在企业端进行申请上报。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风险分析</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风险分析</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根据日常监督检查要点表的情况，统计不合格企业列表、设置风险提醒、风险处置完成状态，对风险问题列出清单，并进行统计分析，</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175.</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复检和异议系统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监管端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复检异议申请审批</w:t>
                  </w:r>
                  <w:r>
                    <w:rPr>
                      <w:rFonts w:ascii="仿宋_GB2312" w:hAnsi="仿宋_GB2312" w:cs="仿宋_GB2312" w:eastAsia="仿宋_GB2312"/>
                      <w:sz w:val="24"/>
                    </w:rPr>
                    <w:t>业务初审、业务复审、领导审批、打印文书流程对复检和异议的申请进行许可</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176.</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企业端</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需要复检和异议的企业在企业端进行申请上报。</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177.</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数据对接支持</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营业执照验证</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与市场主体综合业务系统对接，接入营业执照信息，并提供验证、实现登记注销、吊销反馈提示功能。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178.</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秦务员接口</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提供冷藏冷冻备案、食品业务待办事项查询食品业务申报进度查询药品广告查询医疗器械广告查询、保健食品广告查询等接口进行维护</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179.</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国家局数据归集接口</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按照国家局数据归集要求，对食品生产、食品经营、仅销售包装食品、日常监督检查、集中交易市场、三品一械广告相关业务接口进行维护，及时将数据上传至总局相关业务系统。</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180.</w:t>
                  </w: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数据中台接口对接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按省局统一规划要求，将日常监督检查、食品业务档案数据推送至数据中台前置库</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发改委数据对接</w:t>
                  </w:r>
                </w:p>
              </w:tc>
              <w:tc>
                <w:tcPr>
                  <w:tcW w:type="dxa" w:w="1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按省政府统一规划要求，将日常监督检查、食品业务档案数据推送至数据交换平台前置库</w:t>
                  </w:r>
                </w:p>
              </w:tc>
            </w:tr>
          </w:tbl>
          <w:p>
            <w:pPr>
              <w:pStyle w:val="null3"/>
            </w:pPr>
            <w:r>
              <w:rPr>
                <w:rFonts w:ascii="仿宋_GB2312" w:hAnsi="仿宋_GB2312" w:cs="仿宋_GB2312" w:eastAsia="仿宋_GB2312"/>
                <w:sz w:val="24"/>
              </w:rPr>
              <w:t xml:space="preserve">  2）</w:t>
            </w:r>
            <w:r>
              <w:rPr>
                <w:rFonts w:ascii="仿宋_GB2312" w:hAnsi="仿宋_GB2312" w:cs="仿宋_GB2312" w:eastAsia="仿宋_GB2312"/>
                <w:sz w:val="24"/>
              </w:rPr>
              <w:t>软件</w:t>
            </w:r>
            <w:r>
              <w:rPr>
                <w:rFonts w:ascii="仿宋_GB2312" w:hAnsi="仿宋_GB2312" w:cs="仿宋_GB2312" w:eastAsia="仿宋_GB2312"/>
                <w:sz w:val="24"/>
              </w:rPr>
              <w:t>的运维内容，</w:t>
            </w:r>
            <w:r>
              <w:rPr>
                <w:rFonts w:ascii="仿宋_GB2312" w:hAnsi="仿宋_GB2312" w:cs="仿宋_GB2312" w:eastAsia="仿宋_GB2312"/>
                <w:sz w:val="24"/>
              </w:rPr>
              <w:t>包含</w:t>
            </w:r>
            <w:r>
              <w:rPr>
                <w:rFonts w:ascii="仿宋_GB2312" w:hAnsi="仿宋_GB2312" w:cs="仿宋_GB2312" w:eastAsia="仿宋_GB2312"/>
                <w:sz w:val="24"/>
              </w:rPr>
              <w:t>软件运行监控、数据处理、定期巡检、故障处理、日常技术支持等</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397"/>
              <w:gridCol w:w="397"/>
              <w:gridCol w:w="787"/>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服务类型</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服务内容</w:t>
                  </w:r>
                </w:p>
              </w:tc>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服务描述</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例行操作</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日常监控</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网络流量监控与分析、软件运行监控、系统数据安全监控、操作系统维护补丁、技术支持及咨询、问题处理与反馈</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预防性检查</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安全实时监控、系统数据攻击防范、入侵防御</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常规作业</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数据有效备份、定期巡检</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响应支持</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服务请求支持</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负载均衡与扩容、系统支撑软件的运维视频平台、软件日常技术支持</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故障处理</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网络安全策略调整与优化、软件故障处理、系统数据漏洞修复</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变更实施</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系统数据实时维护、新版本上线数据资源更新</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应急处理</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网络故障快速响应、应急保障</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优化改善</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数据处理</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数据资源梳理及建库</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软件更新</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通过不断尝试和调整提高代码的效率和可维护性</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评估调研</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收集信息</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收集监管用户和企业用户调研信息，收集代码审查、性能测试、安全测试等相关评估</w:t>
                  </w:r>
                </w:p>
              </w:tc>
            </w:tr>
            <w:tr>
              <w:tc>
                <w:tcPr>
                  <w:tcW w:type="dxa" w:w="397"/>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改进软件</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通过评估信息可以帮助我们更好地理解和改进软件</w:t>
                  </w:r>
                </w:p>
              </w:tc>
            </w:tr>
          </w:tbl>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w:t>
            </w:r>
            <w:r>
              <w:rPr>
                <w:rFonts w:ascii="仿宋_GB2312" w:hAnsi="仿宋_GB2312" w:cs="仿宋_GB2312" w:eastAsia="仿宋_GB2312"/>
                <w:sz w:val="24"/>
              </w:rPr>
              <w:t>软件数据处理</w:t>
            </w:r>
          </w:p>
          <w:p>
            <w:pPr>
              <w:pStyle w:val="null3"/>
            </w:pPr>
            <w:r>
              <w:rPr>
                <w:rFonts w:ascii="仿宋_GB2312" w:hAnsi="仿宋_GB2312" w:cs="仿宋_GB2312" w:eastAsia="仿宋_GB2312"/>
                <w:sz w:val="24"/>
              </w:rPr>
              <w:t xml:space="preserve">  食品综合业务系统的所有的数据的数据资源服务和数据处理服务，主要是对食品企业数据收集和整理，同时对外提供数据接口服务的相关情况运维，包括食品监管对象、监管行为。</w:t>
            </w:r>
          </w:p>
          <w:p>
            <w:pPr>
              <w:pStyle w:val="null3"/>
            </w:pPr>
            <w:r>
              <w:rPr>
                <w:rFonts w:ascii="仿宋_GB2312" w:hAnsi="仿宋_GB2312" w:cs="仿宋_GB2312" w:eastAsia="仿宋_GB2312"/>
                <w:sz w:val="24"/>
              </w:rPr>
              <w:t xml:space="preserve">  数据的服务内容，包括新版本上线数据资源更新、数据有效备份、数据接口服务保障，系统数据安全监控、系统数据漏洞修复、系统数据攻击防范、同时还包括已建设接口数据的相关数据运维。</w:t>
            </w:r>
          </w:p>
          <w:p>
            <w:pPr>
              <w:pStyle w:val="null3"/>
            </w:pPr>
            <w:r>
              <w:rPr>
                <w:rFonts w:ascii="仿宋_GB2312" w:hAnsi="仿宋_GB2312" w:cs="仿宋_GB2312" w:eastAsia="仿宋_GB2312"/>
                <w:sz w:val="24"/>
              </w:rPr>
              <w:t xml:space="preserve">  4.安全</w:t>
            </w:r>
            <w:r>
              <w:rPr>
                <w:rFonts w:ascii="仿宋_GB2312" w:hAnsi="仿宋_GB2312" w:cs="仿宋_GB2312" w:eastAsia="仿宋_GB2312"/>
                <w:sz w:val="24"/>
              </w:rPr>
              <w:t>运维服务</w:t>
            </w:r>
          </w:p>
          <w:p>
            <w:pPr>
              <w:pStyle w:val="null3"/>
              <w:ind w:firstLine="480"/>
            </w:pPr>
            <w:r>
              <w:rPr>
                <w:rFonts w:ascii="仿宋_GB2312" w:hAnsi="仿宋_GB2312" w:cs="仿宋_GB2312" w:eastAsia="仿宋_GB2312"/>
                <w:sz w:val="24"/>
              </w:rPr>
              <w:t>安全运维服务的范围，包括配合机房做相关网络安全等保</w:t>
            </w:r>
            <w:r>
              <w:rPr>
                <w:rFonts w:ascii="仿宋_GB2312" w:hAnsi="仿宋_GB2312" w:cs="仿宋_GB2312" w:eastAsia="仿宋_GB2312"/>
                <w:sz w:val="24"/>
              </w:rPr>
              <w:t>/密评/分保的工作，安全软件运维及安全运营。</w:t>
            </w:r>
          </w:p>
          <w:p>
            <w:pPr>
              <w:pStyle w:val="null3"/>
              <w:jc w:val="left"/>
              <w:outlineLvl w:val="2"/>
            </w:pPr>
            <w:r>
              <w:rPr>
                <w:rFonts w:ascii="仿宋_GB2312" w:hAnsi="仿宋_GB2312" w:cs="仿宋_GB2312" w:eastAsia="仿宋_GB2312"/>
                <w:sz w:val="24"/>
                <w:b/>
              </w:rPr>
              <w:t>4.1.2需优化业务需求的软件</w:t>
            </w:r>
          </w:p>
          <w:p>
            <w:pPr>
              <w:pStyle w:val="null3"/>
              <w:ind w:firstLine="480"/>
            </w:pPr>
            <w:r>
              <w:rPr>
                <w:rFonts w:ascii="仿宋_GB2312" w:hAnsi="仿宋_GB2312" w:cs="仿宋_GB2312" w:eastAsia="仿宋_GB2312"/>
                <w:sz w:val="24"/>
              </w:rPr>
              <w:t>1.食品生产检查员现场核查系统优化</w:t>
            </w:r>
          </w:p>
          <w:p>
            <w:pPr>
              <w:pStyle w:val="null3"/>
              <w:ind w:firstLine="480"/>
            </w:pPr>
            <w:r>
              <w:rPr>
                <w:rFonts w:ascii="仿宋_GB2312" w:hAnsi="仿宋_GB2312" w:cs="仿宋_GB2312" w:eastAsia="仿宋_GB2312"/>
                <w:sz w:val="24"/>
              </w:rPr>
              <w:t>随着监管政策的不断更新和业务需求的持续变化，现有的生产许可现场核查系统已逐渐暴露出其功能上的局限性。特别是在核查员的抽取与检查员库的管理方面，系统当前的功能已无法满足实际工作需求，导致许可工作中存在一些潜在的风险和漏洞。</w:t>
            </w:r>
          </w:p>
          <w:p>
            <w:pPr>
              <w:pStyle w:val="null3"/>
              <w:ind w:firstLine="480"/>
            </w:pPr>
            <w:r>
              <w:rPr>
                <w:rFonts w:ascii="仿宋_GB2312" w:hAnsi="仿宋_GB2312" w:cs="仿宋_GB2312" w:eastAsia="仿宋_GB2312"/>
                <w:sz w:val="24"/>
              </w:rPr>
              <w:t>2.复检与异议系统优化</w:t>
            </w:r>
          </w:p>
          <w:p>
            <w:pPr>
              <w:pStyle w:val="null3"/>
              <w:ind w:firstLine="480"/>
            </w:pPr>
            <w:r>
              <w:rPr>
                <w:rFonts w:ascii="仿宋_GB2312" w:hAnsi="仿宋_GB2312" w:cs="仿宋_GB2312" w:eastAsia="仿宋_GB2312"/>
                <w:sz w:val="24"/>
              </w:rPr>
              <w:t>随着系统的持续运行和监管业务的不断变更，当前复检与异议许可工作流程中存在信息传递不及时和通知方式单一的问题。特别是在最终受理结果产生后，系统无法立即通知企业，并且缺乏正式的文件通知机制，仅依赖电话告知，这既影响了工作效率，也降低了信息的正式性和权威性。</w:t>
            </w:r>
          </w:p>
          <w:p>
            <w:pPr>
              <w:pStyle w:val="null3"/>
              <w:ind w:firstLine="480"/>
            </w:pPr>
            <w:r>
              <w:rPr>
                <w:rFonts w:ascii="仿宋_GB2312" w:hAnsi="仿宋_GB2312" w:cs="仿宋_GB2312" w:eastAsia="仿宋_GB2312"/>
                <w:sz w:val="24"/>
              </w:rPr>
              <w:t>3.与统一门户系统的数据对接</w:t>
            </w:r>
          </w:p>
          <w:p>
            <w:pPr>
              <w:pStyle w:val="null3"/>
              <w:ind w:firstLine="480"/>
            </w:pPr>
            <w:r>
              <w:rPr>
                <w:rFonts w:ascii="仿宋_GB2312" w:hAnsi="仿宋_GB2312" w:cs="仿宋_GB2312" w:eastAsia="仿宋_GB2312"/>
                <w:sz w:val="24"/>
              </w:rPr>
              <w:t>当前，信息化系统的建设不但没有给基层工作人员带来方便，反而每天各个系统之间的切换、填报数据占用了基层工作人员大量时间，缺乏集中统一的管理。</w:t>
            </w:r>
          </w:p>
          <w:p>
            <w:pPr>
              <w:pStyle w:val="null3"/>
              <w:ind w:firstLine="480"/>
            </w:pPr>
            <w:r>
              <w:rPr>
                <w:rFonts w:ascii="仿宋_GB2312" w:hAnsi="仿宋_GB2312" w:cs="仿宋_GB2312" w:eastAsia="仿宋_GB2312"/>
                <w:sz w:val="24"/>
              </w:rPr>
              <w:t>为解决上述问题，省市场监管局整合各业务系统建立门户系统，食品系统需要配合进行</w:t>
            </w:r>
            <w:r>
              <w:rPr>
                <w:rFonts w:ascii="仿宋_GB2312" w:hAnsi="仿宋_GB2312" w:cs="仿宋_GB2312" w:eastAsia="仿宋_GB2312"/>
                <w:sz w:val="24"/>
              </w:rPr>
              <w:t>PC端适配，同时完成对应认证。</w:t>
            </w:r>
          </w:p>
          <w:p>
            <w:pPr>
              <w:pStyle w:val="null3"/>
              <w:ind w:firstLine="480"/>
            </w:pPr>
            <w:r>
              <w:rPr>
                <w:rFonts w:ascii="仿宋_GB2312" w:hAnsi="仿宋_GB2312" w:cs="仿宋_GB2312" w:eastAsia="仿宋_GB2312"/>
                <w:sz w:val="24"/>
              </w:rPr>
              <w:t>4.与农业农村厅数据对接</w:t>
            </w:r>
          </w:p>
          <w:p>
            <w:pPr>
              <w:pStyle w:val="null3"/>
              <w:ind w:firstLine="480"/>
            </w:pPr>
            <w:r>
              <w:rPr>
                <w:rFonts w:ascii="仿宋_GB2312" w:hAnsi="仿宋_GB2312" w:cs="仿宋_GB2312" w:eastAsia="仿宋_GB2312"/>
                <w:sz w:val="24"/>
              </w:rPr>
              <w:t>为进一步加强动物产品检疫智慧监管，纸化出具动物检疫证明和肉品品质检验合格证可以大大缩短检疫时间，提高检疫效率。通过信息化手段，可以实现对动物产品从养殖到餐桌的全链条监管，确保畜禽产品质量安全。无纸化出证减少了纸质证明的流转环节，方便了群众办事和查询。</w:t>
            </w:r>
          </w:p>
          <w:p>
            <w:pPr>
              <w:pStyle w:val="null3"/>
              <w:ind w:firstLine="480"/>
            </w:pPr>
            <w:r>
              <w:rPr>
                <w:rFonts w:ascii="仿宋_GB2312" w:hAnsi="仿宋_GB2312" w:cs="仿宋_GB2312" w:eastAsia="仿宋_GB2312"/>
                <w:sz w:val="24"/>
              </w:rPr>
              <w:t>因此食品系统应与农业农村厅肉品品质检验合格证信息系统进行对接，实现信息的同步与共享。这包括肉品品质检验的相关信息，如检验结果、合格证明编号等。</w:t>
            </w:r>
          </w:p>
          <w:p>
            <w:pPr>
              <w:pStyle w:val="null3"/>
              <w:jc w:val="left"/>
              <w:outlineLvl w:val="2"/>
            </w:pPr>
            <w:r>
              <w:rPr>
                <w:rFonts w:ascii="仿宋_GB2312" w:hAnsi="仿宋_GB2312" w:cs="仿宋_GB2312" w:eastAsia="仿宋_GB2312"/>
                <w:sz w:val="24"/>
                <w:b/>
              </w:rPr>
              <w:t xml:space="preserve">  4.2其他运维服务</w:t>
            </w:r>
          </w:p>
          <w:p>
            <w:pPr>
              <w:pStyle w:val="null3"/>
            </w:pPr>
            <w:r>
              <w:rPr>
                <w:rFonts w:ascii="仿宋_GB2312" w:hAnsi="仿宋_GB2312" w:cs="仿宋_GB2312" w:eastAsia="仿宋_GB2312"/>
                <w:sz w:val="24"/>
              </w:rPr>
              <w:t xml:space="preserve">  其他运维服务的范围包括：驻场运维服务、培训推广服务和应急保障服务等。</w:t>
            </w:r>
          </w:p>
          <w:p>
            <w:pPr>
              <w:pStyle w:val="null3"/>
            </w:pPr>
            <w:r>
              <w:rPr>
                <w:rFonts w:ascii="仿宋_GB2312" w:hAnsi="仿宋_GB2312" w:cs="仿宋_GB2312" w:eastAsia="仿宋_GB2312"/>
                <w:sz w:val="24"/>
              </w:rPr>
              <w:t xml:space="preserve">  驻场运维服务：陕西省食品安全监管综合业务系统功能众多，数据繁杂，用户涉及广，且具有很强的专业性。因此为保障综合业务系统高效平稳运行，至少需要</w:t>
            </w:r>
            <w:r>
              <w:rPr>
                <w:rFonts w:ascii="仿宋_GB2312" w:hAnsi="仿宋_GB2312" w:cs="仿宋_GB2312" w:eastAsia="仿宋_GB2312"/>
                <w:sz w:val="24"/>
              </w:rPr>
              <w:t>3</w:t>
            </w:r>
            <w:r>
              <w:rPr>
                <w:rFonts w:ascii="仿宋_GB2312" w:hAnsi="仿宋_GB2312" w:cs="仿宋_GB2312" w:eastAsia="仿宋_GB2312"/>
                <w:sz w:val="24"/>
              </w:rPr>
              <w:t>名技术人员提供驻场服务，以便及时快捷的解决问题，收集相关问题，及时反馈更正修改。</w:t>
            </w:r>
          </w:p>
          <w:p>
            <w:pPr>
              <w:pStyle w:val="null3"/>
            </w:pPr>
            <w:r>
              <w:rPr>
                <w:rFonts w:ascii="仿宋_GB2312" w:hAnsi="仿宋_GB2312" w:cs="仿宋_GB2312" w:eastAsia="仿宋_GB2312"/>
                <w:sz w:val="24"/>
              </w:rPr>
              <w:t xml:space="preserve">  培训推广服务：需要对用户提供全方位的培训。通过培训，使受训的技术人员能够了解和熟悉整个系统的结构及其功能，熟悉系统的设计原理和工作方式，使各级业务管理人员能够利用平台进行相应的管理和决策工作。</w:t>
            </w:r>
          </w:p>
          <w:p>
            <w:pPr>
              <w:pStyle w:val="null3"/>
            </w:pPr>
            <w:r>
              <w:rPr>
                <w:rFonts w:ascii="仿宋_GB2312" w:hAnsi="仿宋_GB2312" w:cs="仿宋_GB2312" w:eastAsia="仿宋_GB2312"/>
                <w:sz w:val="24"/>
              </w:rPr>
              <w:t xml:space="preserve">  应急保障服务：由于业务系统包含大量不同种类、不同功能、不同性能的功能，风险也在日益增多。针对重要应急事件，根据局方要求提供完整的应急预案，</w:t>
            </w:r>
          </w:p>
          <w:p>
            <w:pPr>
              <w:pStyle w:val="null3"/>
            </w:pPr>
            <w:r>
              <w:rPr>
                <w:rFonts w:ascii="仿宋_GB2312" w:hAnsi="仿宋_GB2312" w:cs="仿宋_GB2312" w:eastAsia="仿宋_GB2312"/>
                <w:sz w:val="24"/>
              </w:rPr>
              <w:t>应急保障服务有利于帮助企业有效预防和应对突发事件，在这些意外情况下更加顺畅和高效地使用系统。</w:t>
            </w:r>
          </w:p>
          <w:p>
            <w:pPr>
              <w:pStyle w:val="null3"/>
              <w:jc w:val="left"/>
              <w:outlineLvl w:val="2"/>
            </w:pPr>
            <w:r>
              <w:rPr>
                <w:rFonts w:ascii="仿宋_GB2312" w:hAnsi="仿宋_GB2312" w:cs="仿宋_GB2312" w:eastAsia="仿宋_GB2312"/>
                <w:sz w:val="24"/>
                <w:b/>
              </w:rPr>
              <w:t>5.运维制度与规范</w:t>
            </w:r>
          </w:p>
          <w:p>
            <w:pPr>
              <w:pStyle w:val="null3"/>
            </w:pPr>
            <w:r>
              <w:rPr>
                <w:rFonts w:ascii="仿宋_GB2312" w:hAnsi="仿宋_GB2312" w:cs="仿宋_GB2312" w:eastAsia="仿宋_GB2312"/>
                <w:sz w:val="24"/>
              </w:rPr>
              <w:t xml:space="preserve">  运维制度与规范包括：驻场办公环境管理制度，服务器病毒防范制度，运维服务安全保密制度，人员入场管理制度，人员离场管理制度，数据及应用保密制度，数据及应用安全等相关制度。</w:t>
            </w:r>
          </w:p>
          <w:p>
            <w:pPr>
              <w:pStyle w:val="null3"/>
              <w:jc w:val="left"/>
              <w:outlineLvl w:val="2"/>
            </w:pPr>
            <w:r>
              <w:rPr>
                <w:rFonts w:ascii="仿宋_GB2312" w:hAnsi="仿宋_GB2312" w:cs="仿宋_GB2312" w:eastAsia="仿宋_GB2312"/>
                <w:sz w:val="24"/>
                <w:b/>
              </w:rPr>
              <w:t>6.运维质量</w:t>
            </w:r>
            <w:r>
              <w:rPr>
                <w:rFonts w:ascii="仿宋_GB2312" w:hAnsi="仿宋_GB2312" w:cs="仿宋_GB2312" w:eastAsia="仿宋_GB2312"/>
                <w:sz w:val="24"/>
                <w:b/>
              </w:rPr>
              <w:t>要求</w:t>
            </w:r>
          </w:p>
          <w:p>
            <w:pPr>
              <w:pStyle w:val="null3"/>
            </w:pPr>
            <w:r>
              <w:rPr>
                <w:rFonts w:ascii="仿宋_GB2312" w:hAnsi="仿宋_GB2312" w:cs="仿宋_GB2312" w:eastAsia="仿宋_GB2312"/>
                <w:sz w:val="24"/>
              </w:rPr>
              <w:t xml:space="preserve">  运维服务质量保证工作应该在所有项目中实施，负责必要的评审和审计，使问题对整个项目的影响降到最低。</w:t>
            </w:r>
          </w:p>
          <w:p>
            <w:pPr>
              <w:pStyle w:val="null3"/>
            </w:pPr>
            <w:r>
              <w:rPr>
                <w:rFonts w:ascii="仿宋_GB2312" w:hAnsi="仿宋_GB2312" w:cs="仿宋_GB2312" w:eastAsia="仿宋_GB2312"/>
                <w:sz w:val="24"/>
              </w:rPr>
              <w:t xml:space="preserve">  同时在合同结束前十五天填写运维服务质量考核。</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陕西省食品安全监管综合业务系统维保项目考核表</w:t>
            </w:r>
          </w:p>
          <w:p>
            <w:pPr>
              <w:pStyle w:val="null3"/>
              <w:jc w:val="center"/>
            </w:pPr>
            <w:r>
              <w:rPr>
                <w:rFonts w:ascii="仿宋_GB2312" w:hAnsi="仿宋_GB2312" w:cs="仿宋_GB2312" w:eastAsia="仿宋_GB2312"/>
                <w:sz w:val="24"/>
              </w:rPr>
              <w:t>单位</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tbl>
            <w:tblPr>
              <w:tblBorders>
                <w:top w:val="none" w:color="000000" w:sz="4"/>
                <w:left w:val="none" w:color="000000" w:sz="4"/>
                <w:bottom w:val="none" w:color="000000" w:sz="4"/>
                <w:right w:val="none" w:color="000000" w:sz="4"/>
                <w:insideH w:val="none"/>
                <w:insideV w:val="none"/>
              </w:tblBorders>
            </w:tblPr>
            <w:tblGrid>
              <w:gridCol w:w="314"/>
              <w:gridCol w:w="1330"/>
              <w:gridCol w:w="211"/>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1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评分标准</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服务态度</w:t>
                  </w:r>
                  <w:r>
                    <w:rPr>
                      <w:rFonts w:ascii="仿宋_GB2312" w:hAnsi="仿宋_GB2312" w:cs="仿宋_GB2312" w:eastAsia="仿宋_GB2312"/>
                      <w:sz w:val="24"/>
                    </w:rPr>
                    <w:t>(20分)</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每次服务态度都很好：</w:t>
                  </w:r>
                  <w:r>
                    <w:rPr>
                      <w:rFonts w:ascii="仿宋_GB2312" w:hAnsi="仿宋_GB2312" w:cs="仿宋_GB2312" w:eastAsia="仿宋_GB2312"/>
                      <w:sz w:val="24"/>
                    </w:rPr>
                    <w:t>20分</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服务态度比较好偶尔出现不好状态：</w:t>
                  </w:r>
                  <w:r>
                    <w:rPr>
                      <w:rFonts w:ascii="仿宋_GB2312" w:hAnsi="仿宋_GB2312" w:cs="仿宋_GB2312" w:eastAsia="仿宋_GB2312"/>
                      <w:sz w:val="24"/>
                    </w:rPr>
                    <w:t>1—19分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服务态度一般经常不理睬甲方需求：</w:t>
                  </w:r>
                  <w:r>
                    <w:rPr>
                      <w:rFonts w:ascii="仿宋_GB2312" w:hAnsi="仿宋_GB2312" w:cs="仿宋_GB2312" w:eastAsia="仿宋_GB2312"/>
                      <w:sz w:val="24"/>
                    </w:rPr>
                    <w:t>0分</w:t>
                  </w:r>
                </w:p>
              </w:tc>
              <w:tc>
                <w:tcPr>
                  <w:tcW w:type="dxa" w:w="211"/>
                  <w:vMerge/>
                  <w:tcBorders>
                    <w:top w:val="none" w:color="000000" w:sz="4"/>
                    <w:left w:val="single" w:color="000000" w:sz="4"/>
                    <w:bottom w:val="single" w:color="000000" w:sz="4"/>
                    <w:right w:val="single" w:color="000000" w:sz="4"/>
                  </w:tcBorders>
                </w:tcP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综合技术能力（</w:t>
                  </w:r>
                  <w:r>
                    <w:rPr>
                      <w:rFonts w:ascii="仿宋_GB2312" w:hAnsi="仿宋_GB2312" w:cs="仿宋_GB2312" w:eastAsia="仿宋_GB2312"/>
                      <w:sz w:val="24"/>
                    </w:rPr>
                    <w:t>20分）</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所有出现的问题都能解决：</w:t>
                  </w:r>
                  <w:r>
                    <w:rPr>
                      <w:rFonts w:ascii="仿宋_GB2312" w:hAnsi="仿宋_GB2312" w:cs="仿宋_GB2312" w:eastAsia="仿宋_GB2312"/>
                      <w:sz w:val="24"/>
                    </w:rPr>
                    <w:t>20分</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大部分出现的问题能解决：</w:t>
                  </w:r>
                  <w:r>
                    <w:rPr>
                      <w:rFonts w:ascii="仿宋_GB2312" w:hAnsi="仿宋_GB2312" w:cs="仿宋_GB2312" w:eastAsia="仿宋_GB2312"/>
                      <w:sz w:val="24"/>
                    </w:rPr>
                    <w:t>10—19分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部分出现的问题能解决：</w:t>
                  </w:r>
                  <w:r>
                    <w:rPr>
                      <w:rFonts w:ascii="仿宋_GB2312" w:hAnsi="仿宋_GB2312" w:cs="仿宋_GB2312" w:eastAsia="仿宋_GB2312"/>
                      <w:sz w:val="24"/>
                    </w:rPr>
                    <w:t>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无法解决出现的问题：</w:t>
                  </w:r>
                  <w:r>
                    <w:rPr>
                      <w:rFonts w:ascii="仿宋_GB2312" w:hAnsi="仿宋_GB2312" w:cs="仿宋_GB2312" w:eastAsia="仿宋_GB2312"/>
                      <w:sz w:val="24"/>
                    </w:rPr>
                    <w:t>0分</w:t>
                  </w:r>
                </w:p>
              </w:tc>
              <w:tc>
                <w:tcPr>
                  <w:tcW w:type="dxa" w:w="211"/>
                  <w:vMerge/>
                  <w:tcBorders>
                    <w:top w:val="none" w:color="000000" w:sz="4"/>
                    <w:left w:val="single" w:color="000000" w:sz="4"/>
                    <w:bottom w:val="single" w:color="000000" w:sz="4"/>
                    <w:right w:val="single" w:color="000000" w:sz="4"/>
                  </w:tcBorders>
                </w:tcP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响应时间</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在甲方提出故障维护请求后，实时给出解决方案：</w:t>
                  </w:r>
                  <w:r>
                    <w:rPr>
                      <w:rFonts w:ascii="仿宋_GB2312" w:hAnsi="仿宋_GB2312" w:cs="仿宋_GB2312" w:eastAsia="仿宋_GB2312"/>
                      <w:sz w:val="24"/>
                    </w:rPr>
                    <w:t>20分</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在甲方提出故障维护请求后，</w:t>
                  </w:r>
                  <w:r>
                    <w:rPr>
                      <w:rFonts w:ascii="仿宋_GB2312" w:hAnsi="仿宋_GB2312" w:cs="仿宋_GB2312" w:eastAsia="仿宋_GB2312"/>
                      <w:sz w:val="24"/>
                    </w:rPr>
                    <w:t>30分钟内给出解决方案：10—19分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在甲方提出故障维护请求后，</w:t>
                  </w:r>
                  <w:r>
                    <w:rPr>
                      <w:rFonts w:ascii="仿宋_GB2312" w:hAnsi="仿宋_GB2312" w:cs="仿宋_GB2312" w:eastAsia="仿宋_GB2312"/>
                      <w:sz w:val="24"/>
                    </w:rPr>
                    <w:t>12小时内给出解决方案：1—9分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在甲方提出故障维护请求后，无响应：</w:t>
                  </w:r>
                  <w:r>
                    <w:rPr>
                      <w:rFonts w:ascii="仿宋_GB2312" w:hAnsi="仿宋_GB2312" w:cs="仿宋_GB2312" w:eastAsia="仿宋_GB2312"/>
                      <w:sz w:val="24"/>
                    </w:rPr>
                    <w:t>0分</w:t>
                  </w:r>
                </w:p>
              </w:tc>
              <w:tc>
                <w:tcPr>
                  <w:tcW w:type="dxa" w:w="211"/>
                  <w:vMerge/>
                  <w:tcBorders>
                    <w:top w:val="none" w:color="000000" w:sz="4"/>
                    <w:left w:val="single" w:color="000000" w:sz="4"/>
                    <w:bottom w:val="single" w:color="000000" w:sz="4"/>
                    <w:right w:val="single" w:color="000000" w:sz="4"/>
                  </w:tcBorders>
                </w:tcP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问题解决时间（</w:t>
                  </w:r>
                  <w:r>
                    <w:rPr>
                      <w:rFonts w:ascii="仿宋_GB2312" w:hAnsi="仿宋_GB2312" w:cs="仿宋_GB2312" w:eastAsia="仿宋_GB2312"/>
                      <w:sz w:val="24"/>
                    </w:rPr>
                    <w:t>20分）</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问题解决时间</w:t>
                  </w:r>
                  <w:r>
                    <w:rPr>
                      <w:rFonts w:ascii="仿宋_GB2312" w:hAnsi="仿宋_GB2312" w:cs="仿宋_GB2312" w:eastAsia="仿宋_GB2312"/>
                      <w:sz w:val="24"/>
                    </w:rPr>
                    <w:t>&lt;30分钟：20分</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30分钟&lt;问题解决时间&lt;6小时：15—19分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6小时&lt;问题解决时间&lt;24小时：4—14分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问题解决时间</w:t>
                  </w:r>
                  <w:r>
                    <w:rPr>
                      <w:rFonts w:ascii="仿宋_GB2312" w:hAnsi="仿宋_GB2312" w:cs="仿宋_GB2312" w:eastAsia="仿宋_GB2312"/>
                      <w:sz w:val="24"/>
                    </w:rPr>
                    <w:t>&gt;24小时：0—3分</w:t>
                  </w:r>
                </w:p>
              </w:tc>
              <w:tc>
                <w:tcPr>
                  <w:tcW w:type="dxa" w:w="211"/>
                  <w:vMerge/>
                  <w:tcBorders>
                    <w:top w:val="none" w:color="000000" w:sz="4"/>
                    <w:left w:val="single" w:color="000000" w:sz="4"/>
                    <w:bottom w:val="single" w:color="000000" w:sz="4"/>
                    <w:right w:val="single" w:color="000000" w:sz="4"/>
                  </w:tcBorders>
                </w:tcP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主动服务能力（</w:t>
                  </w:r>
                  <w:r>
                    <w:rPr>
                      <w:rFonts w:ascii="仿宋_GB2312" w:hAnsi="仿宋_GB2312" w:cs="仿宋_GB2312" w:eastAsia="仿宋_GB2312"/>
                      <w:sz w:val="24"/>
                    </w:rPr>
                    <w:t>20）</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合同期有</w:t>
                  </w:r>
                  <w:r>
                    <w:rPr>
                      <w:rFonts w:ascii="仿宋_GB2312" w:hAnsi="仿宋_GB2312" w:cs="仿宋_GB2312" w:eastAsia="仿宋_GB2312"/>
                      <w:sz w:val="24"/>
                    </w:rPr>
                    <w:t>4次以上主动向甲方处征求意见，主动修改软件中存在的问题并主动告知甲方注意事项：20分</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合同期有</w:t>
                  </w:r>
                  <w:r>
                    <w:rPr>
                      <w:rFonts w:ascii="仿宋_GB2312" w:hAnsi="仿宋_GB2312" w:cs="仿宋_GB2312" w:eastAsia="仿宋_GB2312"/>
                      <w:sz w:val="24"/>
                    </w:rPr>
                    <w:t>2到3次以上主动向甲方征求意见，主动修改软件中存在的问题并主动告知甲方注意事项:12—19分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合同期有</w:t>
                  </w:r>
                  <w:r>
                    <w:rPr>
                      <w:rFonts w:ascii="仿宋_GB2312" w:hAnsi="仿宋_GB2312" w:cs="仿宋_GB2312" w:eastAsia="仿宋_GB2312"/>
                      <w:sz w:val="24"/>
                    </w:rPr>
                    <w:t>2到3次以上主动向甲方征求意见，能修改软件存在的问题：7—11分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合同期没有主动与甲方沟通，但是主动修改软件中存在的问题并告知甲方注意事项</w:t>
                  </w:r>
                  <w:r>
                    <w:rPr>
                      <w:rFonts w:ascii="仿宋_GB2312" w:hAnsi="仿宋_GB2312" w:cs="仿宋_GB2312" w:eastAsia="仿宋_GB2312"/>
                      <w:sz w:val="24"/>
                    </w:rPr>
                    <w:t>:1—6分</w:t>
                  </w:r>
                </w:p>
              </w:tc>
              <w:tc>
                <w:tcPr>
                  <w:tcW w:type="dxa" w:w="211"/>
                  <w:vMerge/>
                  <w:tcBorders>
                    <w:top w:val="none" w:color="000000" w:sz="4"/>
                    <w:left w:val="single" w:color="000000" w:sz="4"/>
                    <w:bottom w:val="single" w:color="000000" w:sz="4"/>
                    <w:right w:val="single" w:color="000000" w:sz="4"/>
                  </w:tcBorders>
                </w:tcPr>
                <w:p/>
              </w:tc>
            </w:tr>
            <w:tr>
              <w:tc>
                <w:tcPr>
                  <w:tcW w:type="dxa" w:w="314"/>
                  <w:vMerge/>
                  <w:tcBorders>
                    <w:top w:val="none" w:color="000000" w:sz="4"/>
                    <w:left w:val="single" w:color="000000" w:sz="4"/>
                    <w:bottom w:val="single" w:color="000000" w:sz="4"/>
                    <w:right w:val="single" w:color="000000" w:sz="4"/>
                  </w:tcBorders>
                </w:tcP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合同期没有主动与甲方沟通，也不修改软件中存在的问题：</w:t>
                  </w:r>
                  <w:r>
                    <w:rPr>
                      <w:rFonts w:ascii="仿宋_GB2312" w:hAnsi="仿宋_GB2312" w:cs="仿宋_GB2312" w:eastAsia="仿宋_GB2312"/>
                      <w:sz w:val="24"/>
                    </w:rPr>
                    <w:t>0分</w:t>
                  </w:r>
                </w:p>
              </w:tc>
              <w:tc>
                <w:tcPr>
                  <w:tcW w:type="dxa" w:w="211"/>
                  <w:vMerge/>
                  <w:tcBorders>
                    <w:top w:val="none" w:color="000000" w:sz="4"/>
                    <w:left w:val="single" w:color="000000" w:sz="4"/>
                    <w:bottom w:val="single" w:color="000000" w:sz="4"/>
                    <w:right w:val="single" w:color="000000" w:sz="4"/>
                  </w:tcBorders>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p>
              </w:tc>
              <w:tc>
                <w:tcPr>
                  <w:tcW w:type="dxa" w:w="15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意见和建议</w:t>
                  </w:r>
                </w:p>
                <w:p>
                  <w:pPr>
                    <w:pStyle w:val="null3"/>
                    <w:jc w:val="center"/>
                  </w:pPr>
                </w:p>
              </w:tc>
              <w:tc>
                <w:tcPr>
                  <w:tcW w:type="dxa" w:w="15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合同及附件文本；国家相应的标准、规范。 2、成交供应商应负责在项目验收前将项目过程中产生的全部各种相关各阶段文档整理好装订提交，并提交相关文档。 3、对整个项目的验收包括检查应用系统是否实现了采购人在采购文件中所要求的功能，是否与成交供应商提出的解决方案中既定目标功能完全一致。 4、本项目的最终验收由采购人、成交供应商共同进行。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响应报价表、分项报价表.docx 残疾人福利性单位声明函 保证金交纳凭证.docx 标的清单 响应函 偏差表.docx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响应报价表、分项报价表.docx 残疾人福利性单位声明函 保证金交纳凭证.docx 标的清单 响应函 偏差表.docx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响应报价表、分项报价表.docx 残疾人福利性单位声明函 保证金交纳凭证.docx 标的清单 响应函 偏差表.docx 供应商承诺书.docx 监狱企业的证明文件 商务条款响应说明.docx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供应商提供针对本项目的需求理解和分析，具体内容及特点应分析到位，理解全面、透彻。 1.理解合理准确、思路清晰、内容全面，完全符合项目实际需求，计5分； 2.理解较全面准确，基本可行，符合项目要求，计3分； 3.理解有偏差，不符合本项目需求,计1分；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供应商针对本项目的运维服务内容及要求，制定规范的、有针对性的运维服务方案。 1、方案细致全面、架构完整、层次清楚、合理可行，完全符合本项目实际需求，计20分； 2、方案架构较为完整、层次较为清楚，合理可行，符合本项目实际需求，计15分； 3、方案架构基本完整、层次基本清楚，基本符合本项目实际需求，计10分； 4、方案有缺陷，具体实施难度高，计5分； 5、方案偏差较大，无法满足本项目需求，计1分； 6、未提供的不计分。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服务管理体系</w:t>
            </w:r>
          </w:p>
        </w:tc>
        <w:tc>
          <w:tcPr>
            <w:tcW w:type="dxa" w:w="2492"/>
          </w:tcPr>
          <w:p>
            <w:pPr>
              <w:pStyle w:val="null3"/>
            </w:pPr>
            <w:r>
              <w:rPr>
                <w:rFonts w:ascii="仿宋_GB2312" w:hAnsi="仿宋_GB2312" w:cs="仿宋_GB2312" w:eastAsia="仿宋_GB2312"/>
              </w:rPr>
              <w:t>供应商针对本项目建立有完善的服务管理体系，提供强大的管理工具与手段，确保平台运行安全可靠、稳定，性能充分发挥。 1.管理体系内容全面，架构完整，确保平台运行安全可靠、稳定，性能充分发挥，计15分； 2.管理体系内容较为全面，架构较为完整，能较好确保平台运行，性能发挥，计12分； 3.管理体系内容基本全面，架构基本完整，计7分； 4.管理体系内容有明显缺陷，具体实施难度高，计3分； 5.未提供的不计分。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安全体系</w:t>
            </w:r>
          </w:p>
        </w:tc>
        <w:tc>
          <w:tcPr>
            <w:tcW w:type="dxa" w:w="2492"/>
          </w:tcPr>
          <w:p>
            <w:pPr>
              <w:pStyle w:val="null3"/>
            </w:pPr>
            <w:r>
              <w:rPr>
                <w:rFonts w:ascii="仿宋_GB2312" w:hAnsi="仿宋_GB2312" w:cs="仿宋_GB2312" w:eastAsia="仿宋_GB2312"/>
              </w:rPr>
              <w:t>供应商的运行维护工作必须遵循并优化现有的安全体系，必须在现有安全体制下提出确保系统安全可靠的安全策略、措施和步骤。 1内容详细、完整、可行，完全满足项目需求，计5分； 2.内容基本详细完整，满足项目需求，计3分； 3.内容有所欠缺，可行性低，计1分；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优化方案</w:t>
            </w:r>
          </w:p>
        </w:tc>
        <w:tc>
          <w:tcPr>
            <w:tcW w:type="dxa" w:w="2492"/>
          </w:tcPr>
          <w:p>
            <w:pPr>
              <w:pStyle w:val="null3"/>
            </w:pPr>
            <w:r>
              <w:rPr>
                <w:rFonts w:ascii="仿宋_GB2312" w:hAnsi="仿宋_GB2312" w:cs="仿宋_GB2312" w:eastAsia="仿宋_GB2312"/>
              </w:rPr>
              <w:t>供应商在满足现有系统应用情况下，从系统可持续发展升级性、用户体验度和功能扩充等方面，提出合理有效的优化方案。 1.方案详细、完整、可行，完全满足项目需求，计5分； 2.方案基本详细完整，满足项目需求，计3分； 3.方案有所欠缺，可行性低，计1分；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供应商针对本项目有详细的人员配备投入计划，满足本项目实际需求。 1.供应商拟投入本项目的团队人员，岗位职责分工明确、人员结构安排合理、工作经验丰富，计5分； 2.项目团队人员职责分工及结构安排基本明确，有一定的工作经验，计3分； 3.项目团队人员职责分工及结构安排混乱，工作经验欠缺，计1分；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 实力</w:t>
            </w:r>
          </w:p>
        </w:tc>
        <w:tc>
          <w:tcPr>
            <w:tcW w:type="dxa" w:w="2492"/>
          </w:tcPr>
          <w:p>
            <w:pPr>
              <w:pStyle w:val="null3"/>
            </w:pPr>
            <w:r>
              <w:rPr>
                <w:rFonts w:ascii="仿宋_GB2312" w:hAnsi="仿宋_GB2312" w:cs="仿宋_GB2312" w:eastAsia="仿宋_GB2312"/>
              </w:rPr>
              <w:t>1.提供ITSS信息技术服务运行维护标准符合性证书的，计1分； 2.提供信息技术服务管理体系认证ISO20000证书的，计1分； 3.提供与本次建设内容相关的软件著作权登记证书。每提供1个计1分，最多3分。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供应商提供针对驻场运维服务、系统日常维护、信息系统安全服务等内容的具体实施措施及服务响应时间承诺。 1.服务承诺内容详尽，切合实际，完全满足项目需求，计6分； 2.服务承诺内容全面、针对性一般、基本可行，计3分； 3.服务承诺内容简单，不切合实际，计1分；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应用保障</w:t>
            </w:r>
          </w:p>
        </w:tc>
        <w:tc>
          <w:tcPr>
            <w:tcW w:type="dxa" w:w="2492"/>
          </w:tcPr>
          <w:p>
            <w:pPr>
              <w:pStyle w:val="null3"/>
            </w:pPr>
            <w:r>
              <w:rPr>
                <w:rFonts w:ascii="仿宋_GB2312" w:hAnsi="仿宋_GB2312" w:cs="仿宋_GB2312" w:eastAsia="仿宋_GB2312"/>
              </w:rPr>
              <w:t>供应商对于应用系统所使用的虚拟化资源，能够采用成熟可靠的监测手段，及时准确的获取资源运行情况，对关键监控项要有科学的阈值设置，能有效告警及处置，保障应用系统安全稳定的运行。 1.方案详细、完整、可行，完全满足项目需求，计5分； 2.方案基本详细完整，满足项目需求，计3分； 3.方案有所欠缺，可行性低，计1分；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应急服务 方案</w:t>
            </w:r>
          </w:p>
        </w:tc>
        <w:tc>
          <w:tcPr>
            <w:tcW w:type="dxa" w:w="2492"/>
          </w:tcPr>
          <w:p>
            <w:pPr>
              <w:pStyle w:val="null3"/>
            </w:pPr>
            <w:r>
              <w:rPr>
                <w:rFonts w:ascii="仿宋_GB2312" w:hAnsi="仿宋_GB2312" w:cs="仿宋_GB2312" w:eastAsia="仿宋_GB2312"/>
              </w:rPr>
              <w:t>供应商应具备7*24小时的应急现场支持服务能力，建立系统性的故障处理机制，同时针对突发和应急事件，提供完整有效的处置方案。 1.方案详细、完整、可行，完全满足项目需求，计6分； 2.方案基本详细完整，满足项目需求，计3分； 3.方案有所欠缺，可行性低，计1分；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供应商针对项目的顺利实施，提供具体、可行的合理化建议。 1、内容合理全面、可行性强，计5分； 2、内容完整、基本可行，计3分； 3、内容简单、不切合实际，计1分；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供应商针对本项目有具体可行的培训方案、计划和措施。 1.方案内容详尽，切合实际，完全满足项目需求，计5分； 2.方案内容全面、针对性一般、基本可行，计3分； 3.方案内容简单，不切合实际，计1分；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供应商提供2022年1月1日至今（以合同签订时间为准）类似项目业绩，每提供一个计1分，满分3分。 注：以响应文件中提供的合同扫描件并加盖公章为准。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