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版本号：SDZC2025-03520250325001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“两房”建设项目专业用房装修设计服务项目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SDZC2025-035</w:t>
      </w:r>
      <w:r>
        <w:br/>
      </w:r>
      <w:r>
        <w:br/>
      </w:r>
      <w:r>
        <w:br/>
      </w:r>
    </w:p>
    <w:p>
      <w:pPr>
        <w:pStyle w:val="null3"/>
        <w:jc w:val="center"/>
        <w:outlineLvl w:val="2"/>
      </w:pPr>
      <w:r>
        <w:rPr>
          <w:rFonts w:ascii="仿宋_GB2312" w:hAnsi="仿宋_GB2312" w:cs="仿宋_GB2312" w:eastAsia="仿宋_GB2312"/>
          <w:sz w:val="28"/>
          <w:b/>
        </w:rPr>
        <w:t>安康铁路运输检察院</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安康铁路运输检察院</w:t>
      </w:r>
      <w:r>
        <w:rPr>
          <w:rFonts w:ascii="仿宋_GB2312" w:hAnsi="仿宋_GB2312" w:cs="仿宋_GB2312" w:eastAsia="仿宋_GB2312"/>
        </w:rPr>
        <w:t>委托，拟对</w:t>
      </w:r>
      <w:r>
        <w:rPr>
          <w:rFonts w:ascii="仿宋_GB2312" w:hAnsi="仿宋_GB2312" w:cs="仿宋_GB2312" w:eastAsia="仿宋_GB2312"/>
        </w:rPr>
        <w:t>“两房”建设项目专业用房装修设计服务项目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SDZC2025-035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“两房”建设项目专业用房装修设计服务项目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“两房”建设项目专业用房装修设计服务项目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采购包1（“两房”建设项目专业用房装修设计服务项目）：属于专门面向中小企业采购。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1、提供供应商合法注册的法人或者其他组织的营业执照等证明文件、自然人的身份证明：提供供应商合法注册的法人或者其他组织的营业执照等证明文件、自然人的身份证明。</w:t>
      </w:r>
    </w:p>
    <w:p>
      <w:pPr>
        <w:pStyle w:val="null3"/>
      </w:pPr>
      <w:r>
        <w:rPr>
          <w:rFonts w:ascii="仿宋_GB2312" w:hAnsi="仿宋_GB2312" w:cs="仿宋_GB2312" w:eastAsia="仿宋_GB2312"/>
        </w:rPr>
        <w:t>2、财务状况报告：财务状况报告：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资质证书：供应商需具备工程设计综合资质甲级资质或建筑行业工程设计乙级及以上或建筑行业（建筑工程）乙级及以上资质，或建筑装饰工程设计专项资质乙级，并在人员、设备、资金等方面具备相应的能力（提供说明或承诺）。</w:t>
      </w:r>
    </w:p>
    <w:p>
      <w:pPr>
        <w:pStyle w:val="null3"/>
      </w:pPr>
      <w:r>
        <w:rPr>
          <w:rFonts w:ascii="仿宋_GB2312" w:hAnsi="仿宋_GB2312" w:cs="仿宋_GB2312" w:eastAsia="仿宋_GB2312"/>
        </w:rPr>
        <w:t>9、拟派设计负责人：供应商拟派设计负责人具备注册建筑师二级执业资格且在本单位注册。</w:t>
      </w:r>
    </w:p>
    <w:p>
      <w:pPr>
        <w:pStyle w:val="null3"/>
      </w:pPr>
      <w:r>
        <w:rPr>
          <w:rFonts w:ascii="仿宋_GB2312" w:hAnsi="仿宋_GB2312" w:cs="仿宋_GB2312" w:eastAsia="仿宋_GB2312"/>
        </w:rPr>
        <w:t>10、投标保证金交纳凭证或担保函：投标保证金交纳凭证或担保函；（投标保证交纳金凭证为银行凭证及基本账户证明资料，担保函为财政部门认可的政府采购信用担保机构出具）。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11、信用查询：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12、控股关系查询或声明：控股关系查询或声明：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安康铁路运输检察院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陕西省安康市汉滨区江北大道80号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725000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曾进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0915-2222758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赵倩茹（09号工位）、杨宗峰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029-86673953/86518381/89299829/89293231转8009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开户名称：陕西上德招标有限公司</w:t>
            </w:r>
          </w:p>
          <w:p>
            <w:pPr>
              <w:pStyle w:val="null3"/>
            </w:pPr>
            <w:r>
              <w:rPr>
                <w:rFonts w:ascii="仿宋_GB2312" w:hAnsi="仿宋_GB2312" w:cs="仿宋_GB2312" w:eastAsia="仿宋_GB2312"/>
              </w:rPr>
              <w:t>开户银行：西安银行股份有限公司文景路支行</w:t>
            </w:r>
          </w:p>
          <w:p>
            <w:pPr>
              <w:pStyle w:val="null3"/>
            </w:pPr>
            <w:r>
              <w:rPr>
                <w:rFonts w:ascii="仿宋_GB2312" w:hAnsi="仿宋_GB2312" w:cs="仿宋_GB2312" w:eastAsia="仿宋_GB2312"/>
              </w:rPr>
              <w:t>银行账号：707011510000013522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代理服务费收费标准：定额收取：3000.00元（叁仟元整）</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安康铁路运输检察院</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安康铁路运输检察院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安康铁路运输检察院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设计交付后，由采购方、使用单位组织项目相关人员按照国家行业规范标准和文献资料进行审核、考评。</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联系人：赵倩茹（09工位）、杨宗峰</w:t>
      </w:r>
    </w:p>
    <w:p>
      <w:pPr>
        <w:pStyle w:val="null3"/>
      </w:pPr>
      <w:r>
        <w:rPr>
          <w:rFonts w:ascii="仿宋_GB2312" w:hAnsi="仿宋_GB2312" w:cs="仿宋_GB2312" w:eastAsia="仿宋_GB2312"/>
        </w:rPr>
        <w:t>联系电话：029-86673953/86518381/89299829/89293231转8009</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“两房”建设项目专业用房装修设计服务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"两房"建设项目专业用房装修设计服务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标的名称："两房"建设项目专业用房装修设计服务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4"/>
                <w:b/>
                <w:color w:val="000000"/>
              </w:rPr>
              <w:t>一、设计工作概要</w:t>
            </w:r>
          </w:p>
          <w:p>
            <w:pPr>
              <w:pStyle w:val="null3"/>
              <w:ind w:firstLine="480"/>
              <w:jc w:val="both"/>
            </w:pPr>
            <w:r>
              <w:rPr>
                <w:rFonts w:ascii="仿宋_GB2312" w:hAnsi="仿宋_GB2312" w:cs="仿宋_GB2312" w:eastAsia="仿宋_GB2312"/>
                <w:sz w:val="24"/>
                <w:color w:val="000000"/>
              </w:rPr>
              <w:t>1、按照现行国家技术规程、地方标准和</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规程等进行设计。</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、设计文件应体现检察机关的庄重与形象，结合现代科技与绿色节能理念，打造智能化、生态化的办案工作环境。</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、保证各设计阶段设计文件的质量和完整性，满足各项报批、办证等要求。</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、设计文件应满足工程施工、主要设备材料采购等需要。</w:t>
            </w:r>
          </w:p>
          <w:p>
            <w:pPr>
              <w:pStyle w:val="null3"/>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、解决项目施工过程中有关设计问题、完成修改变更设计工作。</w:t>
            </w:r>
          </w:p>
          <w:p>
            <w:pPr>
              <w:pStyle w:val="null3"/>
              <w:ind w:firstLine="48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、参加项目设计技术交底、施工各阶段及竣工验收等工作。</w:t>
            </w:r>
          </w:p>
          <w:p>
            <w:pPr>
              <w:pStyle w:val="null3"/>
              <w:ind w:firstLine="480"/>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、参加协助各阶段项目报批工作。</w:t>
            </w:r>
          </w:p>
          <w:p>
            <w:pPr>
              <w:pStyle w:val="null3"/>
              <w:ind w:firstLine="480"/>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、按时参与建设单位举行的各阶段设计讨论及施工协调工作会。</w:t>
            </w:r>
          </w:p>
          <w:p>
            <w:pPr>
              <w:pStyle w:val="null3"/>
              <w:jc w:val="both"/>
            </w:pPr>
            <w:r>
              <w:rPr>
                <w:rFonts w:ascii="仿宋_GB2312" w:hAnsi="仿宋_GB2312" w:cs="仿宋_GB2312" w:eastAsia="仿宋_GB2312"/>
                <w:sz w:val="24"/>
                <w:b/>
                <w:color w:val="000000"/>
              </w:rPr>
              <w:t>二、设计工作范围、内容及深度要求</w:t>
            </w:r>
          </w:p>
          <w:p>
            <w:pPr>
              <w:pStyle w:val="null3"/>
              <w:ind w:firstLine="480"/>
              <w:jc w:val="both"/>
            </w:pPr>
            <w:r>
              <w:rPr>
                <w:rFonts w:ascii="仿宋_GB2312" w:hAnsi="仿宋_GB2312" w:cs="仿宋_GB2312" w:eastAsia="仿宋_GB2312"/>
                <w:sz w:val="24"/>
                <w:color w:val="000000"/>
              </w:rPr>
              <w:t>1、设计范围为陕西省秦岭南麓地区人民检察院</w:t>
            </w:r>
            <w:r>
              <w:rPr>
                <w:rFonts w:ascii="仿宋_GB2312" w:hAnsi="仿宋_GB2312" w:cs="仿宋_GB2312" w:eastAsia="仿宋_GB2312"/>
                <w:sz w:val="24"/>
                <w:color w:val="000000"/>
              </w:rPr>
              <w:t>办案和专业技术用房</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重点内容包括：一楼大厅、</w:t>
            </w:r>
            <w:r>
              <w:rPr>
                <w:rFonts w:ascii="仿宋_GB2312" w:hAnsi="仿宋_GB2312" w:cs="仿宋_GB2312" w:eastAsia="仿宋_GB2312"/>
                <w:sz w:val="24"/>
                <w:color w:val="000000"/>
              </w:rPr>
              <w:t>12309</w:t>
            </w:r>
            <w:r>
              <w:rPr>
                <w:rFonts w:ascii="仿宋_GB2312" w:hAnsi="仿宋_GB2312" w:cs="仿宋_GB2312" w:eastAsia="仿宋_GB2312"/>
                <w:sz w:val="24"/>
                <w:color w:val="000000"/>
              </w:rPr>
              <w:t>检察服务中心、案件管理中心、指挥中心、检委会联系会议室、办案工作区（设置讯问室、询问室、控制室）等专业用房区域，及相关</w:t>
            </w:r>
            <w:r>
              <w:rPr>
                <w:rFonts w:ascii="仿宋_GB2312" w:hAnsi="仿宋_GB2312" w:cs="仿宋_GB2312" w:eastAsia="仿宋_GB2312"/>
                <w:sz w:val="24"/>
                <w:color w:val="000000"/>
              </w:rPr>
              <w:t>“两房”公区范围。</w:t>
            </w:r>
          </w:p>
          <w:p>
            <w:pPr>
              <w:pStyle w:val="null3"/>
              <w:ind w:firstLine="480"/>
              <w:jc w:val="both"/>
            </w:pPr>
            <w:r>
              <w:rPr>
                <w:rFonts w:ascii="仿宋_GB2312" w:hAnsi="仿宋_GB2312" w:cs="仿宋_GB2312" w:eastAsia="仿宋_GB2312"/>
                <w:sz w:val="24"/>
                <w:color w:val="000000"/>
              </w:rPr>
              <w:t>2、设计工作包括本设计范围内的所有建筑和构筑物的装修设计。</w:t>
            </w:r>
          </w:p>
          <w:p>
            <w:pPr>
              <w:pStyle w:val="null3"/>
              <w:ind w:firstLine="480"/>
              <w:jc w:val="both"/>
            </w:pPr>
            <w:r>
              <w:rPr>
                <w:rFonts w:ascii="仿宋_GB2312" w:hAnsi="仿宋_GB2312" w:cs="仿宋_GB2312" w:eastAsia="仿宋_GB2312"/>
                <w:sz w:val="24"/>
                <w:color w:val="000000"/>
              </w:rPr>
              <w:t>3、应完成设计阶段工作：</w:t>
            </w:r>
          </w:p>
          <w:p>
            <w:pPr>
              <w:pStyle w:val="null3"/>
              <w:ind w:firstLine="480"/>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（一）初步设计阶段（方案概念设计）</w:t>
            </w:r>
            <w:r>
              <w:rPr>
                <w:rFonts w:ascii="仿宋_GB2312" w:hAnsi="仿宋_GB2312" w:cs="仿宋_GB2312" w:eastAsia="仿宋_GB2312"/>
                <w:sz w:val="24"/>
                <w:color w:val="000000"/>
              </w:rPr>
              <w:t xml:space="preserve"> </w:t>
            </w:r>
          </w:p>
          <w:p>
            <w:pPr>
              <w:pStyle w:val="null3"/>
              <w:ind w:firstLine="480"/>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１、平面布置图</w:t>
            </w:r>
            <w:r>
              <w:rPr>
                <w:rFonts w:ascii="仿宋_GB2312" w:hAnsi="仿宋_GB2312" w:cs="仿宋_GB2312" w:eastAsia="仿宋_GB2312"/>
                <w:sz w:val="24"/>
                <w:color w:val="000000"/>
              </w:rPr>
              <w:t xml:space="preserve"> </w:t>
            </w:r>
          </w:p>
          <w:p>
            <w:pPr>
              <w:pStyle w:val="null3"/>
              <w:ind w:firstLine="480"/>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２、彩色方案效果图</w:t>
            </w:r>
            <w:r>
              <w:rPr>
                <w:rFonts w:ascii="仿宋_GB2312" w:hAnsi="仿宋_GB2312" w:cs="仿宋_GB2312" w:eastAsia="仿宋_GB2312"/>
                <w:sz w:val="24"/>
                <w:color w:val="000000"/>
              </w:rPr>
              <w:t xml:space="preserve"> </w:t>
            </w:r>
          </w:p>
          <w:p>
            <w:pPr>
              <w:pStyle w:val="null3"/>
              <w:ind w:firstLine="480"/>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３、总体设计说明</w:t>
            </w:r>
            <w:r>
              <w:rPr>
                <w:rFonts w:ascii="仿宋_GB2312" w:hAnsi="仿宋_GB2312" w:cs="仿宋_GB2312" w:eastAsia="仿宋_GB2312"/>
                <w:sz w:val="24"/>
                <w:color w:val="000000"/>
              </w:rPr>
              <w:t xml:space="preserve"> </w:t>
            </w:r>
          </w:p>
          <w:p>
            <w:pPr>
              <w:pStyle w:val="null3"/>
              <w:ind w:firstLine="480"/>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４、主要设计说明</w:t>
            </w:r>
            <w:r>
              <w:rPr>
                <w:rFonts w:ascii="仿宋_GB2312" w:hAnsi="仿宋_GB2312" w:cs="仿宋_GB2312" w:eastAsia="仿宋_GB2312"/>
                <w:sz w:val="24"/>
                <w:color w:val="000000"/>
              </w:rPr>
              <w:t xml:space="preserve"> </w:t>
            </w:r>
          </w:p>
          <w:p>
            <w:pPr>
              <w:pStyle w:val="null3"/>
              <w:ind w:firstLine="480"/>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（二）扩初设计阶段（方案深化设计）</w:t>
            </w:r>
            <w:r>
              <w:rPr>
                <w:rFonts w:ascii="仿宋_GB2312" w:hAnsi="仿宋_GB2312" w:cs="仿宋_GB2312" w:eastAsia="仿宋_GB2312"/>
                <w:sz w:val="24"/>
                <w:color w:val="000000"/>
              </w:rPr>
              <w:t xml:space="preserve"> </w:t>
            </w:r>
          </w:p>
          <w:p>
            <w:pPr>
              <w:pStyle w:val="null3"/>
              <w:ind w:firstLine="480"/>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１、平面布置／局部平面图</w:t>
            </w:r>
            <w:r>
              <w:rPr>
                <w:rFonts w:ascii="仿宋_GB2312" w:hAnsi="仿宋_GB2312" w:cs="仿宋_GB2312" w:eastAsia="仿宋_GB2312"/>
                <w:sz w:val="24"/>
                <w:color w:val="000000"/>
              </w:rPr>
              <w:t xml:space="preserve"> </w:t>
            </w:r>
          </w:p>
          <w:p>
            <w:pPr>
              <w:pStyle w:val="null3"/>
              <w:ind w:firstLine="480"/>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２、天花布置／照明平面布置图</w:t>
            </w:r>
            <w:r>
              <w:rPr>
                <w:rFonts w:ascii="仿宋_GB2312" w:hAnsi="仿宋_GB2312" w:cs="仿宋_GB2312" w:eastAsia="仿宋_GB2312"/>
                <w:sz w:val="24"/>
                <w:color w:val="000000"/>
              </w:rPr>
              <w:t xml:space="preserve"> </w:t>
            </w:r>
          </w:p>
          <w:p>
            <w:pPr>
              <w:pStyle w:val="null3"/>
              <w:ind w:firstLine="480"/>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４、立体图</w:t>
            </w:r>
            <w:r>
              <w:rPr>
                <w:rFonts w:ascii="仿宋_GB2312" w:hAnsi="仿宋_GB2312" w:cs="仿宋_GB2312" w:eastAsia="仿宋_GB2312"/>
                <w:sz w:val="24"/>
                <w:color w:val="000000"/>
              </w:rPr>
              <w:t xml:space="preserve"> </w:t>
            </w:r>
          </w:p>
          <w:p>
            <w:pPr>
              <w:pStyle w:val="null3"/>
              <w:ind w:firstLine="480"/>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５、设计说明</w:t>
            </w:r>
            <w:r>
              <w:rPr>
                <w:rFonts w:ascii="仿宋_GB2312" w:hAnsi="仿宋_GB2312" w:cs="仿宋_GB2312" w:eastAsia="仿宋_GB2312"/>
                <w:sz w:val="24"/>
                <w:color w:val="000000"/>
              </w:rPr>
              <w:t xml:space="preserve"> </w:t>
            </w:r>
          </w:p>
          <w:p>
            <w:pPr>
              <w:pStyle w:val="null3"/>
              <w:ind w:firstLine="480"/>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（三）施工图设计阶段</w:t>
            </w:r>
            <w:r>
              <w:rPr>
                <w:rFonts w:ascii="仿宋_GB2312" w:hAnsi="仿宋_GB2312" w:cs="仿宋_GB2312" w:eastAsia="仿宋_GB2312"/>
                <w:sz w:val="24"/>
                <w:color w:val="000000"/>
              </w:rPr>
              <w:t xml:space="preserve"> </w:t>
            </w:r>
          </w:p>
          <w:p>
            <w:pPr>
              <w:pStyle w:val="null3"/>
              <w:ind w:firstLine="480"/>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１、设计说明</w:t>
            </w:r>
            <w:r>
              <w:rPr>
                <w:rFonts w:ascii="仿宋_GB2312" w:hAnsi="仿宋_GB2312" w:cs="仿宋_GB2312" w:eastAsia="仿宋_GB2312"/>
                <w:sz w:val="24"/>
                <w:color w:val="000000"/>
              </w:rPr>
              <w:t xml:space="preserve"> </w:t>
            </w:r>
          </w:p>
          <w:p>
            <w:pPr>
              <w:pStyle w:val="null3"/>
              <w:ind w:firstLine="480"/>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２、材料表、门表、灯具表、家具表</w:t>
            </w:r>
            <w:r>
              <w:rPr>
                <w:rFonts w:ascii="仿宋_GB2312" w:hAnsi="仿宋_GB2312" w:cs="仿宋_GB2312" w:eastAsia="仿宋_GB2312"/>
                <w:sz w:val="24"/>
                <w:color w:val="000000"/>
              </w:rPr>
              <w:t xml:space="preserve"> </w:t>
            </w:r>
          </w:p>
          <w:p>
            <w:pPr>
              <w:pStyle w:val="null3"/>
              <w:ind w:firstLine="480"/>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３、平面布置图</w:t>
            </w:r>
            <w:r>
              <w:rPr>
                <w:rFonts w:ascii="仿宋_GB2312" w:hAnsi="仿宋_GB2312" w:cs="仿宋_GB2312" w:eastAsia="仿宋_GB2312"/>
                <w:sz w:val="24"/>
                <w:color w:val="000000"/>
              </w:rPr>
              <w:t xml:space="preserve"> </w:t>
            </w:r>
          </w:p>
          <w:p>
            <w:pPr>
              <w:pStyle w:val="null3"/>
              <w:ind w:firstLine="480"/>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４、地面拼花图</w:t>
            </w:r>
            <w:r>
              <w:rPr>
                <w:rFonts w:ascii="仿宋_GB2312" w:hAnsi="仿宋_GB2312" w:cs="仿宋_GB2312" w:eastAsia="仿宋_GB2312"/>
                <w:sz w:val="24"/>
                <w:color w:val="000000"/>
              </w:rPr>
              <w:t xml:space="preserve"> </w:t>
            </w:r>
          </w:p>
          <w:p>
            <w:pPr>
              <w:pStyle w:val="null3"/>
              <w:ind w:firstLine="480"/>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５、天花布置／照明平面布置图</w:t>
            </w:r>
            <w:r>
              <w:rPr>
                <w:rFonts w:ascii="仿宋_GB2312" w:hAnsi="仿宋_GB2312" w:cs="仿宋_GB2312" w:eastAsia="仿宋_GB2312"/>
                <w:sz w:val="24"/>
                <w:color w:val="000000"/>
              </w:rPr>
              <w:t xml:space="preserve"> </w:t>
            </w:r>
          </w:p>
          <w:p>
            <w:pPr>
              <w:pStyle w:val="null3"/>
              <w:ind w:firstLine="480"/>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６、剖面图</w:t>
            </w:r>
            <w:r>
              <w:rPr>
                <w:rFonts w:ascii="仿宋_GB2312" w:hAnsi="仿宋_GB2312" w:cs="仿宋_GB2312" w:eastAsia="仿宋_GB2312"/>
                <w:sz w:val="24"/>
                <w:color w:val="000000"/>
              </w:rPr>
              <w:t xml:space="preserve"> </w:t>
            </w:r>
          </w:p>
          <w:p>
            <w:pPr>
              <w:pStyle w:val="null3"/>
              <w:ind w:firstLine="480"/>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７、主要施工节点大样图</w:t>
            </w:r>
            <w:r>
              <w:rPr>
                <w:rFonts w:ascii="仿宋_GB2312" w:hAnsi="仿宋_GB2312" w:cs="仿宋_GB2312" w:eastAsia="仿宋_GB2312"/>
                <w:sz w:val="24"/>
                <w:color w:val="000000"/>
              </w:rPr>
              <w:t xml:space="preserve"> </w:t>
            </w:r>
          </w:p>
          <w:p>
            <w:pPr>
              <w:pStyle w:val="null3"/>
              <w:ind w:firstLine="480"/>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８、照明线路平面布置图／系统图</w:t>
            </w:r>
            <w:r>
              <w:rPr>
                <w:rFonts w:ascii="仿宋_GB2312" w:hAnsi="仿宋_GB2312" w:cs="仿宋_GB2312" w:eastAsia="仿宋_GB2312"/>
                <w:sz w:val="24"/>
                <w:color w:val="000000"/>
              </w:rPr>
              <w:t xml:space="preserve"> </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4"/>
              </w:rPr>
              <w:t>９、插座线路／系统图</w:t>
            </w:r>
            <w:r>
              <w:rPr>
                <w:rFonts w:ascii="仿宋_GB2312" w:hAnsi="仿宋_GB2312" w:cs="仿宋_GB2312" w:eastAsia="仿宋_GB2312"/>
                <w:sz w:val="24"/>
                <w:color w:val="FF0000"/>
              </w:rPr>
              <w:t xml:space="preserve"> </w:t>
            </w:r>
          </w:p>
          <w:p>
            <w:pPr>
              <w:pStyle w:val="null3"/>
              <w:ind w:firstLine="480"/>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１０、空调平面布置／系统图</w:t>
            </w:r>
            <w:r>
              <w:rPr>
                <w:rFonts w:ascii="仿宋_GB2312" w:hAnsi="仿宋_GB2312" w:cs="仿宋_GB2312" w:eastAsia="仿宋_GB2312"/>
                <w:sz w:val="24"/>
                <w:color w:val="000000"/>
              </w:rPr>
              <w:t xml:space="preserve"> </w:t>
            </w:r>
          </w:p>
          <w:p>
            <w:pPr>
              <w:pStyle w:val="null3"/>
              <w:ind w:firstLine="480"/>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１１、给排水平面布置／系统图</w:t>
            </w:r>
            <w:r>
              <w:rPr>
                <w:rFonts w:ascii="仿宋_GB2312" w:hAnsi="仿宋_GB2312" w:cs="仿宋_GB2312" w:eastAsia="仿宋_GB2312"/>
                <w:sz w:val="24"/>
                <w:color w:val="000000"/>
              </w:rPr>
              <w:t xml:space="preserve"> </w:t>
            </w:r>
          </w:p>
          <w:p>
            <w:pPr>
              <w:pStyle w:val="null3"/>
              <w:ind w:firstLine="480"/>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１２、主材料样板</w:t>
            </w:r>
            <w:r>
              <w:rPr>
                <w:rFonts w:ascii="仿宋_GB2312" w:hAnsi="仿宋_GB2312" w:cs="仿宋_GB2312" w:eastAsia="仿宋_GB2312"/>
                <w:sz w:val="24"/>
                <w:color w:val="000000"/>
              </w:rPr>
              <w:t xml:space="preserve"> </w:t>
            </w:r>
          </w:p>
          <w:p>
            <w:pPr>
              <w:pStyle w:val="null3"/>
              <w:ind w:firstLine="720"/>
              <w:jc w:val="both"/>
            </w:pPr>
            <w:r>
              <w:rPr>
                <w:rFonts w:ascii="仿宋_GB2312" w:hAnsi="仿宋_GB2312" w:cs="仿宋_GB2312" w:eastAsia="仿宋_GB2312"/>
                <w:sz w:val="24"/>
                <w:color w:val="000000"/>
              </w:rPr>
              <w:t>１</w:t>
            </w:r>
            <w:r>
              <w:rPr>
                <w:rFonts w:ascii="仿宋_GB2312" w:hAnsi="仿宋_GB2312" w:cs="仿宋_GB2312" w:eastAsia="仿宋_GB2312"/>
                <w:sz w:val="24"/>
                <w:color w:val="000000"/>
              </w:rPr>
              <w:t>3</w:t>
            </w:r>
            <w:r>
              <w:rPr>
                <w:rFonts w:ascii="仿宋_GB2312" w:hAnsi="仿宋_GB2312" w:cs="仿宋_GB2312" w:eastAsia="仿宋_GB2312"/>
                <w:sz w:val="24"/>
                <w:color w:val="000000"/>
              </w:rPr>
              <w:t>、施工图设计内容、深度，按建设部《建筑工程设计文件编制深度规定》</w:t>
            </w:r>
            <w:r>
              <w:rPr>
                <w:rFonts w:ascii="仿宋_GB2312" w:hAnsi="仿宋_GB2312" w:cs="仿宋_GB2312" w:eastAsia="仿宋_GB2312"/>
                <w:sz w:val="24"/>
                <w:color w:val="000000"/>
              </w:rPr>
              <w:t>2008年标准执行。</w:t>
            </w:r>
          </w:p>
          <w:p>
            <w:pPr>
              <w:pStyle w:val="null3"/>
              <w:jc w:val="both"/>
            </w:pP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设计完成资料提交</w:t>
            </w:r>
          </w:p>
          <w:p>
            <w:pPr>
              <w:pStyle w:val="null3"/>
              <w:ind w:firstLine="480"/>
              <w:jc w:val="both"/>
            </w:pPr>
            <w:r>
              <w:rPr>
                <w:rFonts w:ascii="仿宋_GB2312" w:hAnsi="仿宋_GB2312" w:cs="仿宋_GB2312" w:eastAsia="仿宋_GB2312"/>
                <w:sz w:val="24"/>
                <w:color w:val="000000"/>
              </w:rPr>
              <w:t>单体设计完成时，需提供</w:t>
            </w:r>
            <w:r>
              <w:rPr>
                <w:rFonts w:ascii="仿宋_GB2312" w:hAnsi="仿宋_GB2312" w:cs="仿宋_GB2312" w:eastAsia="仿宋_GB2312"/>
                <w:sz w:val="24"/>
                <w:color w:val="000000"/>
              </w:rPr>
              <w:t>各专业用房及公区的平面图、效果图、施工图，</w:t>
            </w:r>
            <w:r>
              <w:rPr>
                <w:rFonts w:ascii="仿宋_GB2312" w:hAnsi="仿宋_GB2312" w:cs="仿宋_GB2312" w:eastAsia="仿宋_GB2312"/>
                <w:sz w:val="24"/>
                <w:color w:val="000000"/>
              </w:rPr>
              <w:t>提供的数量</w:t>
            </w:r>
            <w:r>
              <w:rPr>
                <w:rFonts w:ascii="仿宋_GB2312" w:hAnsi="仿宋_GB2312" w:cs="仿宋_GB2312" w:eastAsia="仿宋_GB2312"/>
                <w:sz w:val="24"/>
                <w:color w:val="000000"/>
              </w:rPr>
              <w:t>、</w:t>
            </w:r>
            <w:r>
              <w:rPr>
                <w:rFonts w:ascii="仿宋_GB2312" w:hAnsi="仿宋_GB2312" w:cs="仿宋_GB2312" w:eastAsia="仿宋_GB2312"/>
                <w:sz w:val="24"/>
                <w:color w:val="000000"/>
              </w:rPr>
              <w:t>深度能够</w:t>
            </w:r>
            <w:r>
              <w:rPr>
                <w:rFonts w:ascii="仿宋_GB2312" w:hAnsi="仿宋_GB2312" w:cs="仿宋_GB2312" w:eastAsia="仿宋_GB2312"/>
                <w:sz w:val="24"/>
                <w:color w:val="000000"/>
              </w:rPr>
              <w:t>满足装修施工要求</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成交单位应无条件地按照采购人的审查意见对其所提交的报告及方案设计编制要点做进一步的修改和完善，不得拒绝。</w:t>
            </w:r>
            <w:r>
              <w:rPr>
                <w:rFonts w:ascii="仿宋_GB2312" w:hAnsi="仿宋_GB2312" w:cs="仿宋_GB2312" w:eastAsia="仿宋_GB2312"/>
                <w:sz w:val="24"/>
                <w:color w:val="333333"/>
                <w:shd w:fill="FCFCFC" w:val="clear"/>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根据项目情况合理配置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根据项目情况合理配置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供应商应遵照国家规范规定的技术服务内容及要求作出明确承诺</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合同签订后30个日历日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设计交付后，由采购方、使用单位组织项目相关人员按照国家行业规范标准和文献资料进行审核、考评。</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合同签订后，甲方向乙方支付合同总价款的百分之四十（40%）作为预付款，乙方需提供相关发票、收款依据</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项目验收合格后，甲方向乙方支付剩余百分之六十（60%）的合同价款，乙方需提供相关发票、收款依据</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2.未按合同要求提供服务方案或服务方案质量不能满足采购技术要求，采购人有权终止合同，并对成交单位违约行为进行追究，同时按《中华人民共和国政府采购法》的有关规定进行处罚。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成交人在领取成交通知书时提供一正两副纸质竞争性磋商响应文件，纸质竞争性磋商响应文件采用书籍（胶装）方式装订成册，与电子竞争性磋商响应文件一致的签字、盖章的完整版本。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资格审查证明文件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供应商需在项目电子化交易系统中按要求上传相应证明文件并进行电子签章，比项审查内容与特定资格条件中的“控股关系查询”为同一审查内容。</w:t>
            </w:r>
          </w:p>
        </w:tc>
        <w:tc>
          <w:tcPr>
            <w:tcW w:type="dxa" w:w="1661"/>
          </w:tcPr>
          <w:p>
            <w:pPr>
              <w:pStyle w:val="null3"/>
            </w:pPr>
            <w:r>
              <w:rPr>
                <w:rFonts w:ascii="仿宋_GB2312" w:hAnsi="仿宋_GB2312" w:cs="仿宋_GB2312" w:eastAsia="仿宋_GB2312"/>
              </w:rPr>
              <w:t>资格审查证明文件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资格审查证明文件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提供供应商合法注册的法人或者其他组织的营业执照等证明文件、自然人的身份证明</w:t>
            </w:r>
          </w:p>
        </w:tc>
        <w:tc>
          <w:tcPr>
            <w:tcW w:type="dxa" w:w="3322"/>
          </w:tcPr>
          <w:p>
            <w:pPr>
              <w:pStyle w:val="null3"/>
            </w:pPr>
            <w:r>
              <w:rPr>
                <w:rFonts w:ascii="仿宋_GB2312" w:hAnsi="仿宋_GB2312" w:cs="仿宋_GB2312" w:eastAsia="仿宋_GB2312"/>
              </w:rPr>
              <w:t>提供供应商合法注册的法人或者其他组织的营业执照等证明文件、自然人的身份证明。</w:t>
            </w:r>
          </w:p>
        </w:tc>
        <w:tc>
          <w:tcPr>
            <w:tcW w:type="dxa" w:w="1661"/>
          </w:tcPr>
          <w:p>
            <w:pPr>
              <w:pStyle w:val="null3"/>
            </w:pPr>
            <w:r>
              <w:rPr>
                <w:rFonts w:ascii="仿宋_GB2312" w:hAnsi="仿宋_GB2312" w:cs="仿宋_GB2312" w:eastAsia="仿宋_GB2312"/>
              </w:rPr>
              <w:t>资格审查证明文件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资格审查证明文件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资格审查证明文件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资格审查证明文件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资格审查证明文件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资格审查证明文件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法定代表人授权委托书 资格审查证明文件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需具备工程设计综合资质甲级资质或建筑行业工程设计乙级及以上或建筑行业（建筑工程）乙级及以上资质，或建筑装饰工程设计专项资质乙级，并在人员、设备、资金等方面具备相应的能力（提供说明或承诺）。</w:t>
            </w:r>
          </w:p>
        </w:tc>
        <w:tc>
          <w:tcPr>
            <w:tcW w:type="dxa" w:w="1661"/>
          </w:tcPr>
          <w:p>
            <w:pPr>
              <w:pStyle w:val="null3"/>
            </w:pPr>
            <w:r>
              <w:rPr>
                <w:rFonts w:ascii="仿宋_GB2312" w:hAnsi="仿宋_GB2312" w:cs="仿宋_GB2312" w:eastAsia="仿宋_GB2312"/>
              </w:rPr>
              <w:t>资格审查证明文件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拟派设计负责人</w:t>
            </w:r>
          </w:p>
        </w:tc>
        <w:tc>
          <w:tcPr>
            <w:tcW w:type="dxa" w:w="3322"/>
          </w:tcPr>
          <w:p>
            <w:pPr>
              <w:pStyle w:val="null3"/>
            </w:pPr>
            <w:r>
              <w:rPr>
                <w:rFonts w:ascii="仿宋_GB2312" w:hAnsi="仿宋_GB2312" w:cs="仿宋_GB2312" w:eastAsia="仿宋_GB2312"/>
              </w:rPr>
              <w:t>供应商拟派设计负责人具备注册建筑师二级执业资格且在本单位注册。</w:t>
            </w:r>
          </w:p>
        </w:tc>
        <w:tc>
          <w:tcPr>
            <w:tcW w:type="dxa" w:w="1661"/>
          </w:tcPr>
          <w:p>
            <w:pPr>
              <w:pStyle w:val="null3"/>
            </w:pPr>
            <w:r>
              <w:rPr>
                <w:rFonts w:ascii="仿宋_GB2312" w:hAnsi="仿宋_GB2312" w:cs="仿宋_GB2312" w:eastAsia="仿宋_GB2312"/>
              </w:rPr>
              <w:t>资格审查证明文件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资格审查证明文件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资格审查证明文件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控股关系查询或声明</w:t>
            </w:r>
          </w:p>
        </w:tc>
        <w:tc>
          <w:tcPr>
            <w:tcW w:type="dxa" w:w="3322"/>
          </w:tcPr>
          <w:p>
            <w:pPr>
              <w:pStyle w:val="null3"/>
            </w:pPr>
            <w:r>
              <w:rPr>
                <w:rFonts w:ascii="仿宋_GB2312" w:hAnsi="仿宋_GB2312" w:cs="仿宋_GB2312" w:eastAsia="仿宋_GB2312"/>
              </w:rPr>
              <w:t>控股关系查询或声明：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资格审查证明文件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供应商名称与获取磋商文件的单位名称不一致</w:t>
            </w:r>
          </w:p>
        </w:tc>
        <w:tc>
          <w:tcPr>
            <w:tcW w:type="dxa" w:w="1661"/>
          </w:tcPr>
          <w:p>
            <w:pPr>
              <w:pStyle w:val="null3"/>
            </w:pPr>
            <w:r>
              <w:rPr>
                <w:rFonts w:ascii="仿宋_GB2312" w:hAnsi="仿宋_GB2312" w:cs="仿宋_GB2312" w:eastAsia="仿宋_GB2312"/>
              </w:rPr>
              <w:t>响应文件封面 法定代表人授权委托书 标的清单 拒绝政府采购领域商业贿赂承诺书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除明确允许供应商可以自行编写的外，磋商响应文件未按照磋商文件给定的格式编制；</w:t>
            </w:r>
          </w:p>
        </w:tc>
        <w:tc>
          <w:tcPr>
            <w:tcW w:type="dxa" w:w="1661"/>
          </w:tcPr>
          <w:p>
            <w:pPr>
              <w:pStyle w:val="null3"/>
            </w:pPr>
            <w:r>
              <w:rPr>
                <w:rFonts w:ascii="仿宋_GB2312" w:hAnsi="仿宋_GB2312" w:cs="仿宋_GB2312" w:eastAsia="仿宋_GB2312"/>
              </w:rPr>
              <w:t>服务响应偏离表 响应文件封面 承诺书（格式） 法定代表人授权委托书 残疾人福利性单位声明函 中小企业声明函 标的清单 拒绝政府采购领域商业贿赂承诺书 响应函 监狱企业的证明文件 商务条款响应偏离表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磋商响应文件须按照磋商文件的要求盖章签字</w:t>
            </w:r>
          </w:p>
        </w:tc>
        <w:tc>
          <w:tcPr>
            <w:tcW w:type="dxa" w:w="3322"/>
          </w:tcPr>
          <w:p>
            <w:pPr>
              <w:pStyle w:val="null3"/>
            </w:pPr>
            <w:r>
              <w:rPr>
                <w:rFonts w:ascii="仿宋_GB2312" w:hAnsi="仿宋_GB2312" w:cs="仿宋_GB2312" w:eastAsia="仿宋_GB2312"/>
              </w:rPr>
              <w:t>磋商响应文件是否按照磋商文件的要求盖章签字</w:t>
            </w:r>
          </w:p>
        </w:tc>
        <w:tc>
          <w:tcPr>
            <w:tcW w:type="dxa" w:w="1661"/>
          </w:tcPr>
          <w:p>
            <w:pPr>
              <w:pStyle w:val="null3"/>
            </w:pPr>
            <w:r>
              <w:rPr>
                <w:rFonts w:ascii="仿宋_GB2312" w:hAnsi="仿宋_GB2312" w:cs="仿宋_GB2312" w:eastAsia="仿宋_GB2312"/>
              </w:rPr>
              <w:t>服务响应偏离表 法定代表人授权委托书 合理化建议 进度计划 中小企业声明函 供应商认为有必要说明的事宜（若有） 后续服务的安排及保障措施 拒绝政府采购领域商业贿赂承诺书 项目人员配备 商务条款响应偏离表 响应文件封面 设计进度保证措施 承诺书（格式） 公司业绩 服务承诺 残疾人福利性单位声明函 资格审查证明文件 服务方案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磋商报价不得超过采购预算</w:t>
            </w:r>
          </w:p>
        </w:tc>
        <w:tc>
          <w:tcPr>
            <w:tcW w:type="dxa" w:w="1661"/>
          </w:tcPr>
          <w:p>
            <w:pPr>
              <w:pStyle w:val="null3"/>
            </w:pPr>
            <w:r>
              <w:rPr>
                <w:rFonts w:ascii="仿宋_GB2312" w:hAnsi="仿宋_GB2312" w:cs="仿宋_GB2312" w:eastAsia="仿宋_GB2312"/>
              </w:rPr>
              <w:t>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磋商有效期不符合磋商文件的要求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对磋商文件商务要求须作出明确且实质性响应</w:t>
            </w:r>
          </w:p>
        </w:tc>
        <w:tc>
          <w:tcPr>
            <w:tcW w:type="dxa" w:w="3322"/>
          </w:tcPr>
          <w:p>
            <w:pPr>
              <w:pStyle w:val="null3"/>
            </w:pPr>
            <w:r>
              <w:rPr>
                <w:rFonts w:ascii="仿宋_GB2312" w:hAnsi="仿宋_GB2312" w:cs="仿宋_GB2312" w:eastAsia="仿宋_GB2312"/>
              </w:rPr>
              <w:t>对磋商文件商务要求是否作出明确且实质性响应</w:t>
            </w:r>
          </w:p>
        </w:tc>
        <w:tc>
          <w:tcPr>
            <w:tcW w:type="dxa" w:w="1661"/>
          </w:tcPr>
          <w:p>
            <w:pPr>
              <w:pStyle w:val="null3"/>
            </w:pPr>
            <w:r>
              <w:rPr>
                <w:rFonts w:ascii="仿宋_GB2312" w:hAnsi="仿宋_GB2312" w:cs="仿宋_GB2312" w:eastAsia="仿宋_GB2312"/>
              </w:rPr>
              <w:t>商务条款响应偏离表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对磋商文件服务内容和要求须作出明确响应，对不得偏离的要求须作实质性响应</w:t>
            </w:r>
          </w:p>
        </w:tc>
        <w:tc>
          <w:tcPr>
            <w:tcW w:type="dxa" w:w="3322"/>
          </w:tcPr>
          <w:p>
            <w:pPr>
              <w:pStyle w:val="null3"/>
            </w:pPr>
            <w:r>
              <w:rPr>
                <w:rFonts w:ascii="仿宋_GB2312" w:hAnsi="仿宋_GB2312" w:cs="仿宋_GB2312" w:eastAsia="仿宋_GB2312"/>
              </w:rPr>
              <w:t>对磋商文件服务内容和要求否作出明确响应，对不得偏离的要求是否作了实质性响应</w:t>
            </w:r>
          </w:p>
        </w:tc>
        <w:tc>
          <w:tcPr>
            <w:tcW w:type="dxa" w:w="1661"/>
          </w:tcPr>
          <w:p>
            <w:pPr>
              <w:pStyle w:val="null3"/>
            </w:pPr>
            <w:r>
              <w:rPr>
                <w:rFonts w:ascii="仿宋_GB2312" w:hAnsi="仿宋_GB2312" w:cs="仿宋_GB2312" w:eastAsia="仿宋_GB2312"/>
              </w:rPr>
              <w:t>服务响应偏离表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磋商响应文件是否含有采购人不能接受的附加条件</w:t>
            </w:r>
          </w:p>
        </w:tc>
        <w:tc>
          <w:tcPr>
            <w:tcW w:type="dxa" w:w="3322"/>
          </w:tcPr>
          <w:p>
            <w:pPr>
              <w:pStyle w:val="null3"/>
            </w:pPr>
            <w:r>
              <w:rPr>
                <w:rFonts w:ascii="仿宋_GB2312" w:hAnsi="仿宋_GB2312" w:cs="仿宋_GB2312" w:eastAsia="仿宋_GB2312"/>
              </w:rPr>
              <w:t>磋商响应文件不得含有采购人不能接受的附加条件</w:t>
            </w:r>
          </w:p>
        </w:tc>
        <w:tc>
          <w:tcPr>
            <w:tcW w:type="dxa" w:w="1661"/>
          </w:tcPr>
          <w:p>
            <w:pPr>
              <w:pStyle w:val="null3"/>
            </w:pPr>
            <w:r>
              <w:rPr>
                <w:rFonts w:ascii="仿宋_GB2312" w:hAnsi="仿宋_GB2312" w:cs="仿宋_GB2312" w:eastAsia="仿宋_GB2312"/>
              </w:rPr>
              <w:t>服务响应偏离表 法定代表人授权委托书 合理化建议 进度计划 中小企业声明函 供应商认为有必要说明的事宜（若有） 后续服务的安排及保障措施 拒绝政府采购领域商业贿赂承诺书 项目人员配备 商务条款响应偏离表 响应文件封面 设计进度保证措施 承诺书（格式） 公司业绩 服务承诺 残疾人福利性单位声明函 资格审查证明文件 服务方案 标的清单 响应函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法律、法规和磋商文件规定的其他无效响应情形</w:t>
            </w:r>
          </w:p>
        </w:tc>
        <w:tc>
          <w:tcPr>
            <w:tcW w:type="dxa" w:w="3322"/>
          </w:tcPr>
          <w:p>
            <w:pPr>
              <w:pStyle w:val="null3"/>
            </w:pPr>
            <w:r>
              <w:rPr>
                <w:rFonts w:ascii="仿宋_GB2312" w:hAnsi="仿宋_GB2312" w:cs="仿宋_GB2312" w:eastAsia="仿宋_GB2312"/>
              </w:rPr>
              <w:t>是否有法律、法规和磋商文件规定的其他无效响应情形</w:t>
            </w:r>
          </w:p>
        </w:tc>
        <w:tc>
          <w:tcPr>
            <w:tcW w:type="dxa" w:w="1661"/>
          </w:tcPr>
          <w:p>
            <w:pPr>
              <w:pStyle w:val="null3"/>
            </w:pPr>
            <w:r>
              <w:rPr>
                <w:rFonts w:ascii="仿宋_GB2312" w:hAnsi="仿宋_GB2312" w:cs="仿宋_GB2312" w:eastAsia="仿宋_GB2312"/>
              </w:rPr>
              <w:t>服务响应偏离表 法定代表人授权委托书 合理化建议 进度计划 中小企业声明函 供应商认为有必要说明的事宜（若有） 后续服务的安排及保障措施 拒绝政府采购领域商业贿赂承诺书 项目人员配备 商务条款响应偏离表 响应文件封面 设计进度保证措施 承诺书（格式） 公司业绩 服务承诺 残疾人福利性单位声明函 资格审查证明文件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公司业绩</w:t>
            </w:r>
          </w:p>
        </w:tc>
        <w:tc>
          <w:tcPr>
            <w:tcW w:type="dxa" w:w="2492"/>
          </w:tcPr>
          <w:p>
            <w:pPr>
              <w:pStyle w:val="null3"/>
            </w:pPr>
            <w:r>
              <w:rPr>
                <w:rFonts w:ascii="仿宋_GB2312" w:hAnsi="仿宋_GB2312" w:cs="仿宋_GB2312" w:eastAsia="仿宋_GB2312"/>
              </w:rPr>
              <w:t>供应商2020年01月1日至文件接收截止时间类似业绩，每提供一项计2分，计满10分为止。（业绩证明材料为合同或中标通知书，时间以合同或中标通知书时间为准）。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公司业绩</w:t>
            </w:r>
          </w:p>
        </w:tc>
      </w:tr>
      <w:tr>
        <w:tc>
          <w:tcPr>
            <w:tcW w:type="dxa" w:w="831"/>
            <w:vMerge/>
          </w:tcP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1.设计周期、进度安排及保障措施； ①内容详细，条理性清晰，具有针对性，切合本项目情况，计6分； ②内容完整但条理不清晰的或内容宽泛，计4分； ③只有框架，无实质性内容的或只有简单叙述，计2分； ④未提供相关内容的不计分。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2.设计思路、设计效果把控措施； ①内容详细，条理性清晰，具有针对性，切合本项目情况，计6分； ②内容完整但条理不清晰的或内容宽泛，计4分； ③只有框架，无实质性内容的或只有简单叙述，计2分； ④未提供相关内容的不计分。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服务方案3</w:t>
            </w:r>
          </w:p>
        </w:tc>
        <w:tc>
          <w:tcPr>
            <w:tcW w:type="dxa" w:w="2492"/>
          </w:tcPr>
          <w:p>
            <w:pPr>
              <w:pStyle w:val="null3"/>
            </w:pPr>
            <w:r>
              <w:rPr>
                <w:rFonts w:ascii="仿宋_GB2312" w:hAnsi="仿宋_GB2312" w:cs="仿宋_GB2312" w:eastAsia="仿宋_GB2312"/>
              </w:rPr>
              <w:t>3.设计限额把控、成本控制保证措施； ①内容详细，条理性清晰，具有针对性，切合本项目情况，计6分； ②内容完整但条理不清晰的或内容宽泛，计4分； ③只有框架，无实质性内容的或只有简单叙述，计2分； ④未提供相关内容的不计分。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服务方案4</w:t>
            </w:r>
          </w:p>
        </w:tc>
        <w:tc>
          <w:tcPr>
            <w:tcW w:type="dxa" w:w="2492"/>
          </w:tcPr>
          <w:p>
            <w:pPr>
              <w:pStyle w:val="null3"/>
            </w:pPr>
            <w:r>
              <w:rPr>
                <w:rFonts w:ascii="仿宋_GB2312" w:hAnsi="仿宋_GB2312" w:cs="仿宋_GB2312" w:eastAsia="仿宋_GB2312"/>
              </w:rPr>
              <w:t>4.技术服务保证措施（现场服务、设计变更、手续办理等）； ①内容详细，条理性清晰，具有针对性，切合本项目情况，计6分； ②内容完整但条理不清晰的或内容宽泛，计4分； ③只有框架，无实质性内容的或只有简单叙述，计2分； ④未提供相关内容的不计分。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服务方案5</w:t>
            </w:r>
          </w:p>
        </w:tc>
        <w:tc>
          <w:tcPr>
            <w:tcW w:type="dxa" w:w="2492"/>
          </w:tcPr>
          <w:p>
            <w:pPr>
              <w:pStyle w:val="null3"/>
            </w:pPr>
            <w:r>
              <w:rPr>
                <w:rFonts w:ascii="仿宋_GB2312" w:hAnsi="仿宋_GB2312" w:cs="仿宋_GB2312" w:eastAsia="仿宋_GB2312"/>
              </w:rPr>
              <w:t>5.设计思路与设计理念，总体设计思路清晰、完整、严谨、合理。根据项目实际特点，体现全面性、精细化、创新性，融入环保理念。正确处理创意、功能、美观、经济之间的对立系统关系，充分体现功能第一、适度超前，经济适用，美观大方的要求； ①内容详细，条理性清晰，具有针对性，切合本项目情况，计6分； ②内容完整但条理不清晰的或内容宽泛，计4分； ③只有框架，无实质性内容的或只有简单叙述，计2分； ④未提供相关内容的不计分。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提供时间进度安排详细完善、科学、合理。根据进度保证措施的完善、科学、合理性等方面综合赋分 ①内容详细，条理性清晰，具有针对性，切合本项目情况，计6分； ②内容完整但条理不清晰的或内容宽泛，计4分； ③只有框架，无实质性内容的或只有简单叙述，计2分； ④未提供相关内容的不计分。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进度计划</w:t>
            </w:r>
          </w:p>
        </w:tc>
      </w:tr>
      <w:tr>
        <w:tc>
          <w:tcPr>
            <w:tcW w:type="dxa" w:w="831"/>
            <w:vMerge/>
          </w:tcPr>
          <w:p/>
        </w:tc>
        <w:tc>
          <w:tcPr>
            <w:tcW w:type="dxa" w:w="1661"/>
          </w:tcPr>
          <w:p>
            <w:pPr>
              <w:pStyle w:val="null3"/>
            </w:pPr>
            <w:r>
              <w:rPr>
                <w:rFonts w:ascii="仿宋_GB2312" w:hAnsi="仿宋_GB2312" w:cs="仿宋_GB2312" w:eastAsia="仿宋_GB2312"/>
              </w:rPr>
              <w:t>设计进度保证措施</w:t>
            </w:r>
          </w:p>
        </w:tc>
        <w:tc>
          <w:tcPr>
            <w:tcW w:type="dxa" w:w="2492"/>
          </w:tcPr>
          <w:p>
            <w:pPr>
              <w:pStyle w:val="null3"/>
            </w:pPr>
            <w:r>
              <w:rPr>
                <w:rFonts w:ascii="仿宋_GB2312" w:hAnsi="仿宋_GB2312" w:cs="仿宋_GB2312" w:eastAsia="仿宋_GB2312"/>
              </w:rPr>
              <w:t>对该项目设计各阶段的工作量分析，预计全面，无遗漏，关键线路清晰、准确、完整，计划编制合理、可行合理布置各阶段的工作任务，关键节点的控制措施有力、合理、可行； ①内容详细，条理性清晰，具有针对性，切合本项目情况，计6分； ②内容完整但条理不清晰的或内容宽泛，计4分； ③只有框架，无实质性内容的或只有简单叙述，计2分； ④未提供相关内容的不计分。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设计进度保证措施</w:t>
            </w:r>
          </w:p>
        </w:tc>
      </w:tr>
      <w:tr>
        <w:tc>
          <w:tcPr>
            <w:tcW w:type="dxa" w:w="831"/>
            <w:vMerge/>
          </w:tcPr>
          <w:p/>
        </w:tc>
        <w:tc>
          <w:tcPr>
            <w:tcW w:type="dxa" w:w="1661"/>
          </w:tcPr>
          <w:p>
            <w:pPr>
              <w:pStyle w:val="null3"/>
            </w:pPr>
            <w:r>
              <w:rPr>
                <w:rFonts w:ascii="仿宋_GB2312" w:hAnsi="仿宋_GB2312" w:cs="仿宋_GB2312" w:eastAsia="仿宋_GB2312"/>
              </w:rPr>
              <w:t>项目人员配备1</w:t>
            </w:r>
          </w:p>
        </w:tc>
        <w:tc>
          <w:tcPr>
            <w:tcW w:type="dxa" w:w="2492"/>
          </w:tcPr>
          <w:p>
            <w:pPr>
              <w:pStyle w:val="null3"/>
            </w:pPr>
            <w:r>
              <w:rPr>
                <w:rFonts w:ascii="仿宋_GB2312" w:hAnsi="仿宋_GB2312" w:cs="仿宋_GB2312" w:eastAsia="仿宋_GB2312"/>
              </w:rPr>
              <w:t>1.供应商须提供针对本项目的详细人员配备情况。要求拟派项目成员相关专业人员搭配合理、职能健全，岗位分工明确、职责清晰，包括人员配备情况及水平、人员安排、专业配置、从业经历、参与工作经验等方面，均应满足本项目采购需求。 ①人员配置合理，岗位职责明确，完全满足项目需求且证明资料完整（人员简历表、身份证、相关职业证书）的计6分； ②人员配置合理，岗位职责明确，完全满足项目需求但未提供证明资料的的计4分； ③人员配置不够完整，岗位划分内容缺项的或只有简单概括的，计2分； ④没有提供此项内容的不计分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项目人员配备</w:t>
            </w:r>
          </w:p>
        </w:tc>
      </w:tr>
      <w:tr>
        <w:tc>
          <w:tcPr>
            <w:tcW w:type="dxa" w:w="831"/>
            <w:vMerge/>
          </w:tcPr>
          <w:p/>
        </w:tc>
        <w:tc>
          <w:tcPr>
            <w:tcW w:type="dxa" w:w="1661"/>
          </w:tcPr>
          <w:p>
            <w:pPr>
              <w:pStyle w:val="null3"/>
            </w:pPr>
            <w:r>
              <w:rPr>
                <w:rFonts w:ascii="仿宋_GB2312" w:hAnsi="仿宋_GB2312" w:cs="仿宋_GB2312" w:eastAsia="仿宋_GB2312"/>
              </w:rPr>
              <w:t>项目人员配备2</w:t>
            </w:r>
          </w:p>
        </w:tc>
        <w:tc>
          <w:tcPr>
            <w:tcW w:type="dxa" w:w="2492"/>
          </w:tcPr>
          <w:p>
            <w:pPr>
              <w:pStyle w:val="null3"/>
            </w:pPr>
            <w:r>
              <w:rPr>
                <w:rFonts w:ascii="仿宋_GB2312" w:hAnsi="仿宋_GB2312" w:cs="仿宋_GB2312" w:eastAsia="仿宋_GB2312"/>
              </w:rPr>
              <w:t>2.拟派项目负责人具有近三年（2022年1月1日至今）类似项目业绩，每提供一项计2分，计满6分为止。（业绩证明材料为合同或中标通知书，时间以合同或中标通知书时间为准）。 注：项目负责人业绩不与公司业绩重复计分。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项目人员配备</w:t>
            </w:r>
          </w:p>
        </w:tc>
      </w:tr>
      <w:tr>
        <w:tc>
          <w:tcPr>
            <w:tcW w:type="dxa" w:w="831"/>
            <w:vMerge/>
          </w:tcPr>
          <w:p/>
        </w:tc>
        <w:tc>
          <w:tcPr>
            <w:tcW w:type="dxa" w:w="1661"/>
          </w:tcPr>
          <w:p>
            <w:pPr>
              <w:pStyle w:val="null3"/>
            </w:pPr>
            <w:r>
              <w:rPr>
                <w:rFonts w:ascii="仿宋_GB2312" w:hAnsi="仿宋_GB2312" w:cs="仿宋_GB2312" w:eastAsia="仿宋_GB2312"/>
              </w:rPr>
              <w:t>后续服务的安排及保障措施</w:t>
            </w:r>
          </w:p>
        </w:tc>
        <w:tc>
          <w:tcPr>
            <w:tcW w:type="dxa" w:w="2492"/>
          </w:tcPr>
          <w:p>
            <w:pPr>
              <w:pStyle w:val="null3"/>
            </w:pPr>
            <w:r>
              <w:rPr>
                <w:rFonts w:ascii="仿宋_GB2312" w:hAnsi="仿宋_GB2312" w:cs="仿宋_GB2312" w:eastAsia="仿宋_GB2312"/>
              </w:rPr>
              <w:t>根据各供应商后续服务安排及措施是否提出了具体服务安排及措施、承诺明确、安排在工程施工过程中配合工程实施所派出的设计工程师的人员（职称、专业、数量）等方面综合评审。 ①内容详细，条理性清晰，具有针对性，切合本项目情况，计6分； ②内容完整但条理不清晰的或内容宽泛，计4分； ③只有框架，无实质性内容的或只有简单叙述，计2分； ④未提供相关内容的不计分。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后续服务的安排及保障措施</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供应商应按照磋商文件的要求根据项目的具体特点，对本项目的开展和顺利实施提出切合实际有针对性的合理化建议。 ①内容详细，条理性清晰，具有针对性，切合本项目情况，计5分； ②内容完整但条理不清晰的或内容宽泛，计3分； ③只有框架，无实质性内容的或只有简单叙述，计1分； ④未提供相关内容的不计分。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供应商提供提供切实可行的服务承诺及服务保证措施，解决问题及时. ①内容详细，条理性清晰，具有针对性，切合本项目情况，计5分； ②内容完整但条理不清晰的或内容宽泛，计3分； ③只有框架，无实质性内容的或只有简单叙述，计1分； ④未提供相关内容的不计分。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详见附件：商务条款响应偏离表</w:t>
      </w:r>
    </w:p>
    <w:p>
      <w:pPr>
        <w:pStyle w:val="null3"/>
        <w:ind w:firstLine="960"/>
      </w:pPr>
      <w:r>
        <w:rPr>
          <w:rFonts w:ascii="仿宋_GB2312" w:hAnsi="仿宋_GB2312" w:cs="仿宋_GB2312" w:eastAsia="仿宋_GB2312"/>
        </w:rPr>
        <w:t>详见附件：服务响应偏离表</w:t>
      </w:r>
    </w:p>
    <w:p>
      <w:pPr>
        <w:pStyle w:val="null3"/>
        <w:ind w:firstLine="960"/>
      </w:pPr>
      <w:r>
        <w:rPr>
          <w:rFonts w:ascii="仿宋_GB2312" w:hAnsi="仿宋_GB2312" w:cs="仿宋_GB2312" w:eastAsia="仿宋_GB2312"/>
        </w:rPr>
        <w:t>详见附件：法定代表人授权委托书</w:t>
      </w:r>
    </w:p>
    <w:p>
      <w:pPr>
        <w:pStyle w:val="null3"/>
        <w:ind w:firstLine="960"/>
      </w:pPr>
      <w:r>
        <w:rPr>
          <w:rFonts w:ascii="仿宋_GB2312" w:hAnsi="仿宋_GB2312" w:cs="仿宋_GB2312" w:eastAsia="仿宋_GB2312"/>
        </w:rPr>
        <w:t>详见附件：承诺书（格式）</w:t>
      </w:r>
    </w:p>
    <w:p>
      <w:pPr>
        <w:pStyle w:val="null3"/>
        <w:ind w:firstLine="960"/>
      </w:pPr>
      <w:r>
        <w:rPr>
          <w:rFonts w:ascii="仿宋_GB2312" w:hAnsi="仿宋_GB2312" w:cs="仿宋_GB2312" w:eastAsia="仿宋_GB2312"/>
        </w:rPr>
        <w:t>详见附件：公司业绩</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详见附件：进度计划</w:t>
      </w:r>
    </w:p>
    <w:p>
      <w:pPr>
        <w:pStyle w:val="null3"/>
        <w:ind w:firstLine="960"/>
      </w:pPr>
      <w:r>
        <w:rPr>
          <w:rFonts w:ascii="仿宋_GB2312" w:hAnsi="仿宋_GB2312" w:cs="仿宋_GB2312" w:eastAsia="仿宋_GB2312"/>
        </w:rPr>
        <w:t>详见附件：设计进度保证措施</w:t>
      </w:r>
    </w:p>
    <w:p>
      <w:pPr>
        <w:pStyle w:val="null3"/>
        <w:ind w:firstLine="960"/>
      </w:pPr>
      <w:r>
        <w:rPr>
          <w:rFonts w:ascii="仿宋_GB2312" w:hAnsi="仿宋_GB2312" w:cs="仿宋_GB2312" w:eastAsia="仿宋_GB2312"/>
        </w:rPr>
        <w:t>详见附件：项目人员配备</w:t>
      </w:r>
    </w:p>
    <w:p>
      <w:pPr>
        <w:pStyle w:val="null3"/>
        <w:ind w:firstLine="960"/>
      </w:pPr>
      <w:r>
        <w:rPr>
          <w:rFonts w:ascii="仿宋_GB2312" w:hAnsi="仿宋_GB2312" w:cs="仿宋_GB2312" w:eastAsia="仿宋_GB2312"/>
        </w:rPr>
        <w:t>详见附件：后续服务的安排及保障措施</w:t>
      </w:r>
    </w:p>
    <w:p>
      <w:pPr>
        <w:pStyle w:val="null3"/>
        <w:ind w:firstLine="960"/>
      </w:pPr>
      <w:r>
        <w:rPr>
          <w:rFonts w:ascii="仿宋_GB2312" w:hAnsi="仿宋_GB2312" w:cs="仿宋_GB2312" w:eastAsia="仿宋_GB2312"/>
        </w:rPr>
        <w:t>详见附件：合理化建议</w:t>
      </w:r>
    </w:p>
    <w:p>
      <w:pPr>
        <w:pStyle w:val="null3"/>
        <w:ind w:firstLine="960"/>
      </w:pPr>
      <w:r>
        <w:rPr>
          <w:rFonts w:ascii="仿宋_GB2312" w:hAnsi="仿宋_GB2312" w:cs="仿宋_GB2312" w:eastAsia="仿宋_GB2312"/>
        </w:rPr>
        <w:t>详见附件：服务承诺</w:t>
      </w:r>
    </w:p>
    <w:p>
      <w:pPr>
        <w:pStyle w:val="null3"/>
        <w:ind w:firstLine="960"/>
      </w:pPr>
      <w:r>
        <w:rPr>
          <w:rFonts w:ascii="仿宋_GB2312" w:hAnsi="仿宋_GB2312" w:cs="仿宋_GB2312" w:eastAsia="仿宋_GB2312"/>
        </w:rPr>
        <w:t>详见附件：供应商认为有必要说明的事宜（若有）</w:t>
      </w:r>
    </w:p>
    <w:p>
      <w:pPr>
        <w:pStyle w:val="null3"/>
        <w:ind w:firstLine="960"/>
      </w:pPr>
      <w:r>
        <w:rPr>
          <w:rFonts w:ascii="仿宋_GB2312" w:hAnsi="仿宋_GB2312" w:cs="仿宋_GB2312" w:eastAsia="仿宋_GB2312"/>
        </w:rPr>
        <w:t>详见附件：拒绝政府采购领域商业贿赂承诺书</w:t>
      </w:r>
    </w:p>
    <w:p>
      <w:pPr>
        <w:pStyle w:val="null3"/>
        <w:ind w:firstLine="960"/>
      </w:pPr>
      <w:r>
        <w:rPr>
          <w:rFonts w:ascii="仿宋_GB2312" w:hAnsi="仿宋_GB2312" w:cs="仿宋_GB2312" w:eastAsia="仿宋_GB2312"/>
        </w:rPr>
        <w:t>详见附件：资格审查证明文件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