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版本号：ZSZX-2025-030120250331002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全国12315平台（陕西受理端）维保项目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ZSZX-2025-0301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中陕工程咨询有限公司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中陕工程咨询有限公司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全国12315平台（陕西受理端）维保项目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ZSZX-2025-0301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全国12315平台（陕西受理端）维保项目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全国12315平台（陕西受理端）维保项目，1项，具体内容详见响应文件。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采购包1（全国12315平台(陕西受理端)维保项目）：属于专门面向中小企业采购。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税收缴纳证明：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w:t>
      </w:r>
    </w:p>
    <w:p>
      <w:pPr>
        <w:pStyle w:val="null3"/>
      </w:pPr>
      <w:r>
        <w:rPr>
          <w:rFonts w:ascii="仿宋_GB2312" w:hAnsi="仿宋_GB2312" w:cs="仿宋_GB2312" w:eastAsia="仿宋_GB2312"/>
        </w:rPr>
        <w:t>3、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4、具有履行本合同所必需的设备和专业技术能力：提供具有履行本合同所必需的设备和专业技术能力的声明；</w:t>
      </w:r>
    </w:p>
    <w:p>
      <w:pPr>
        <w:pStyle w:val="null3"/>
      </w:pPr>
      <w:r>
        <w:rPr>
          <w:rFonts w:ascii="仿宋_GB2312" w:hAnsi="仿宋_GB2312" w:cs="仿宋_GB2312" w:eastAsia="仿宋_GB2312"/>
        </w:rPr>
        <w:t>5、信誉要求：参加本次政府采购活动前3年内在经营活动中没有重大违纪，以及未被列入失信被执行人、重大税收违法案件当事人名单、政府采购严重违法失信行为记录名单的书面声明；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财务状况报告：提供会计师事务所出具的有效的2023年度/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7、单位负责人为同一人或者存在直接控股、管理关系的不同供应商不得参加同一合同项下的政府采购活动；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直接控股和直接管理关系清单。若与其他供应商存在单位负责人为同一人或者存在直接控股、管理关系的，则磋商无效。</w:t>
      </w:r>
    </w:p>
    <w:p>
      <w:pPr>
        <w:pStyle w:val="null3"/>
      </w:pPr>
      <w:r>
        <w:rPr>
          <w:rFonts w:ascii="仿宋_GB2312" w:hAnsi="仿宋_GB2312" w:cs="仿宋_GB2312" w:eastAsia="仿宋_GB2312"/>
        </w:rPr>
        <w:t>8、不接受联合体磋商：本项目不接受联合体磋商，不允许分包。供应商应提供《非联合体不分包投标声明》。</w:t>
      </w:r>
    </w:p>
    <w:p>
      <w:pPr>
        <w:pStyle w:val="null3"/>
      </w:pPr>
      <w:r>
        <w:rPr>
          <w:rFonts w:ascii="仿宋_GB2312" w:hAnsi="仿宋_GB2312" w:cs="仿宋_GB2312" w:eastAsia="仿宋_GB2312"/>
        </w:rPr>
        <w:t>9、法定代表人授权委托书：法定代表人参加磋商的，须出示身份证；法定代表人授权他人参加磋商的，须提供法定代表人授权委托书。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陕西省西安市碑林区陕西省西安市碑林区长安北路1号陕西国际会展大厦1幢1单元27层12701号房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朱丹 宋馥萱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029-62939888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 [2003]857号通知规定，由中标/成交供应商支付代理服务费。 收款账户如下 ： 收款单位：中陕工程咨询有限公司 开户银行：中国光大银行股份有限公司西安分行营业部 银行账号：78550188000522647 转账时请备注：ZSZX-2025-0301项目代理服务费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中陕工程咨询有限公司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中陕工程咨询有限公司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联系人：朱丹 宋馥萱</w:t>
      </w:r>
    </w:p>
    <w:p>
      <w:pPr>
        <w:pStyle w:val="null3"/>
      </w:pPr>
      <w:r>
        <w:rPr>
          <w:rFonts w:ascii="仿宋_GB2312" w:hAnsi="仿宋_GB2312" w:cs="仿宋_GB2312" w:eastAsia="仿宋_GB2312"/>
        </w:rPr>
        <w:t>联系电话：029-62939888</w:t>
      </w:r>
    </w:p>
    <w:p>
      <w:pPr>
        <w:pStyle w:val="null3"/>
      </w:pPr>
      <w:r>
        <w:rPr>
          <w:rFonts w:ascii="仿宋_GB2312" w:hAnsi="仿宋_GB2312" w:cs="仿宋_GB2312" w:eastAsia="仿宋_GB2312"/>
        </w:rPr>
        <w:t>地址：陕西省西安市碑林区长安北路1号陕西国际会展大厦1幢1单元27层12701号房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共中央办公厅、国务院办公厅关于深化市场监管综合行政执法改革的指导意见》，推进12315、12365、12331、12358、12330市场监管热线和信息化平台整合，建立统一、权威、高效的12315行政执法体系，2019年2月，国家市场监督管理总局发布《市场监管总局关于整合建设12315行政执法体系更好服务市场监管执法的意见》（国市监网监【2019】46号文件，以下简称“意见”）。按照意见的总体目标：到2020年底，基本建立统一、权威、高效的12315行政执法体系。整合建设工作分两个阶段，2019年为过渡期，主要实现“一号对外、多线并号、集中接听、各级承办部门依责办理”；升级全国12315平台，初步统一市场监管投诉举报入口；基于全国12315平台，开发部署接线人员用户端，实现12315热线数据在全国12315平台实时采集、动态管理。2020年，依托全国12315平台，逐步完善市场监管部门投诉举报受理热线和平台，建成全国统一、上下五级贯通的12315行政执法体系，实现“一号对外、集中管理、便民利企、高效执法”的工作机制，打造成市场监管执法的前沿岗哨，为维护宽体便捷的准入环境、公平竞争的市场环境、安全放心的消费环境，建设统一的市场监管执法体系提供有力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266,000.00</w:t>
      </w:r>
    </w:p>
    <w:p>
      <w:pPr>
        <w:pStyle w:val="null3"/>
      </w:pPr>
      <w:r>
        <w:rPr>
          <w:rFonts w:ascii="仿宋_GB2312" w:hAnsi="仿宋_GB2312" w:cs="仿宋_GB2312" w:eastAsia="仿宋_GB2312"/>
        </w:rPr>
        <w:t>采购包最高限价（元）: 266,000.00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全国12315平台（陕西受理端）维保项目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标的名称：全国12315平台（陕西受理端）维保项目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全国12315平台（陕西受理端）维保项目</w:t>
            </w:r>
          </w:p>
        </w:tc>
        <w:tc>
          <w:tcPr>
            <w:tcW w:type="dxa" w:w="2076"/>
          </w:tcPr>
          <w:p>
            <w:pPr>
              <w:pStyle w:val="null3"/>
            </w:pPr>
            <w:r>
              <w:rPr>
                <w:rFonts w:ascii="仿宋_GB2312" w:hAnsi="仿宋_GB2312" w:cs="仿宋_GB2312" w:eastAsia="仿宋_GB2312"/>
                <w:sz w:val="21"/>
              </w:rPr>
              <w:t>1.软件运维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1）满足业务需求的软件运维</w:t>
            </w:r>
          </w:p>
          <w:p>
            <w:pPr>
              <w:pStyle w:val="null3"/>
              <w:jc w:val="left"/>
            </w:pPr>
            <w:r>
              <w:rPr>
                <w:rFonts w:ascii="仿宋_GB2312" w:hAnsi="仿宋_GB2312" w:cs="仿宋_GB2312" w:eastAsia="仿宋_GB2312"/>
                <w:sz w:val="21"/>
              </w:rPr>
              <w:t>运维范围：</w:t>
            </w:r>
            <w:r>
              <w:rPr>
                <w:rFonts w:ascii="仿宋_GB2312" w:hAnsi="仿宋_GB2312" w:cs="仿宋_GB2312" w:eastAsia="仿宋_GB2312"/>
                <w:sz w:val="21"/>
              </w:rPr>
              <w:t>“全国12315平台（陕西受理端）”提供运行维护工作与客户服务工作。</w:t>
            </w:r>
          </w:p>
          <w:p>
            <w:pPr>
              <w:pStyle w:val="null3"/>
              <w:jc w:val="left"/>
            </w:pPr>
            <w:r>
              <w:rPr>
                <w:rFonts w:ascii="仿宋_GB2312" w:hAnsi="仿宋_GB2312" w:cs="仿宋_GB2312" w:eastAsia="仿宋_GB2312"/>
                <w:sz w:val="21"/>
              </w:rPr>
              <w:t>运维内容包括：对平台所用</w:t>
            </w:r>
            <w:r>
              <w:rPr>
                <w:rFonts w:ascii="仿宋_GB2312" w:hAnsi="仿宋_GB2312" w:cs="仿宋_GB2312" w:eastAsia="仿宋_GB2312"/>
                <w:sz w:val="21"/>
              </w:rPr>
              <w:t>8台服务器操作系统提供日常巡检、运行监控、故障处理服务，对系统所用的7套中间件、1套数据库提供日常巡检、运行监控、故障处理、数据处理、数据备份及日常技术支持等服务，对“全国12315平台（陕西受理端）”应用软件的日常巡检、监控、故障处理等，保障“全国12315平台（陕西受理端）”的正常运转及与“全国12315平台”的接口正常运行。在微信群内提供客户服务，保障“全国12315平台（陕西受理端）”使用人员得到及时的技术支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2）需优化业务需求的软件</w:t>
            </w:r>
            <w:r>
              <w:rPr>
                <w:rFonts w:ascii="仿宋_GB2312" w:hAnsi="仿宋_GB2312" w:cs="仿宋_GB2312" w:eastAsia="仿宋_GB2312"/>
                <w:sz w:val="21"/>
              </w:rPr>
              <w:t>运维</w:t>
            </w:r>
          </w:p>
          <w:p>
            <w:pPr>
              <w:pStyle w:val="null3"/>
              <w:jc w:val="left"/>
            </w:pPr>
            <w:r>
              <w:rPr>
                <w:rFonts w:ascii="仿宋_GB2312" w:hAnsi="仿宋_GB2312" w:cs="仿宋_GB2312" w:eastAsia="仿宋_GB2312"/>
                <w:sz w:val="21"/>
              </w:rPr>
              <w:t>根据</w:t>
            </w:r>
            <w:r>
              <w:rPr>
                <w:rFonts w:ascii="仿宋_GB2312" w:hAnsi="仿宋_GB2312" w:cs="仿宋_GB2312" w:eastAsia="仿宋_GB2312"/>
                <w:sz w:val="21"/>
              </w:rPr>
              <w:t>“全国12315平台（陕西受理端）”业务发展要求，做必要的系统优化。</w:t>
            </w:r>
          </w:p>
          <w:p>
            <w:pPr>
              <w:pStyle w:val="null3"/>
              <w:jc w:val="left"/>
            </w:pPr>
            <w:r>
              <w:rPr>
                <w:rFonts w:ascii="仿宋_GB2312" w:hAnsi="仿宋_GB2312" w:cs="仿宋_GB2312" w:eastAsia="仿宋_GB2312"/>
                <w:sz w:val="21"/>
              </w:rPr>
              <w:t>2. 配合省局完成等保测评工作，提供必要的安全漏洞修复、所用基础支撑软件的安全加固、应急响应等服务。</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提供</w:t>
            </w:r>
            <w:r>
              <w:rPr>
                <w:rFonts w:ascii="仿宋_GB2312" w:hAnsi="仿宋_GB2312" w:cs="仿宋_GB2312" w:eastAsia="仿宋_GB2312"/>
                <w:sz w:val="21"/>
              </w:rPr>
              <w:t>“全国12315平台（陕西受理端）”重要时刻专项保障服务。</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对部署在陕西省机房的</w:t>
            </w:r>
            <w:r>
              <w:rPr>
                <w:rFonts w:ascii="仿宋_GB2312" w:hAnsi="仿宋_GB2312" w:cs="仿宋_GB2312" w:eastAsia="仿宋_GB2312"/>
                <w:sz w:val="21"/>
              </w:rPr>
              <w:t>2台中继网关提供维保及备品备件服务。</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目标</w:t>
            </w:r>
          </w:p>
          <w:p>
            <w:pPr>
              <w:pStyle w:val="null3"/>
            </w:pPr>
            <w:r>
              <w:rPr>
                <w:rFonts w:ascii="仿宋_GB2312" w:hAnsi="仿宋_GB2312" w:cs="仿宋_GB2312" w:eastAsia="仿宋_GB2312"/>
                <w:sz w:val="21"/>
                <w:color w:val="000000"/>
              </w:rPr>
              <w:t>确保</w:t>
            </w:r>
            <w:r>
              <w:rPr>
                <w:rFonts w:ascii="仿宋_GB2312" w:hAnsi="仿宋_GB2312" w:cs="仿宋_GB2312" w:eastAsia="仿宋_GB2312"/>
                <w:sz w:val="21"/>
                <w:color w:val="000000"/>
              </w:rPr>
              <w:t>“全国12315平台（陕西受理端）”高效、稳定的运行，保证陕西受理端与全国12315平台的接口正常，支撑陕西省市场监督管理局通过12315系统对消费者投诉举报进行处理与反馈业务的正常开展。</w:t>
            </w:r>
          </w:p>
          <w:p>
            <w:pPr>
              <w:pStyle w:val="null3"/>
            </w:pPr>
            <w:r>
              <w:rPr>
                <w:rFonts w:ascii="仿宋_GB2312" w:hAnsi="仿宋_GB2312" w:cs="仿宋_GB2312" w:eastAsia="仿宋_GB2312"/>
                <w:sz w:val="21"/>
                <w:color w:val="000000"/>
              </w:rPr>
              <w:t>具体需达到的目标如下：</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）系统可用性：</w:t>
            </w:r>
            <w:r>
              <w:rPr>
                <w:rFonts w:ascii="仿宋_GB2312" w:hAnsi="仿宋_GB2312" w:cs="仿宋_GB2312" w:eastAsia="仿宋_GB2312"/>
                <w:sz w:val="21"/>
                <w:color w:val="000000"/>
              </w:rPr>
              <w:t>95.0%</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）用户满意度：</w:t>
            </w:r>
            <w:r>
              <w:rPr>
                <w:rFonts w:ascii="仿宋_GB2312" w:hAnsi="仿宋_GB2312" w:cs="仿宋_GB2312" w:eastAsia="仿宋_GB2312"/>
                <w:sz w:val="21"/>
                <w:color w:val="000000"/>
              </w:rPr>
              <w:t>90.0%</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）故障处理时间要求：详见表</w:t>
            </w:r>
            <w:r>
              <w:rPr>
                <w:rFonts w:ascii="仿宋_GB2312" w:hAnsi="仿宋_GB2312" w:cs="仿宋_GB2312" w:eastAsia="仿宋_GB2312"/>
                <w:sz w:val="21"/>
                <w:color w:val="000000"/>
              </w:rPr>
              <w:t>1-1。</w:t>
            </w:r>
          </w:p>
          <w:p>
            <w:pPr>
              <w:pStyle w:val="null3"/>
              <w:jc w:val="center"/>
            </w:pPr>
            <w:r>
              <w:rPr>
                <w:rFonts w:ascii="仿宋_GB2312" w:hAnsi="仿宋_GB2312" w:cs="仿宋_GB2312" w:eastAsia="仿宋_GB2312"/>
                <w:sz w:val="21"/>
                <w:color w:val="000000"/>
              </w:rPr>
              <w:t>表</w:t>
            </w:r>
            <w:r>
              <w:rPr>
                <w:rFonts w:ascii="仿宋_GB2312" w:hAnsi="仿宋_GB2312" w:cs="仿宋_GB2312" w:eastAsia="仿宋_GB2312"/>
                <w:sz w:val="21"/>
                <w:color w:val="000000"/>
              </w:rPr>
              <w:t>1-1故障处理时间要求</w:t>
            </w:r>
          </w:p>
          <w:tbl>
            <w:tblPr>
              <w:tblBorders>
                <w:top w:val="none" w:color="000000" w:sz="4"/>
                <w:left w:val="none" w:color="000000" w:sz="4"/>
                <w:bottom w:val="none" w:color="000000" w:sz="4"/>
                <w:right w:val="none" w:color="000000" w:sz="4"/>
                <w:insideH w:val="none"/>
                <w:insideV w:val="none"/>
              </w:tblBorders>
            </w:tblPr>
            <w:tblGrid>
              <w:gridCol w:w="465"/>
              <w:gridCol w:w="465"/>
              <w:gridCol w:w="439"/>
              <w:gridCol w:w="491"/>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故障级别</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远程响应</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现场响应</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故障解决时间</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普通故障</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30分钟内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24小时内到现场</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到达现场后</w:t>
                  </w:r>
                  <w:r>
                    <w:rPr>
                      <w:rFonts w:ascii="仿宋_GB2312" w:hAnsi="仿宋_GB2312" w:cs="仿宋_GB2312" w:eastAsia="仿宋_GB2312"/>
                      <w:sz w:val="21"/>
                      <w:color w:val="000000"/>
                    </w:rPr>
                    <w:t>&lt;3小时</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重大故障</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15分钟内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12小时内到现场</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到达现场后</w:t>
                  </w:r>
                  <w:r>
                    <w:rPr>
                      <w:rFonts w:ascii="仿宋_GB2312" w:hAnsi="仿宋_GB2312" w:cs="仿宋_GB2312" w:eastAsia="仿宋_GB2312"/>
                      <w:sz w:val="21"/>
                      <w:color w:val="000000"/>
                    </w:rPr>
                    <w:t>&lt;2小时</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特大故障</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5分钟内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4小时内到现场</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到达现场后</w:t>
                  </w:r>
                  <w:r>
                    <w:rPr>
                      <w:rFonts w:ascii="仿宋_GB2312" w:hAnsi="仿宋_GB2312" w:cs="仿宋_GB2312" w:eastAsia="仿宋_GB2312"/>
                      <w:sz w:val="21"/>
                      <w:color w:val="000000"/>
                    </w:rPr>
                    <w:t>&lt;1小时</w:t>
                  </w:r>
                </w:p>
              </w:tc>
            </w:tr>
          </w:tbl>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4）考核指标</w:t>
            </w:r>
          </w:p>
          <w:p>
            <w:pPr>
              <w:pStyle w:val="null3"/>
            </w:pPr>
            <w:r>
              <w:rPr>
                <w:rFonts w:ascii="仿宋_GB2312" w:hAnsi="仿宋_GB2312" w:cs="仿宋_GB2312" w:eastAsia="仿宋_GB2312"/>
                <w:sz w:val="21"/>
                <w:color w:val="000000"/>
              </w:rPr>
              <w:t>1）系统可用性，根据业务需求定为系统可用性为95%。</w:t>
            </w:r>
          </w:p>
          <w:p>
            <w:pPr>
              <w:pStyle w:val="null3"/>
            </w:pPr>
            <w:r>
              <w:rPr>
                <w:rFonts w:ascii="仿宋_GB2312" w:hAnsi="仿宋_GB2312" w:cs="仿宋_GB2312" w:eastAsia="仿宋_GB2312"/>
                <w:sz w:val="21"/>
                <w:color w:val="000000"/>
              </w:rPr>
              <w:t>2）运维记录提交的及时与规范。</w:t>
            </w:r>
          </w:p>
          <w:p>
            <w:pPr>
              <w:pStyle w:val="null3"/>
              <w:jc w:val="both"/>
            </w:pPr>
            <w:r>
              <w:rPr>
                <w:rFonts w:ascii="仿宋_GB2312" w:hAnsi="仿宋_GB2312" w:cs="仿宋_GB2312" w:eastAsia="仿宋_GB2312"/>
                <w:sz w:val="21"/>
                <w:color w:val="000000"/>
              </w:rPr>
              <w:t>3）服务报告。</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纸质版投标文件，正本壹份、副本贰份、电子版壹份（U盘一套标明供应商名称，随正本密封）。若线上电子投标文件与纸质投标文件不一致的，以线上电子投标文件为准；若正本和副本不符，以正本为准。 线下递交文件时间：详见本项目磋商公告提交投标文件截止时间；线下邮寄文件地点：陕西省西安市碑林区长安北路1号陕西国际会展大厦1幢1单元27层12701号房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采购项目需要落实的政府采购政 策： 依据《中华人民共和国政府采 购法》和《中华人民共和国政府采 购实施条例》的有关规定，落实政 府采购政策。 1、《政府采购促进 中小企业发展暂行办法》（财库〔 2011〕181号）； 2、《财政部司 法部关于政府采购支持监狱企业发 展有关问题的通知》（财库〔2014〕68号）； 3、《国务院办公厅 关于建立政府强制采购节能产品制 度的通知》（国办发〔2007〕51 号）； 4、《环境标志产品政府采 购实施的意见》（财库[2006]90 号）； 5、《节能设备政府采购实 施意见》（财库[2004]185号）。 6、《财政部民政部中国残疾人联 合会关于促进残疾人就业政府采购 政策的通知》（财库〔2017〕141 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提供自2024年9月1日以来至少一个月已缴纳的社会保障资金的证明（社会保障资金缴存单据或社保机构开具的社会保险参保缴费情况证明等）；依法不需要缴纳社会保障资金的供应商应提供相关文件证明；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有效的2023年度/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 （2）不满足本招标文件中“服务期限、服务地点、采购资金的支付方式及约定”的实质性条款要求的； （3）投标有效期不足的或无有效期的； （4）报价未超过招标文件中规定的预算金额； （5）法律、法规和招标文件规定的其他无效情形。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用户需求了解情况</w:t>
            </w:r>
          </w:p>
        </w:tc>
        <w:tc>
          <w:tcPr>
            <w:tcW w:type="dxa" w:w="2492"/>
          </w:tcPr>
          <w:p>
            <w:pPr>
              <w:pStyle w:val="null3"/>
            </w:pPr>
            <w:r>
              <w:rPr>
                <w:rFonts w:ascii="仿宋_GB2312" w:hAnsi="仿宋_GB2312" w:cs="仿宋_GB2312" w:eastAsia="仿宋_GB2312"/>
              </w:rPr>
              <w:t>根据供应商对现有业务系统的结构、功能以及用户需求的认识及理解响应情况进行对比： 优：方案详细且可行性强得20分； 良：方案基本完整且可行性较好得10分； 中：方案基本完整但可行性较差得5分； 差：没有提供不得分。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运维服务方案的合理性</w:t>
            </w:r>
          </w:p>
        </w:tc>
        <w:tc>
          <w:tcPr>
            <w:tcW w:type="dxa" w:w="2492"/>
          </w:tcPr>
          <w:p>
            <w:pPr>
              <w:pStyle w:val="null3"/>
            </w:pPr>
            <w:r>
              <w:rPr>
                <w:rFonts w:ascii="仿宋_GB2312" w:hAnsi="仿宋_GB2312" w:cs="仿宋_GB2312" w:eastAsia="仿宋_GB2312"/>
              </w:rPr>
              <w:t>根据供应商对安全管理、质量管理、应急管理等响应情况进行对比： 优：方案详细且可行性强得15分； 良：方案基本完整且可行性较好得10分； 中：方案基本完整但可行性较差得5分； 差：没有提供不得分。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运维服务方案的响应情况</w:t>
            </w:r>
          </w:p>
        </w:tc>
        <w:tc>
          <w:tcPr>
            <w:tcW w:type="dxa" w:w="2492"/>
          </w:tcPr>
          <w:p>
            <w:pPr>
              <w:pStyle w:val="null3"/>
            </w:pPr>
            <w:r>
              <w:rPr>
                <w:rFonts w:ascii="仿宋_GB2312" w:hAnsi="仿宋_GB2312" w:cs="仿宋_GB2312" w:eastAsia="仿宋_GB2312"/>
              </w:rPr>
              <w:t>根据供应商对系统功能保证、故障分级及时间响应情况进行对比： 优：方案详细且可行性强得10分； 良：方案基本完整且可行性较好得5分； 中：方案基本完整但可行性较差得3分； 差：没有提供不得分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根据供应商提供进度控制目标和进度节点、进度保证措施、资源配置计划进行对比： 优：方案详细且可行性强得10分； 良：方案基本完整且可行性较好得5分； 中：方案基本完整但可行性较差得3分； 差：没有提供不得分。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根据供应商对本项目特点提供后续配合服务计划、承诺故障应急预案进行对比： 优：方案详细且可行性强得10分； 良：方案基本完整且可行性较好得5分； 中：方案基本完整但可行性较差得3分； 差：没有提供不得分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根据供应商对本项目特点提供的培训内容及范围、培训计划及形式进行对比： 优：方案详细且可行性强得5分； 良：方案基本完整且可行性较好得3分； 中：方案基本完整但可行性较差得2分； 差：没有提供不得分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项目团队配备情况</w:t>
            </w:r>
          </w:p>
        </w:tc>
        <w:tc>
          <w:tcPr>
            <w:tcW w:type="dxa" w:w="2492"/>
          </w:tcPr>
          <w:p>
            <w:pPr>
              <w:pStyle w:val="null3"/>
            </w:pPr>
            <w:r>
              <w:rPr>
                <w:rFonts w:ascii="仿宋_GB2312" w:hAnsi="仿宋_GB2312" w:cs="仿宋_GB2312" w:eastAsia="仿宋_GB2312"/>
              </w:rPr>
              <w:t>项目经理：具备IT服务项目经理证书，得1分；否则0分。 团队人员：具备省级高级专业技术职务任职资格证书、项目管理专业人员（PMP）认证、信息系统项目管理师、数据库管理认证工程师、系统集成项目管理工程师证书，每提供1个得1分，最高得4分。 （须提供以上相关证书复印件及加盖供应商公章）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供应商体系认证</w:t>
            </w:r>
          </w:p>
        </w:tc>
        <w:tc>
          <w:tcPr>
            <w:tcW w:type="dxa" w:w="2492"/>
          </w:tcPr>
          <w:p>
            <w:pPr>
              <w:pStyle w:val="null3"/>
            </w:pPr>
            <w:r>
              <w:rPr>
                <w:rFonts w:ascii="仿宋_GB2312" w:hAnsi="仿宋_GB2312" w:cs="仿宋_GB2312" w:eastAsia="仿宋_GB2312"/>
              </w:rPr>
              <w:t>供应商具有由国家认证认可的并在有效期内的质量管理体系认证证书、信息安全管理体系认证证书、环境管理体系认证证书、职业健康安全管理体系认证证书、信息技术管理体系认证证书，每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供应商自2021年1月1日以来承接过全国各省或地市市场监督管理局的信息化运维或软件类项目，每提供一个得2分，最高得10分。 （时间以合同签订时间为准，须提供合同关键页复印件及加盖供应商公章）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小组对入围的供应商的最后价格进行修正得出评审价。综合评分法中的价格分统一采用低价优先法计算，即满足磋商文件要求（通过资格、符合性评审）且价格最低的有效最后报价（指修正后的价格，下同）为磋商基准价，其价格分为满分。其他供应商的价格分统一按照下列公式计算： 磋商报价得分＝（磋商基准价／最后磋商报价）x 价格权值x 100（精确到0.01）。 因落实政府采购政策进行价格调整的，以调整后的价格计算磋商基准价和最后磋商报价。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