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7C328C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bidi w:val="0"/>
        <w:adjustRightInd w:val="0"/>
        <w:snapToGrid w:val="0"/>
        <w:spacing w:before="156" w:beforeLines="50" w:after="156" w:afterLines="50" w:line="420" w:lineRule="exact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snapToGrid/>
          <w:kern w:val="2"/>
          <w:sz w:val="36"/>
          <w:szCs w:val="30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36"/>
          <w:szCs w:val="30"/>
        </w:rPr>
        <w:t>合同草案条</w:t>
      </w:r>
      <w:bookmarkStart w:id="0" w:name="_Toc54582731"/>
      <w:bookmarkStart w:id="1" w:name="_Toc49849184"/>
      <w:bookmarkStart w:id="2" w:name="_Toc281864108"/>
      <w:bookmarkStart w:id="3" w:name="_Toc49754060"/>
      <w:bookmarkStart w:id="4" w:name="_Toc54110244"/>
      <w:r>
        <w:rPr>
          <w:rFonts w:hint="eastAsia" w:ascii="宋体" w:hAnsi="宋体" w:eastAsia="宋体" w:cs="宋体"/>
          <w:b/>
          <w:bCs/>
          <w:snapToGrid/>
          <w:kern w:val="2"/>
          <w:sz w:val="36"/>
          <w:szCs w:val="30"/>
        </w:rPr>
        <w:t>款</w:t>
      </w:r>
    </w:p>
    <w:p w14:paraId="37A94082"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bidi w:val="0"/>
        <w:adjustRightInd w:val="0"/>
        <w:snapToGrid w:val="0"/>
        <w:spacing w:before="156" w:beforeLines="50" w:after="156" w:afterLines="50" w:line="420" w:lineRule="exact"/>
        <w:jc w:val="center"/>
        <w:textAlignment w:val="auto"/>
        <w:outlineLvl w:val="0"/>
        <w:rPr>
          <w:rFonts w:hint="eastAsia" w:ascii="宋体" w:hAnsi="宋体" w:eastAsia="宋体" w:cs="宋体"/>
          <w:b w:val="0"/>
          <w:bCs w:val="0"/>
          <w:snapToGrid/>
          <w:kern w:val="2"/>
          <w:sz w:val="24"/>
          <w:szCs w:val="24"/>
          <w:lang w:eastAsia="zh-CN"/>
        </w:rPr>
      </w:pPr>
      <w:bookmarkStart w:id="5" w:name="_Toc19414"/>
      <w:r>
        <w:rPr>
          <w:rFonts w:hint="eastAsia" w:ascii="宋体" w:hAnsi="宋体" w:eastAsia="宋体" w:cs="宋体"/>
          <w:b w:val="0"/>
          <w:bCs w:val="0"/>
          <w:snapToGrid/>
          <w:kern w:val="2"/>
          <w:sz w:val="28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8"/>
          <w:szCs w:val="24"/>
          <w:lang w:val="en-US" w:eastAsia="zh-CN"/>
        </w:rPr>
        <w:t>参考格式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8"/>
          <w:szCs w:val="24"/>
          <w:lang w:eastAsia="zh-CN"/>
        </w:rPr>
        <w:t>）</w:t>
      </w:r>
      <w:bookmarkEnd w:id="5"/>
    </w:p>
    <w:bookmarkEnd w:id="0"/>
    <w:bookmarkEnd w:id="1"/>
    <w:bookmarkEnd w:id="2"/>
    <w:bookmarkEnd w:id="3"/>
    <w:bookmarkEnd w:id="4"/>
    <w:p w14:paraId="2AE9E253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甲方：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 xml:space="preserve"> （采购人）</w:t>
      </w:r>
    </w:p>
    <w:p w14:paraId="655CDEEE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乙方：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   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 xml:space="preserve"> （成交供应商）</w:t>
      </w:r>
    </w:p>
    <w:p w14:paraId="29D1FC45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</w:p>
    <w:p w14:paraId="6322F0E6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项目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由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（以下简称甲方）委托陕西瑞通工程造价咨询有限公司组织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/>
        </w:rPr>
        <w:t>竞争性磋商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，经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确定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公司（以下简称乙方）为该项目成交供应商。依据《中华人民共和国民法典》经甲、乙双方共同协商，按下述条款和条件签署本合同。</w:t>
      </w:r>
    </w:p>
    <w:p w14:paraId="488D7F7A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6" w:name="_Toc29588"/>
      <w:bookmarkStart w:id="7" w:name="_Toc9696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1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合同内容</w:t>
      </w:r>
    </w:p>
    <w:p w14:paraId="64E8BAFA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1.1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乙方负责按照合同确定的内容提供甲方所需的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服务，内容及要求见附件。</w:t>
      </w:r>
    </w:p>
    <w:p w14:paraId="3BB0303B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1.2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服务期：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>2025年4月至12月，全部展品安全回运至各借展单位止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 w14:paraId="55750E24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1.3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服务地点：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  <w:bookmarkStart w:id="21" w:name="_GoBack"/>
      <w:bookmarkEnd w:id="21"/>
    </w:p>
    <w:p w14:paraId="3059B17B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2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合同价格及支付</w:t>
      </w:r>
    </w:p>
    <w:p w14:paraId="27355AC2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2.1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合同金额为（大写）：人民币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（¥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元）。</w:t>
      </w:r>
    </w:p>
    <w:p w14:paraId="059DD5A7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2.2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支付：</w:t>
      </w:r>
    </w:p>
    <w:p w14:paraId="157CB3E1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（1）本合同的款项以对公转账方式支付。</w:t>
      </w:r>
    </w:p>
    <w:p w14:paraId="31F1D366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（2）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 w14:paraId="3E111C14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（3）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 w14:paraId="6E2431E5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（4）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      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 w14:paraId="0037ABB0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注：合同价款包括项目直接费、间接费、运行费、税费等一切费用，不受市场价格变化的影响，并作为结算的唯一依据。</w:t>
      </w:r>
    </w:p>
    <w:p w14:paraId="4EB327E7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8" w:name="_Toc18916_WPSOffice_Level2"/>
      <w:bookmarkStart w:id="9" w:name="_Toc12297"/>
      <w:bookmarkStart w:id="10" w:name="_Toc10784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3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服务</w:t>
      </w:r>
      <w:bookmarkEnd w:id="8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要求及标准</w:t>
      </w:r>
    </w:p>
    <w:bookmarkEnd w:id="9"/>
    <w:bookmarkEnd w:id="10"/>
    <w:p w14:paraId="39481852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3.1 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            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 w14:paraId="27548E03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3.2 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                                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。</w:t>
      </w:r>
    </w:p>
    <w:p w14:paraId="79A2D326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……</w:t>
      </w:r>
    </w:p>
    <w:p w14:paraId="4C6E117D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4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违约责任</w:t>
      </w:r>
    </w:p>
    <w:bookmarkEnd w:id="6"/>
    <w:bookmarkEnd w:id="7"/>
    <w:p w14:paraId="6F033012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4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.1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本合同若与甲方的上级管理机关的政策性行为或其他规定发生冲突，甲方有权与乙方协商调整合同内容或终止合同执行。</w:t>
      </w:r>
    </w:p>
    <w:p w14:paraId="6C2D3847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4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.2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如乙方提供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的服务标准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与合同标准不相符合，则甲方有权拒收乙方提供的服务、解除本合同、拒付本合同项下的价款并追究乙方违约责任，乙方应返还甲方已支付的全部款项，并按合同总价款的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shd w:val="clear" w:color="auto" w:fill="FFFFFF"/>
        </w:rPr>
        <w:t xml:space="preserve">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向甲方支付违约金并赔偿甲方因此而遭受的一切损失。</w:t>
      </w:r>
    </w:p>
    <w:p w14:paraId="21EDA3B3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4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.3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 xml:space="preserve"> 由于不可抗力（不可抗力仅指自然灾害、战争）所导致的违约，根据不可抗力的影响范围，可部分或全部免除违约方的违约责任，但违约方应及时通知对方并在不可抗力事件发生之日起5日内提供符合法律规定的证明文件，否则应赔偿对方因此而遭受的损失。</w:t>
      </w:r>
    </w:p>
    <w:p w14:paraId="3C5CDB03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4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.4 未及之处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shd w:val="clear" w:color="auto" w:fill="FFFFFF"/>
        </w:rPr>
        <w:t>按《民法典》中的相关条款执行。</w:t>
      </w:r>
    </w:p>
    <w:p w14:paraId="18F6DDF5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11" w:name="_Toc14590"/>
      <w:bookmarkStart w:id="12" w:name="_Toc18421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5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保密条款</w:t>
      </w:r>
      <w:bookmarkEnd w:id="11"/>
      <w:bookmarkEnd w:id="12"/>
    </w:p>
    <w:p w14:paraId="2542A68F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甲、乙双方对本合同履行过程中获得的对方的资料数据、商业技术信息等承担保密责任。未经对方事先书面同意，任何一方不得以任何形式向第三方泄露，也不得公开本合同及其相关附件内容。本合同的解除或终止，不免除双方对本保密条款的遵守。</w:t>
      </w:r>
    </w:p>
    <w:p w14:paraId="56160B98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13" w:name="_Toc24354"/>
      <w:bookmarkStart w:id="14" w:name="_Toc18460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6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合同</w:t>
      </w:r>
      <w:bookmarkEnd w:id="13"/>
      <w:bookmarkEnd w:id="14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保证</w:t>
      </w:r>
    </w:p>
    <w:p w14:paraId="666F0EB0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jc w:val="both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除《中华人民共和国政府采购法》第49条、第50条第二款规定的情形外，本合同一经签订，甲乙双方不得擅自变更、中止或终止合同。</w:t>
      </w:r>
    </w:p>
    <w:p w14:paraId="4A7B8702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15" w:name="_Toc23231"/>
      <w:bookmarkStart w:id="16" w:name="_Toc2019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7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合同争议解决的方式</w:t>
      </w:r>
      <w:bookmarkEnd w:id="15"/>
      <w:bookmarkEnd w:id="16"/>
    </w:p>
    <w:p w14:paraId="3E7C64F4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jc w:val="both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7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 xml:space="preserve">.1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因服务的质量问题发生争议，由质量技术监督部门或其指定的质量鉴定机构进行质量鉴定。符合标准的，鉴定费由甲方承担；不符合质量标准的，鉴定费由乙方承担。</w:t>
      </w:r>
    </w:p>
    <w:p w14:paraId="41EAFAD5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jc w:val="both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7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 xml:space="preserve">.2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因履行本合同引起的或与本合同有关的争议，甲、乙双方应首先通过友好协商解决，如果协商不成，则采取以下第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  <w:lang w:val="en-US" w:eastAsia="zh-CN" w:bidi="ar-SA"/>
        </w:rPr>
        <w:t>1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u w:val="single"/>
          <w:lang w:val="en-US" w:eastAsia="zh-CN" w:bidi="ar-SA"/>
        </w:rPr>
        <w:t xml:space="preserve">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种方式解决争议：</w:t>
      </w:r>
    </w:p>
    <w:p w14:paraId="3246F722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jc w:val="both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（1）向甲方所在地有管辖权的人民法院提起诉讼；</w:t>
      </w:r>
    </w:p>
    <w:p w14:paraId="6C4C1D3C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jc w:val="both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（2）向西安仲裁委员会按其仲裁规则申请仲裁。</w:t>
      </w:r>
    </w:p>
    <w:p w14:paraId="1C35949B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jc w:val="both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7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 xml:space="preserve">.3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 w:bidi="ar-SA"/>
        </w:rPr>
        <w:t>仲裁期间，本合同应继续履行。</w:t>
      </w:r>
    </w:p>
    <w:p w14:paraId="3E1F3CA8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17" w:name="_Toc23719"/>
      <w:bookmarkStart w:id="18" w:name="_Toc3946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8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合同文件</w:t>
      </w:r>
      <w:bookmarkEnd w:id="17"/>
      <w:bookmarkEnd w:id="18"/>
    </w:p>
    <w:p w14:paraId="1382097E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宋体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有关合同项目的特定信息由合同附件予以说明，下列文件构成本合同的组成部分，彼此相互解释，相互补充。组成合同的多个文件的优先支配地位的次序如下：</w:t>
      </w:r>
    </w:p>
    <w:p w14:paraId="1A57A17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本合同书（2）成交通知书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ab/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（3）协议（4）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文件(含澄清或者修改文件)</w:t>
      </w:r>
    </w:p>
    <w:p w14:paraId="716483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textAlignment w:val="auto"/>
        <w:rPr>
          <w:rFonts w:ascii="宋体" w:hAnsi="宋体" w:eastAsia="宋体" w:cs="宋体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（5）响应文件</w:t>
      </w:r>
    </w:p>
    <w:p w14:paraId="0B344D67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2" w:firstLineChars="200"/>
        <w:textAlignment w:val="auto"/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</w:pPr>
      <w:bookmarkStart w:id="19" w:name="_Toc21719"/>
      <w:bookmarkStart w:id="20" w:name="_Toc16981"/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9</w:t>
      </w:r>
      <w:r>
        <w:rPr>
          <w:rFonts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.</w:t>
      </w:r>
      <w:r>
        <w:rPr>
          <w:rFonts w:hint="eastAsia" w:ascii="宋体" w:hAnsi="宋体" w:eastAsia="宋体" w:cs="仿宋_GB2312"/>
          <w:b/>
          <w:snapToGrid/>
          <w:color w:val="000000"/>
          <w:kern w:val="0"/>
          <w:sz w:val="24"/>
          <w:szCs w:val="24"/>
          <w:shd w:val="clear" w:color="auto" w:fill="FFFFFF"/>
        </w:rPr>
        <w:t>其他事项</w:t>
      </w:r>
      <w:bookmarkEnd w:id="19"/>
      <w:bookmarkEnd w:id="20"/>
    </w:p>
    <w:p w14:paraId="58325284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9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  <w:t xml:space="preserve">.1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陕西省财政厅在合同的履行期间以及履行期后，可以随时检查项目的执行情况，对采购标准、采购内容进行调查核实，并对发现的问题进行处理。</w:t>
      </w:r>
    </w:p>
    <w:p w14:paraId="20B611EE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snapToGrid/>
          <w:color w:val="000000"/>
          <w:kern w:val="0"/>
          <w:sz w:val="24"/>
          <w:szCs w:val="24"/>
        </w:rPr>
        <w:t>9</w:t>
      </w:r>
      <w:r>
        <w:rPr>
          <w:rFonts w:ascii="宋体" w:hAnsi="宋体" w:eastAsia="宋体" w:cs="宋体"/>
          <w:snapToGrid/>
          <w:color w:val="000000"/>
          <w:kern w:val="0"/>
          <w:sz w:val="24"/>
          <w:szCs w:val="24"/>
        </w:rPr>
        <w:t xml:space="preserve">.2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乙方应根据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lang w:val="en-US" w:eastAsia="zh-CN"/>
        </w:rPr>
        <w:t>谈判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文件的规定向采购代理机构交纳代理服务费并取得甲方的签章后，合同才正式生效。</w:t>
      </w:r>
    </w:p>
    <w:p w14:paraId="450709E0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9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  <w:t xml:space="preserve">.3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本合同一式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份，甲方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份，乙方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份，采购代理机构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  <w:u w:val="single"/>
        </w:rPr>
        <w:t xml:space="preserve"> 壹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份。</w:t>
      </w:r>
    </w:p>
    <w:p w14:paraId="64349BD4"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 w:val="0"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9</w:t>
      </w:r>
      <w:r>
        <w:rPr>
          <w:rFonts w:ascii="宋体" w:hAnsi="宋体" w:eastAsia="宋体" w:cs="仿宋_GB2312"/>
          <w:snapToGrid/>
          <w:color w:val="000000"/>
          <w:kern w:val="0"/>
          <w:sz w:val="24"/>
          <w:szCs w:val="24"/>
        </w:rPr>
        <w:t xml:space="preserve">.4 </w:t>
      </w:r>
      <w:r>
        <w:rPr>
          <w:rFonts w:hint="eastAsia" w:ascii="宋体" w:hAnsi="宋体" w:eastAsia="宋体" w:cs="仿宋_GB2312"/>
          <w:snapToGrid/>
          <w:color w:val="000000"/>
          <w:kern w:val="0"/>
          <w:sz w:val="24"/>
          <w:szCs w:val="24"/>
        </w:rPr>
        <w:t>本合同未尽事项，补充合同内容。</w:t>
      </w:r>
    </w:p>
    <w:p w14:paraId="515DE89C">
      <w:pPr>
        <w:keepNext w:val="0"/>
        <w:keepLines w:val="0"/>
        <w:pageBreakBefore w:val="0"/>
        <w:widowControl w:val="0"/>
        <w:kinsoku/>
        <w:wordWrap/>
        <w:overflowPunct w:val="0"/>
        <w:autoSpaceDE/>
        <w:bidi w:val="0"/>
        <w:adjustRightInd w:val="0"/>
        <w:snapToGrid w:val="0"/>
        <w:spacing w:line="420" w:lineRule="exact"/>
        <w:ind w:firstLine="480" w:firstLineChars="200"/>
        <w:textAlignment w:val="auto"/>
        <w:rPr>
          <w:rFonts w:ascii="宋体" w:hAnsi="宋体" w:eastAsia="宋体" w:cs="Times New Roman"/>
          <w:snapToGrid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Times New Roman"/>
          <w:snapToGrid/>
          <w:color w:val="000000"/>
          <w:kern w:val="0"/>
          <w:sz w:val="24"/>
          <w:szCs w:val="24"/>
        </w:rPr>
        <w:t>（以下无正文）</w:t>
      </w:r>
    </w:p>
    <w:tbl>
      <w:tblPr>
        <w:tblStyle w:val="3"/>
        <w:tblpPr w:leftFromText="180" w:rightFromText="180" w:vertAnchor="text" w:horzAnchor="page" w:tblpX="1238" w:tblpY="359"/>
        <w:tblOverlap w:val="never"/>
        <w:tblW w:w="985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4931"/>
      </w:tblGrid>
      <w:tr w14:paraId="39651D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0D7DA085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甲方:                         （盖章）</w:t>
            </w:r>
          </w:p>
        </w:tc>
        <w:tc>
          <w:tcPr>
            <w:tcW w:w="4931" w:type="dxa"/>
            <w:noWrap w:val="0"/>
            <w:vAlign w:val="center"/>
          </w:tcPr>
          <w:p w14:paraId="4DA35552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乙方:                    （盖章）</w:t>
            </w:r>
          </w:p>
        </w:tc>
      </w:tr>
      <w:tr w14:paraId="73D339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1B03451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 xml:space="preserve">地址： </w:t>
            </w:r>
          </w:p>
        </w:tc>
        <w:tc>
          <w:tcPr>
            <w:tcW w:w="4931" w:type="dxa"/>
            <w:noWrap w:val="0"/>
            <w:vAlign w:val="center"/>
          </w:tcPr>
          <w:p w14:paraId="3377A0E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地址：</w:t>
            </w:r>
          </w:p>
        </w:tc>
      </w:tr>
      <w:tr w14:paraId="3F1C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61958FC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邮编：</w:t>
            </w:r>
          </w:p>
        </w:tc>
        <w:tc>
          <w:tcPr>
            <w:tcW w:w="4931" w:type="dxa"/>
            <w:noWrap w:val="0"/>
            <w:vAlign w:val="center"/>
          </w:tcPr>
          <w:p w14:paraId="405A01F5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邮编：</w:t>
            </w:r>
          </w:p>
        </w:tc>
      </w:tr>
      <w:tr w14:paraId="07811A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4928" w:type="dxa"/>
            <w:noWrap w:val="0"/>
            <w:vAlign w:val="top"/>
          </w:tcPr>
          <w:p w14:paraId="599EE86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法定代表人（签字或盖章）：</w:t>
            </w:r>
          </w:p>
        </w:tc>
        <w:tc>
          <w:tcPr>
            <w:tcW w:w="4931" w:type="dxa"/>
            <w:noWrap w:val="0"/>
            <w:vAlign w:val="top"/>
          </w:tcPr>
          <w:p w14:paraId="0356CA5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法定代表人（签字或盖章）：</w:t>
            </w:r>
          </w:p>
        </w:tc>
      </w:tr>
      <w:tr w14:paraId="642F1F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4928" w:type="dxa"/>
            <w:noWrap w:val="0"/>
            <w:vAlign w:val="top"/>
          </w:tcPr>
          <w:p w14:paraId="680CFA95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被授权代表：（签字）</w:t>
            </w:r>
          </w:p>
        </w:tc>
        <w:tc>
          <w:tcPr>
            <w:tcW w:w="4931" w:type="dxa"/>
            <w:noWrap w:val="0"/>
            <w:vAlign w:val="top"/>
          </w:tcPr>
          <w:p w14:paraId="29F6ECA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被授权代表：（签字）</w:t>
            </w:r>
          </w:p>
        </w:tc>
      </w:tr>
      <w:tr w14:paraId="0942D3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30F51CAF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电话：</w:t>
            </w:r>
          </w:p>
        </w:tc>
        <w:tc>
          <w:tcPr>
            <w:tcW w:w="4931" w:type="dxa"/>
            <w:noWrap w:val="0"/>
            <w:vAlign w:val="center"/>
          </w:tcPr>
          <w:p w14:paraId="1256517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电话：</w:t>
            </w:r>
          </w:p>
        </w:tc>
      </w:tr>
      <w:tr w14:paraId="5D2828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7AB8E62B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传真：</w:t>
            </w:r>
          </w:p>
        </w:tc>
        <w:tc>
          <w:tcPr>
            <w:tcW w:w="4931" w:type="dxa"/>
            <w:noWrap w:val="0"/>
            <w:vAlign w:val="center"/>
          </w:tcPr>
          <w:p w14:paraId="6D5884AA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传真：</w:t>
            </w:r>
          </w:p>
        </w:tc>
      </w:tr>
      <w:tr w14:paraId="673B7F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7D4D8163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开户银行：</w:t>
            </w:r>
          </w:p>
        </w:tc>
        <w:tc>
          <w:tcPr>
            <w:tcW w:w="4931" w:type="dxa"/>
            <w:noWrap w:val="0"/>
            <w:vAlign w:val="center"/>
          </w:tcPr>
          <w:p w14:paraId="063A3949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开户银行：</w:t>
            </w:r>
          </w:p>
        </w:tc>
      </w:tr>
      <w:tr w14:paraId="203E9B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928" w:type="dxa"/>
            <w:noWrap w:val="0"/>
            <w:vAlign w:val="center"/>
          </w:tcPr>
          <w:p w14:paraId="043E0557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账号:</w:t>
            </w:r>
          </w:p>
        </w:tc>
        <w:tc>
          <w:tcPr>
            <w:tcW w:w="4931" w:type="dxa"/>
            <w:noWrap w:val="0"/>
            <w:vAlign w:val="center"/>
          </w:tcPr>
          <w:p w14:paraId="6528AA12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账号:</w:t>
            </w:r>
          </w:p>
        </w:tc>
      </w:tr>
      <w:tr w14:paraId="0A607A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4928" w:type="dxa"/>
            <w:noWrap w:val="0"/>
            <w:vAlign w:val="center"/>
          </w:tcPr>
          <w:p w14:paraId="10ED1736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日期：       年   月   日</w:t>
            </w:r>
          </w:p>
        </w:tc>
        <w:tc>
          <w:tcPr>
            <w:tcW w:w="4931" w:type="dxa"/>
            <w:noWrap w:val="0"/>
            <w:vAlign w:val="center"/>
          </w:tcPr>
          <w:p w14:paraId="13F503F1"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autoSpaceDE/>
              <w:bidi w:val="0"/>
              <w:adjustRightInd w:val="0"/>
              <w:snapToGrid w:val="0"/>
              <w:spacing w:line="400" w:lineRule="exact"/>
              <w:textAlignment w:val="auto"/>
              <w:rPr>
                <w:rFonts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napToGrid/>
                <w:color w:val="000000"/>
                <w:kern w:val="0"/>
                <w:sz w:val="24"/>
                <w:szCs w:val="24"/>
              </w:rPr>
              <w:t>日期：      年   月   日</w:t>
            </w:r>
          </w:p>
        </w:tc>
      </w:tr>
    </w:tbl>
    <w:p w14:paraId="5A8E8730">
      <w:pPr>
        <w:keepNext w:val="0"/>
        <w:keepLines w:val="0"/>
        <w:pageBreakBefore w:val="0"/>
        <w:widowControl w:val="0"/>
        <w:kinsoku/>
        <w:wordWrap/>
        <w:autoSpaceDE/>
        <w:bidi w:val="0"/>
        <w:spacing w:after="120" w:line="400" w:lineRule="exact"/>
        <w:jc w:val="both"/>
        <w:textAlignment w:val="auto"/>
        <w:rPr>
          <w:rFonts w:ascii="Times New Roman" w:hAnsi="Times New Roman" w:eastAsia="宋体" w:cs="Times New Roman"/>
          <w:snapToGrid/>
          <w:color w:val="000000"/>
          <w:kern w:val="0"/>
          <w:sz w:val="20"/>
          <w:szCs w:val="20"/>
          <w:lang w:val="en-US" w:eastAsia="zh-CN" w:bidi="ar-SA"/>
        </w:rPr>
      </w:pPr>
    </w:p>
    <w:p w14:paraId="58C1480B">
      <w:pPr>
        <w:keepNext w:val="0"/>
        <w:keepLines w:val="0"/>
        <w:pageBreakBefore w:val="0"/>
        <w:widowControl w:val="0"/>
        <w:kinsoku/>
        <w:wordWrap/>
        <w:overflowPunct w:val="0"/>
        <w:autoSpaceDE/>
        <w:bidi w:val="0"/>
        <w:adjustRightInd w:val="0"/>
        <w:snapToGrid w:val="0"/>
        <w:spacing w:line="400" w:lineRule="exact"/>
        <w:textAlignment w:val="auto"/>
        <w:rPr>
          <w:rFonts w:ascii="Times New Roman" w:hAnsi="Times New Roman" w:eastAsia="宋体" w:cs="Times New Roman"/>
          <w:snapToGrid/>
          <w:color w:val="000000"/>
          <w:kern w:val="0"/>
          <w:sz w:val="24"/>
          <w:szCs w:val="20"/>
          <w:lang w:val="zh-CN"/>
        </w:rPr>
      </w:pPr>
    </w:p>
    <w:p w14:paraId="1DFFB604">
      <w:pPr>
        <w:keepNext w:val="0"/>
        <w:keepLines w:val="0"/>
        <w:pageBreakBefore w:val="0"/>
        <w:widowControl w:val="0"/>
        <w:kinsoku/>
        <w:wordWrap/>
        <w:overflowPunct w:val="0"/>
        <w:autoSpaceDE/>
        <w:bidi w:val="0"/>
        <w:adjustRightInd w:val="0"/>
        <w:snapToGrid w:val="0"/>
        <w:spacing w:line="400" w:lineRule="exact"/>
        <w:textAlignment w:val="auto"/>
        <w:rPr>
          <w:rFonts w:ascii="Times New Roman" w:hAnsi="Times New Roman" w:eastAsia="宋体" w:cs="Times New Roman"/>
          <w:snapToGrid/>
          <w:color w:val="000000"/>
          <w:kern w:val="0"/>
          <w:sz w:val="24"/>
          <w:szCs w:val="20"/>
          <w:lang w:val="zh-CN"/>
        </w:rPr>
      </w:pPr>
      <w:r>
        <w:rPr>
          <w:rFonts w:hint="eastAsia" w:ascii="Times New Roman" w:hAnsi="Times New Roman" w:eastAsia="宋体" w:cs="Times New Roman"/>
          <w:snapToGrid/>
          <w:color w:val="000000"/>
          <w:kern w:val="0"/>
          <w:sz w:val="24"/>
          <w:szCs w:val="20"/>
          <w:lang w:val="en-US" w:eastAsia="zh-CN"/>
        </w:rPr>
        <w:t>鉴</w:t>
      </w:r>
      <w:r>
        <w:rPr>
          <w:rFonts w:ascii="Times New Roman" w:hAnsi="Times New Roman" w:eastAsia="宋体" w:cs="Times New Roman"/>
          <w:snapToGrid/>
          <w:color w:val="000000"/>
          <w:kern w:val="0"/>
          <w:sz w:val="24"/>
          <w:szCs w:val="20"/>
          <w:lang w:val="zh-CN"/>
        </w:rPr>
        <w:t>证方</w:t>
      </w:r>
      <w:r>
        <w:rPr>
          <w:rFonts w:hint="eastAsia" w:ascii="Times New Roman" w:hAnsi="Times New Roman" w:eastAsia="宋体" w:cs="Times New Roman"/>
          <w:snapToGrid/>
          <w:color w:val="000000"/>
          <w:kern w:val="0"/>
          <w:sz w:val="24"/>
          <w:szCs w:val="20"/>
          <w:lang w:val="zh-CN"/>
        </w:rPr>
        <w:t>：陕西瑞通工程造价咨询有限公司（盖章）</w:t>
      </w:r>
    </w:p>
    <w:p w14:paraId="7F922399">
      <w:pPr>
        <w:keepNext w:val="0"/>
        <w:keepLines w:val="0"/>
        <w:pageBreakBefore w:val="0"/>
        <w:widowControl w:val="0"/>
        <w:kinsoku/>
        <w:wordWrap/>
        <w:autoSpaceDE/>
        <w:bidi w:val="0"/>
        <w:spacing w:line="400" w:lineRule="exact"/>
        <w:textAlignment w:val="auto"/>
      </w:pPr>
      <w:r>
        <w:rPr>
          <w:rFonts w:ascii="宋体" w:hAnsi="宋体" w:eastAsia="宋体" w:cs="Times New Roman"/>
          <w:snapToGrid/>
          <w:color w:val="000000"/>
          <w:kern w:val="0"/>
          <w:sz w:val="24"/>
          <w:szCs w:val="20"/>
          <w:lang w:val="zh-CN"/>
        </w:rPr>
        <w:t>日  期</w:t>
      </w:r>
      <w:r>
        <w:rPr>
          <w:rFonts w:hint="eastAsia" w:ascii="宋体" w:hAnsi="宋体" w:eastAsia="宋体" w:cs="Times New Roman"/>
          <w:snapToGrid/>
          <w:color w:val="000000"/>
          <w:kern w:val="0"/>
          <w:sz w:val="24"/>
          <w:szCs w:val="20"/>
          <w:lang w:val="zh-CN"/>
        </w:rPr>
        <w:t>：2</w:t>
      </w:r>
      <w:r>
        <w:rPr>
          <w:rFonts w:ascii="宋体" w:hAnsi="宋体" w:eastAsia="宋体" w:cs="Times New Roman"/>
          <w:snapToGrid/>
          <w:color w:val="000000"/>
          <w:kern w:val="0"/>
          <w:sz w:val="24"/>
          <w:szCs w:val="20"/>
          <w:lang w:val="zh-CN"/>
        </w:rPr>
        <w:t>0</w:t>
      </w:r>
      <w:r>
        <w:rPr>
          <w:rFonts w:hint="eastAsia" w:ascii="宋体" w:hAnsi="宋体" w:eastAsia="宋体" w:cs="Times New Roman"/>
          <w:snapToGrid/>
          <w:color w:val="000000"/>
          <w:kern w:val="0"/>
          <w:sz w:val="24"/>
          <w:szCs w:val="20"/>
        </w:rPr>
        <w:t>2</w:t>
      </w:r>
      <w:r>
        <w:rPr>
          <w:rFonts w:hint="eastAsia" w:ascii="宋体" w:hAnsi="宋体" w:eastAsia="宋体" w:cs="Times New Roman"/>
          <w:snapToGrid/>
          <w:color w:val="000000"/>
          <w:kern w:val="0"/>
          <w:sz w:val="24"/>
          <w:szCs w:val="20"/>
          <w:lang w:val="en-US" w:eastAsia="zh-CN"/>
        </w:rPr>
        <w:t>4</w:t>
      </w:r>
      <w:r>
        <w:rPr>
          <w:rFonts w:ascii="宋体" w:hAnsi="宋体" w:eastAsia="宋体" w:cs="Times New Roman"/>
          <w:snapToGrid/>
          <w:color w:val="000000"/>
          <w:kern w:val="0"/>
          <w:sz w:val="24"/>
          <w:szCs w:val="20"/>
          <w:lang w:val="zh-CN"/>
        </w:rPr>
        <w:t>年</w:t>
      </w:r>
      <w:r>
        <w:rPr>
          <w:rFonts w:hint="eastAsia" w:ascii="宋体" w:hAnsi="宋体" w:eastAsia="宋体" w:cs="Times New Roman"/>
          <w:snapToGrid/>
          <w:color w:val="000000"/>
          <w:kern w:val="0"/>
          <w:sz w:val="24"/>
          <w:szCs w:val="20"/>
          <w:u w:val="single"/>
          <w:lang w:val="zh-CN"/>
        </w:rPr>
        <w:t xml:space="preserve"> </w:t>
      </w:r>
      <w:r>
        <w:rPr>
          <w:rFonts w:ascii="宋体" w:hAnsi="宋体" w:eastAsia="宋体" w:cs="Times New Roman"/>
          <w:snapToGrid/>
          <w:color w:val="000000"/>
          <w:kern w:val="0"/>
          <w:sz w:val="24"/>
          <w:szCs w:val="20"/>
          <w:u w:val="single"/>
          <w:lang w:val="zh-CN"/>
        </w:rPr>
        <w:t xml:space="preserve">  </w:t>
      </w:r>
      <w:r>
        <w:rPr>
          <w:rFonts w:ascii="宋体" w:hAnsi="宋体" w:eastAsia="宋体" w:cs="Times New Roman"/>
          <w:snapToGrid/>
          <w:color w:val="000000"/>
          <w:kern w:val="0"/>
          <w:sz w:val="24"/>
          <w:szCs w:val="20"/>
          <w:lang w:val="zh-CN"/>
        </w:rPr>
        <w:t>月</w:t>
      </w:r>
      <w:r>
        <w:rPr>
          <w:rFonts w:ascii="宋体" w:hAnsi="宋体" w:eastAsia="宋体" w:cs="Times New Roman"/>
          <w:snapToGrid/>
          <w:color w:val="000000"/>
          <w:kern w:val="0"/>
          <w:sz w:val="24"/>
          <w:szCs w:val="20"/>
          <w:u w:val="single"/>
          <w:lang w:val="zh-CN"/>
        </w:rPr>
        <w:t xml:space="preserve">   </w:t>
      </w:r>
      <w:r>
        <w:rPr>
          <w:rFonts w:ascii="宋体" w:hAnsi="宋体" w:eastAsia="宋体" w:cs="Times New Roman"/>
          <w:snapToGrid/>
          <w:color w:val="000000"/>
          <w:kern w:val="0"/>
          <w:sz w:val="24"/>
          <w:szCs w:val="20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4E40AC"/>
    <w:multiLevelType w:val="singleLevel"/>
    <w:tmpl w:val="404E40A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hNTI2ODMxYzljMjJhZjBhY2E5ZGE0ZWQzOGZkOWQifQ=="/>
  </w:docVars>
  <w:rsids>
    <w:rsidRoot w:val="363F62C0"/>
    <w:rsid w:val="363F62C0"/>
    <w:rsid w:val="3FF9428E"/>
    <w:rsid w:val="5481728A"/>
    <w:rsid w:val="5A174101"/>
    <w:rsid w:val="77DA6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napToGrid w:val="0"/>
      <w:kern w:val="0"/>
      <w:sz w:val="7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0"/>
    <w:pPr>
      <w:spacing w:line="360" w:lineRule="auto"/>
    </w:pPr>
    <w:rPr>
      <w:rFonts w:ascii="Calibri" w:hAnsi="Calibri" w:eastAsia="宋体" w:cs="Times New Roman"/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1417</Words>
  <Characters>1467</Characters>
  <Lines>0</Lines>
  <Paragraphs>0</Paragraphs>
  <TotalTime>1</TotalTime>
  <ScaleCrop>false</ScaleCrop>
  <LinksUpToDate>false</LinksUpToDate>
  <CharactersWithSpaces>1874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2023-09-15T07:46:00Z</dcterms:created>
  <dc:creator>新昱</dc:creator>
  <cp:lastModifiedBy>新昱</cp:lastModifiedBy>
  <dcterms:modified xsi:type="dcterms:W3CDTF">2025-03-21T02:02:57Z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DB9275B43DE44FB2AEFF263157892C50_11</vt:lpwstr>
  </property>
  <property fmtid="{D5CDD505-2E9C-101B-9397-08002B2CF9AE}" pid="4" name="KSOTemplateDocerSaveRecord">
    <vt:lpwstr>eyJoZGlkIjoiYjNjNTkyNDJjNWFiYWRmMjRlNGYzNzgwOGFjNTE0OGUiLCJ1c2VySWQiOiI1MDU3ODU5ODQifQ==</vt:lpwstr>
  </property>
</Properties>
</file>