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版本号：RTZB-2025-200420250326001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《吉金·中国：中国青铜文明的兴起与繁荣》展览文物包装运输及保险项目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RTZB-2025-2004</w:t>
      </w:r>
      <w:r>
        <w:br/>
      </w:r>
      <w:r>
        <w:br/>
      </w:r>
      <w:r>
        <w:br/>
      </w:r>
    </w:p>
    <w:p>
      <w:pPr>
        <w:pStyle w:val="null3"/>
        <w:jc w:val="center"/>
        <w:outlineLvl w:val="2"/>
      </w:pPr>
      <w:r>
        <w:rPr>
          <w:rFonts w:ascii="仿宋_GB2312" w:hAnsi="仿宋_GB2312" w:cs="仿宋_GB2312" w:eastAsia="仿宋_GB2312"/>
          <w:sz w:val="28"/>
          <w:b/>
        </w:rPr>
        <w:t>陕西历史博物馆</w:t>
      </w:r>
    </w:p>
    <w:p>
      <w:pPr>
        <w:pStyle w:val="null3"/>
        <w:jc w:val="center"/>
        <w:outlineLvl w:val="2"/>
      </w:pPr>
      <w:r>
        <w:rPr>
          <w:rFonts w:ascii="仿宋_GB2312" w:hAnsi="仿宋_GB2312" w:cs="仿宋_GB2312" w:eastAsia="仿宋_GB2312"/>
          <w:sz w:val="28"/>
          <w:b/>
        </w:rPr>
        <w:t>陕西瑞通工程造价咨询有限公司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陕西瑞通工程造价咨询有限公司</w:t>
      </w:r>
      <w:r>
        <w:rPr>
          <w:rFonts w:ascii="仿宋_GB2312" w:hAnsi="仿宋_GB2312" w:cs="仿宋_GB2312" w:eastAsia="仿宋_GB2312"/>
        </w:rPr>
        <w:t>（以下简称“代理机构”）受</w:t>
      </w:r>
      <w:r>
        <w:rPr>
          <w:rFonts w:ascii="仿宋_GB2312" w:hAnsi="仿宋_GB2312" w:cs="仿宋_GB2312" w:eastAsia="仿宋_GB2312"/>
        </w:rPr>
        <w:t>陕西历史博物馆</w:t>
      </w:r>
      <w:r>
        <w:rPr>
          <w:rFonts w:ascii="仿宋_GB2312" w:hAnsi="仿宋_GB2312" w:cs="仿宋_GB2312" w:eastAsia="仿宋_GB2312"/>
        </w:rPr>
        <w:t>委托，拟对</w:t>
      </w:r>
      <w:r>
        <w:rPr>
          <w:rFonts w:ascii="仿宋_GB2312" w:hAnsi="仿宋_GB2312" w:cs="仿宋_GB2312" w:eastAsia="仿宋_GB2312"/>
        </w:rPr>
        <w:t>《吉金·中国：中国青铜文明的兴起与繁荣》展览文物包装运输及保险项目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RTZB-2025-2004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《吉金·中国：中国青铜文明的兴起与繁荣》展览文物包装运输及保险项目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展览项目涉及文物质地主要以青铜器、陶器、玉器为主，需根据参展文物具体情况提供部分文物包装箱制作，所有文物包装材料、包装、拆装、装箱、拆箱、装卸车、展览开幕前从全国预计17省区多家文博单位调集至陕西历史博物馆及展览闭幕后所有展品归还至17省区多家文博单位的往返陆路运输、包装、拆包装、布撤展、保险、协助文物拍照等服务。文物数量：约300余件组，以采购人最终确定清单为准，文物估值20638万元，时间2025年4月至12月，全部展品安全回运至各借展单位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采购包1（《吉金·中国：中国青铜文明的兴起与繁荣》展览文物包装运输及保险）：属于专门面向中小企业采购。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证明：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p>
      <w:pPr>
        <w:pStyle w:val="null3"/>
      </w:pPr>
      <w:r>
        <w:rPr>
          <w:rFonts w:ascii="仿宋_GB2312" w:hAnsi="仿宋_GB2312" w:cs="仿宋_GB2312" w:eastAsia="仿宋_GB2312"/>
        </w:rPr>
        <w:t>2、注册证照：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p>
      <w:pPr>
        <w:pStyle w:val="null3"/>
      </w:pPr>
      <w:r>
        <w:rPr>
          <w:rFonts w:ascii="仿宋_GB2312" w:hAnsi="仿宋_GB2312" w:cs="仿宋_GB2312" w:eastAsia="仿宋_GB2312"/>
        </w:rPr>
        <w:t>3、供应商代表授权：提供法定代表人证明书及代表人授权委托书</w:t>
      </w:r>
    </w:p>
    <w:p>
      <w:pPr>
        <w:pStyle w:val="null3"/>
      </w:pPr>
      <w:r>
        <w:rPr>
          <w:rFonts w:ascii="仿宋_GB2312" w:hAnsi="仿宋_GB2312" w:cs="仿宋_GB2312" w:eastAsia="仿宋_GB2312"/>
        </w:rPr>
        <w:t>4、履约能力：提供具有履行本合同所必需的专业技术能力的声明</w:t>
      </w:r>
    </w:p>
    <w:p>
      <w:pPr>
        <w:pStyle w:val="null3"/>
      </w:pPr>
      <w:r>
        <w:rPr>
          <w:rFonts w:ascii="仿宋_GB2312" w:hAnsi="仿宋_GB2312" w:cs="仿宋_GB2312" w:eastAsia="仿宋_GB2312"/>
        </w:rPr>
        <w:t>5、财务状况证明：提供2023年度经第三方会计事务所审计过的财务报告，或磋商截止时间前6个月内基本账户银行出具的资信证明。注：①提供财务报告的，内容至少包括：审计报告、附注。②提供资信证明的，必须提供资信证明全部页以及基本户信息（提供开户许可证或提供基本银行账户信息加盖公章）。银行出具的存款证明不能代替资信证明，存款证明无效。</w:t>
      </w:r>
    </w:p>
    <w:p>
      <w:pPr>
        <w:pStyle w:val="null3"/>
      </w:pPr>
      <w:r>
        <w:rPr>
          <w:rFonts w:ascii="仿宋_GB2312" w:hAnsi="仿宋_GB2312" w:cs="仿宋_GB2312" w:eastAsia="仿宋_GB2312"/>
        </w:rPr>
        <w:t>6、纳税证明：提供2024年至今至少一次依法纳税的证明（税种须包含增值税或企业所得税），依法免税的应提供相关证明；成立不足一个月的提供将依法纳税的承诺书。注：①新成立企业（成立一个月内）暂无纳税的提供说明加盖公章。②零报税的提供申报成功的凭证。③时间以税款所属时段为准。</w:t>
      </w:r>
    </w:p>
    <w:p>
      <w:pPr>
        <w:pStyle w:val="null3"/>
      </w:pPr>
      <w:r>
        <w:rPr>
          <w:rFonts w:ascii="仿宋_GB2312" w:hAnsi="仿宋_GB2312" w:cs="仿宋_GB2312" w:eastAsia="仿宋_GB2312"/>
        </w:rPr>
        <w:t>7、社保缴纳证明：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p>
      <w:pPr>
        <w:pStyle w:val="null3"/>
      </w:pPr>
      <w:r>
        <w:rPr>
          <w:rFonts w:ascii="仿宋_GB2312" w:hAnsi="仿宋_GB2312" w:cs="仿宋_GB2312" w:eastAsia="仿宋_GB2312"/>
        </w:rPr>
        <w:t>8、联合体投标：不接受联合体投标，提供非联合体声明。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陕西历史博物馆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西安市雁塔区小寨东路91号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029-62739017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陕西瑞通工程造价咨询有限公司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西安市高新区科技路30号合力紫郡A座2204室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029-88224132-8007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采购包1：697,876.00元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开户名称：陕西瑞通工程造价咨询有限公司</w:t>
            </w:r>
          </w:p>
          <w:p>
            <w:pPr>
              <w:pStyle w:val="null3"/>
            </w:pPr>
            <w:r>
              <w:rPr>
                <w:rFonts w:ascii="仿宋_GB2312" w:hAnsi="仿宋_GB2312" w:cs="仿宋_GB2312" w:eastAsia="仿宋_GB2312"/>
              </w:rPr>
              <w:t>开户银行：中国民生银行西安分行营业部</w:t>
            </w:r>
          </w:p>
          <w:p>
            <w:pPr>
              <w:pStyle w:val="null3"/>
            </w:pPr>
            <w:r>
              <w:rPr>
                <w:rFonts w:ascii="仿宋_GB2312" w:hAnsi="仿宋_GB2312" w:cs="仿宋_GB2312" w:eastAsia="仿宋_GB2312"/>
              </w:rPr>
              <w:t>银行账号：698207824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颁布的《招标代理服务收费管理暂行办法》（计价格[2002]1980号）及发改办价格[2003]857号文件的规定以成交价为基础按服务类标准收取，投标人在下载中标通知书时一次性缴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陕西历史博物馆</w:t>
      </w:r>
      <w:r>
        <w:rPr>
          <w:rFonts w:ascii="仿宋_GB2312" w:hAnsi="仿宋_GB2312" w:cs="仿宋_GB2312" w:eastAsia="仿宋_GB2312"/>
        </w:rPr>
        <w:t>和</w:t>
      </w:r>
      <w:r>
        <w:rPr>
          <w:rFonts w:ascii="仿宋_GB2312" w:hAnsi="仿宋_GB2312" w:cs="仿宋_GB2312" w:eastAsia="仿宋_GB2312"/>
        </w:rPr>
        <w:t>陕西瑞通工程造价咨询有限公司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陕西历史博物馆</w:t>
      </w:r>
      <w:r>
        <w:rPr>
          <w:rFonts w:ascii="仿宋_GB2312" w:hAnsi="仿宋_GB2312" w:cs="仿宋_GB2312" w:eastAsia="仿宋_GB2312"/>
        </w:rPr>
        <w:t>负责解释。除上述磋商文件内容，其他内容由</w:t>
      </w:r>
      <w:r>
        <w:rPr>
          <w:rFonts w:ascii="仿宋_GB2312" w:hAnsi="仿宋_GB2312" w:cs="仿宋_GB2312" w:eastAsia="仿宋_GB2312"/>
        </w:rPr>
        <w:t>陕西瑞通工程造价咨询有限公司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陕西历史博物馆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陕西瑞通工程造价咨询有限公司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陕西瑞通工程造价咨询有限公司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联系人：贾工 喻工</w:t>
      </w:r>
    </w:p>
    <w:p>
      <w:pPr>
        <w:pStyle w:val="null3"/>
      </w:pPr>
      <w:r>
        <w:rPr>
          <w:rFonts w:ascii="仿宋_GB2312" w:hAnsi="仿宋_GB2312" w:cs="仿宋_GB2312" w:eastAsia="仿宋_GB2312"/>
        </w:rPr>
        <w:t>联系电话：029-88224132</w:t>
      </w:r>
    </w:p>
    <w:p>
      <w:pPr>
        <w:pStyle w:val="null3"/>
      </w:pPr>
      <w:r>
        <w:rPr>
          <w:rFonts w:ascii="仿宋_GB2312" w:hAnsi="仿宋_GB2312" w:cs="仿宋_GB2312" w:eastAsia="仿宋_GB2312"/>
        </w:rPr>
        <w:t>地址：西安市科技路30号合力紫郡A座22层2204</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展览项目涉及文物质地主要以青铜器、陶器、玉器为主，需根据参展文物具体情况提供部分文物包装箱制作，所有文物包装材料、包装、拆装、装箱、拆箱、装卸车、展览开幕前从全国预计17省区多家文博单位调集至陕西历史博物馆及展览闭幕后所有展品归还至17省区多家文博单位的往返陆路运输、包装、拆包装、布撤展、保险、协助文物拍照等服务。文物数量：约300余件组，以采购人最终确定清单为准，文物估值20638万元，时间2025年4月至12月，全部展品安全回运至各借展单位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697,876.00</w:t>
      </w:r>
    </w:p>
    <w:p>
      <w:pPr>
        <w:pStyle w:val="null3"/>
      </w:pPr>
      <w:r>
        <w:rPr>
          <w:rFonts w:ascii="仿宋_GB2312" w:hAnsi="仿宋_GB2312" w:cs="仿宋_GB2312" w:eastAsia="仿宋_GB2312"/>
        </w:rPr>
        <w:t>采购包最高限价（元）: 697,876.00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文物运输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697,876.00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标的名称：文物运输</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4"/>
                <w:color w:val="0000FF"/>
              </w:rPr>
              <w:t>一</w:t>
            </w:r>
            <w:r>
              <w:rPr>
                <w:rFonts w:ascii="仿宋_GB2312" w:hAnsi="仿宋_GB2312" w:cs="仿宋_GB2312" w:eastAsia="仿宋_GB2312"/>
                <w:sz w:val="24"/>
                <w:color w:val="0000FF"/>
              </w:rPr>
              <w:t>、技术要求</w:t>
            </w:r>
          </w:p>
          <w:p>
            <w:pPr>
              <w:pStyle w:val="null3"/>
              <w:jc w:val="both"/>
            </w:pPr>
            <w:r>
              <w:rPr>
                <w:rFonts w:ascii="仿宋_GB2312" w:hAnsi="仿宋_GB2312" w:cs="仿宋_GB2312" w:eastAsia="仿宋_GB2312"/>
                <w:sz w:val="24"/>
                <w:color w:val="0000FF"/>
              </w:rPr>
              <w:t>1.文物包装运输工作需遵循国家标准 GB/T23862-2024 文物运输包装规范。</w:t>
            </w:r>
          </w:p>
          <w:p>
            <w:pPr>
              <w:pStyle w:val="null3"/>
              <w:jc w:val="both"/>
            </w:pPr>
            <w:r>
              <w:rPr>
                <w:rFonts w:ascii="仿宋_GB2312" w:hAnsi="仿宋_GB2312" w:cs="仿宋_GB2312" w:eastAsia="仿宋_GB2312"/>
                <w:sz w:val="24"/>
                <w:color w:val="0000FF"/>
              </w:rPr>
              <w:t>2.提供部分文物的内、外包装箱制作。</w:t>
            </w:r>
          </w:p>
          <w:p>
            <w:pPr>
              <w:pStyle w:val="null3"/>
            </w:pPr>
            <w:r>
              <w:rPr>
                <w:rFonts w:ascii="仿宋_GB2312" w:hAnsi="仿宋_GB2312" w:cs="仿宋_GB2312" w:eastAsia="仿宋_GB2312"/>
                <w:sz w:val="24"/>
                <w:color w:val="0000FF"/>
              </w:rPr>
              <w:t>3、负责所有文物的包装/拆包装、布展/撤展、运输及全程保险服务（基于总估价</w:t>
            </w:r>
            <w:r>
              <w:rPr>
                <w:rFonts w:ascii="仿宋_GB2312" w:hAnsi="仿宋_GB2312" w:cs="仿宋_GB2312" w:eastAsia="仿宋_GB2312"/>
                <w:sz w:val="24"/>
                <w:color w:val="0000FF"/>
                <w:u w:val="single"/>
              </w:rPr>
              <w:t>20638</w:t>
            </w:r>
            <w:r>
              <w:rPr>
                <w:rFonts w:ascii="仿宋_GB2312" w:hAnsi="仿宋_GB2312" w:cs="仿宋_GB2312" w:eastAsia="仿宋_GB2312"/>
                <w:sz w:val="24"/>
                <w:color w:val="0000FF"/>
              </w:rPr>
              <w:t>万人民币，需包含门到门全程运输险和</w:t>
            </w:r>
            <w:r>
              <w:rPr>
                <w:rFonts w:ascii="仿宋_GB2312" w:hAnsi="仿宋_GB2312" w:cs="仿宋_GB2312" w:eastAsia="仿宋_GB2312"/>
                <w:sz w:val="24"/>
                <w:color w:val="0000FF"/>
                <w:u w:val="single"/>
              </w:rPr>
              <w:t>6</w:t>
            </w:r>
            <w:r>
              <w:rPr>
                <w:rFonts w:ascii="仿宋_GB2312" w:hAnsi="仿宋_GB2312" w:cs="仿宋_GB2312" w:eastAsia="仿宋_GB2312"/>
                <w:sz w:val="24"/>
                <w:color w:val="0000FF"/>
              </w:rPr>
              <w:t>个月展览期间保险）。</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jc w:val="both"/>
            </w:pPr>
            <w:r>
              <w:rPr>
                <w:rFonts w:ascii="仿宋_GB2312" w:hAnsi="仿宋_GB2312" w:cs="仿宋_GB2312" w:eastAsia="仿宋_GB2312"/>
                <w:sz w:val="24"/>
                <w:color w:val="0000FF"/>
              </w:rPr>
              <w:t>二</w:t>
            </w:r>
            <w:r>
              <w:rPr>
                <w:rFonts w:ascii="仿宋_GB2312" w:hAnsi="仿宋_GB2312" w:cs="仿宋_GB2312" w:eastAsia="仿宋_GB2312"/>
                <w:sz w:val="24"/>
                <w:color w:val="0000FF"/>
              </w:rPr>
              <w:t>、其他要求</w:t>
            </w:r>
          </w:p>
          <w:p>
            <w:pPr>
              <w:pStyle w:val="null3"/>
              <w:jc w:val="both"/>
            </w:pPr>
            <w:r>
              <w:rPr>
                <w:rFonts w:ascii="仿宋_GB2312" w:hAnsi="仿宋_GB2312" w:cs="仿宋_GB2312" w:eastAsia="仿宋_GB2312"/>
                <w:sz w:val="24"/>
                <w:color w:val="0000FF"/>
              </w:rPr>
              <w:t>1.</w:t>
            </w:r>
            <w:r>
              <w:rPr>
                <w:rFonts w:ascii="仿宋_GB2312" w:hAnsi="仿宋_GB2312" w:cs="仿宋_GB2312" w:eastAsia="仿宋_GB2312"/>
                <w:sz w:val="24"/>
                <w:color w:val="0000FF"/>
                <w:u w:val="single"/>
              </w:rPr>
              <w:t>供应商</w:t>
            </w:r>
            <w:r>
              <w:rPr>
                <w:rFonts w:ascii="仿宋_GB2312" w:hAnsi="仿宋_GB2312" w:cs="仿宋_GB2312" w:eastAsia="仿宋_GB2312"/>
                <w:sz w:val="24"/>
                <w:color w:val="0000FF"/>
                <w:u w:val="single"/>
              </w:rPr>
              <w:t>负有运输货物的安全责任。</w:t>
            </w:r>
          </w:p>
          <w:p>
            <w:pPr>
              <w:pStyle w:val="null3"/>
              <w:jc w:val="both"/>
            </w:pPr>
            <w:r>
              <w:rPr>
                <w:rFonts w:ascii="仿宋_GB2312" w:hAnsi="仿宋_GB2312" w:cs="仿宋_GB2312" w:eastAsia="仿宋_GB2312"/>
                <w:sz w:val="24"/>
                <w:color w:val="0000FF"/>
                <w:u w:val="single"/>
              </w:rPr>
              <w:t>2</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供应商应</w:t>
            </w:r>
            <w:r>
              <w:rPr>
                <w:rFonts w:ascii="仿宋_GB2312" w:hAnsi="仿宋_GB2312" w:cs="仿宋_GB2312" w:eastAsia="仿宋_GB2312"/>
                <w:sz w:val="24"/>
                <w:color w:val="0000FF"/>
                <w:u w:val="single"/>
              </w:rPr>
              <w:t>于操作前提供安全保障运输方案，如遇雷雨天、大风天气下的应急预案，在得到采购人批准后遵照</w:t>
            </w:r>
            <w:r>
              <w:rPr>
                <w:rFonts w:ascii="仿宋_GB2312" w:hAnsi="仿宋_GB2312" w:cs="仿宋_GB2312" w:eastAsia="仿宋_GB2312"/>
                <w:sz w:val="24"/>
                <w:color w:val="0000FF"/>
                <w:u w:val="single"/>
              </w:rPr>
              <w:t>执行。如因天气等不可抗力的因素造成运输任务不能按时完成，抵达卸货地，需及时通知采购人，成交供应商享有免责权利，但因成交供应商原因造成的上述情况除外。不得自行改变运输路线、运输方式等，否则，由此造成的损失由成交供应商承担。</w:t>
            </w:r>
          </w:p>
          <w:p>
            <w:pPr>
              <w:pStyle w:val="null3"/>
              <w:jc w:val="both"/>
            </w:pPr>
            <w:r>
              <w:rPr>
                <w:rFonts w:ascii="仿宋_GB2312" w:hAnsi="仿宋_GB2312" w:cs="仿宋_GB2312" w:eastAsia="仿宋_GB2312"/>
                <w:sz w:val="24"/>
                <w:color w:val="0000FF"/>
                <w:u w:val="single"/>
              </w:rPr>
              <w:t>3</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rPr>
              <w:t>人员要求：运输车辆的驾驶人员驾龄在</w:t>
            </w:r>
            <w:r>
              <w:rPr>
                <w:rFonts w:ascii="仿宋_GB2312" w:hAnsi="仿宋_GB2312" w:cs="仿宋_GB2312" w:eastAsia="仿宋_GB2312"/>
                <w:sz w:val="24"/>
                <w:color w:val="0000FF"/>
              </w:rPr>
              <w:t>10 年以上，且驾驶该类车辆经验丰富，可以及时处理各类突发状况。文物包装人员应为有5年以上文物包装经验的熟练工。</w:t>
            </w:r>
          </w:p>
          <w:p>
            <w:pPr>
              <w:pStyle w:val="null3"/>
              <w:jc w:val="both"/>
            </w:pPr>
            <w:r>
              <w:rPr>
                <w:rFonts w:ascii="仿宋_GB2312" w:hAnsi="仿宋_GB2312" w:cs="仿宋_GB2312" w:eastAsia="仿宋_GB2312"/>
                <w:sz w:val="24"/>
                <w:color w:val="0000FF"/>
                <w:u w:val="single"/>
              </w:rPr>
              <w:t>4</w:t>
            </w:r>
            <w:r>
              <w:rPr>
                <w:rFonts w:ascii="仿宋_GB2312" w:hAnsi="仿宋_GB2312" w:cs="仿宋_GB2312" w:eastAsia="仿宋_GB2312"/>
                <w:sz w:val="24"/>
                <w:color w:val="0000FF"/>
              </w:rPr>
              <w:t>.车辆要求：</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1）文物运输车辆必须为全封闭厢式货车。</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2）需配备车厢内的温湿度控制系统，保证车厢内的空气循环效果以及文物运输过程中的温湿度要求。且该系统不受车辆停泊、加油等车辆自身的情况影响导致停止工作。</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3）车辆需配备气垫减震系统，确保将文物运输过程中的震动幅度减至最小。</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4）车厢内部需有固定装载文物木箱的安全设施，确保文物运输途中不移位。</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5）车辆需配备自动升降尾板，确保文物装卸车时的稳定及安全，避免人工搬抬的跌落风险。</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6）配备车厢内的冷光源实时监控系统，无死角的检测整个车厢内部空间，且不会干扰车厢内部 环境状态，随时了解文物状况。</w:t>
            </w:r>
          </w:p>
          <w:p>
            <w:pPr>
              <w:pStyle w:val="null3"/>
              <w:jc w:val="both"/>
            </w:pPr>
            <w:r>
              <w:rPr>
                <w:rFonts w:ascii="仿宋_GB2312" w:hAnsi="仿宋_GB2312" w:cs="仿宋_GB2312" w:eastAsia="仿宋_GB2312"/>
                <w:sz w:val="24"/>
                <w:color w:val="0000FF"/>
              </w:rPr>
              <w:t>（</w:t>
            </w:r>
            <w:r>
              <w:rPr>
                <w:rFonts w:ascii="仿宋_GB2312" w:hAnsi="仿宋_GB2312" w:cs="仿宋_GB2312" w:eastAsia="仿宋_GB2312"/>
                <w:sz w:val="24"/>
                <w:color w:val="0000FF"/>
              </w:rPr>
              <w:t>7）配备车内消防设施，保证有意外情况发生时，可以第一时间进行处置，避免损失或将损失减至最低。</w:t>
            </w:r>
          </w:p>
          <w:p>
            <w:pPr>
              <w:pStyle w:val="null3"/>
            </w:pPr>
            <w:r>
              <w:rPr>
                <w:rFonts w:ascii="仿宋_GB2312" w:hAnsi="仿宋_GB2312" w:cs="仿宋_GB2312" w:eastAsia="仿宋_GB2312"/>
                <w:sz w:val="24"/>
                <w:color w:val="0000FF"/>
              </w:rPr>
              <w:t>（</w:t>
            </w:r>
            <w:r>
              <w:rPr>
                <w:rFonts w:ascii="仿宋_GB2312" w:hAnsi="仿宋_GB2312" w:cs="仿宋_GB2312" w:eastAsia="仿宋_GB2312"/>
                <w:sz w:val="24"/>
                <w:color w:val="0000FF"/>
              </w:rPr>
              <w:t>8）车辆配有 GPS 系统，可以随时监控车辆运行情况。</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sz w:val="24"/>
                <w:color w:val="0000FF"/>
              </w:rPr>
              <w:t>三、文物清单（见附件）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2025年4月至12月，全部展品安全回运至各借展单位止。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由采购人组织，根据采购合同、采购文件、投标文件，按照《财政部关于进一步加强政府采购需求和履约验收管理的指导意见》(财库〔2016〕205 号)进行验收。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采购合同签订生效之日起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展览开幕后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所有文物归还完毕后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供应商需在线提交所有通过电子化交易平台实施的政府采购项目的响应文件，另外，在磋商截止时间前向代理机构递交密封、系统生成的纸质版响应文件贰份（胶装，封袋标注供应商名称和项目名称）。代理机构对递交的文件签收，由监标人查验密封情况并记录，开标后交磋商小组，作为评审的辅助资料。递交方式：现场递交，或快递邮寄。 2.供应商请仔细阅读采购文件《第一章 竞争性磋商邀请》第六条“电子化采购相关事项”，提前做好线上开标准备。 3.本项目磋商在采购系统线上进行，供应商需自行了解系统磋商的要求和操作流程。未按流程操作或无法联系以及供应商自身原因错过磋商的视为自动放弃磋商，其投标无效。 4.中小企业： ①是否属于中小企业，供应商按《统计上大中小微型企业划分办法（2017）》（国统字﹝2017﹞213号）其他未列明行业划型标准判定，并承担责任。如判定原则与第六章及附件格式不一致的，以此为准。②若供应商填写的《中小企业声明函》中“采购文件中明确的所属行业”与采购文件第三章明确的标的所属行业不一致，将对供应商《中小企业声明函》中所填企业规模，按声明函中的资料进行复核，供应商应接受复核的结果，如无法复核，将不视为中小企业。 5.补充说明： （1）本项目磋商一次，磋商后供应商根据磋商内容在规定时间通过交易系统递交磋商响应函，逾期未递交的视为自动放弃竞争，磋商保证金退还。 （2）本项目采用两轮报价，响应文件中的报价为首次报价，磋商后的报价为最终报价。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未被信用中国网站列入失信被执行人和重大税收违法案件当事人名单、未被中国政府采购网列入政府采购严重违法失信行为记录名单（开标时系统查询），参加本次政府采购活动前3年内在经营活动中没有重大违纪并提供书面声明。</w:t>
            </w:r>
          </w:p>
        </w:tc>
        <w:tc>
          <w:tcPr>
            <w:tcW w:type="dxa" w:w="1661"/>
          </w:tcPr>
          <w:p>
            <w:pPr>
              <w:pStyle w:val="null3"/>
            </w:pPr>
            <w:r>
              <w:rPr>
                <w:rFonts w:ascii="仿宋_GB2312" w:hAnsi="仿宋_GB2312" w:cs="仿宋_GB2312" w:eastAsia="仿宋_GB2312"/>
              </w:rPr>
              <w:t>信用声明.docx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注册证照</w:t>
            </w:r>
          </w:p>
        </w:tc>
        <w:tc>
          <w:tcPr>
            <w:tcW w:type="dxa" w:w="3322"/>
          </w:tcPr>
          <w:p>
            <w:pPr>
              <w:pStyle w:val="null3"/>
            </w:pPr>
            <w:r>
              <w:rPr>
                <w:rFonts w:ascii="仿宋_GB2312" w:hAnsi="仿宋_GB2312" w:cs="仿宋_GB2312" w:eastAsia="仿宋_GB2312"/>
              </w:rPr>
              <w:t>法人企业提供带有统一社会信用代码营业执照，未提供的接受采购人通过国家企业信用信息公示系统（http://www.gsxt.gov.cn/index.html）进行相关信息的核实，并承担核实不到的后果；事业单位提供事业单位法人登记证；其他组织提供民办非企业单位登记证；专业服务机构提供执业许可证等；自然人提供身份证。</w:t>
            </w:r>
          </w:p>
        </w:tc>
        <w:tc>
          <w:tcPr>
            <w:tcW w:type="dxa" w:w="1661"/>
          </w:tcPr>
          <w:p>
            <w:pPr>
              <w:pStyle w:val="null3"/>
            </w:pPr>
            <w:r>
              <w:rPr>
                <w:rFonts w:ascii="仿宋_GB2312" w:hAnsi="仿宋_GB2312" w:cs="仿宋_GB2312" w:eastAsia="仿宋_GB2312"/>
              </w:rPr>
              <w:t>注册证照.docx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供应商代表授权</w:t>
            </w:r>
          </w:p>
        </w:tc>
        <w:tc>
          <w:tcPr>
            <w:tcW w:type="dxa" w:w="3322"/>
          </w:tcPr>
          <w:p>
            <w:pPr>
              <w:pStyle w:val="null3"/>
            </w:pPr>
            <w:r>
              <w:rPr>
                <w:rFonts w:ascii="仿宋_GB2312" w:hAnsi="仿宋_GB2312" w:cs="仿宋_GB2312" w:eastAsia="仿宋_GB2312"/>
              </w:rPr>
              <w:t>提供法定代表人证明书及代表人授权委托书</w:t>
            </w:r>
          </w:p>
        </w:tc>
        <w:tc>
          <w:tcPr>
            <w:tcW w:type="dxa" w:w="1661"/>
          </w:tcPr>
          <w:p>
            <w:pPr>
              <w:pStyle w:val="null3"/>
            </w:pPr>
            <w:r>
              <w:rPr>
                <w:rFonts w:ascii="仿宋_GB2312" w:hAnsi="仿宋_GB2312" w:cs="仿宋_GB2312" w:eastAsia="仿宋_GB2312"/>
              </w:rPr>
              <w:t>法定代表人证明书.docx 法定代表人授权委托书.docx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提供具有履行本合同所必需的专业技术能力的声明</w:t>
            </w:r>
          </w:p>
        </w:tc>
        <w:tc>
          <w:tcPr>
            <w:tcW w:type="dxa" w:w="1661"/>
          </w:tcPr>
          <w:p>
            <w:pPr>
              <w:pStyle w:val="null3"/>
            </w:pPr>
            <w:r>
              <w:rPr>
                <w:rFonts w:ascii="仿宋_GB2312" w:hAnsi="仿宋_GB2312" w:cs="仿宋_GB2312" w:eastAsia="仿宋_GB2312"/>
              </w:rPr>
              <w:t>履约能力声明.docx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2023年度经第三方会计事务所审计过的财务报告，或磋商截止时间前6个月内基本账户银行出具的资信证明。注：①提供财务报告的，内容至少包括：审计报告、附注。②提供资信证明的，必须提供资信证明全部页以及基本户信息（提供开户许可证或提供基本银行账户信息加盖公章）。银行出具的存款证明不能代替资信证明，存款证明无效。</w:t>
            </w:r>
          </w:p>
        </w:tc>
        <w:tc>
          <w:tcPr>
            <w:tcW w:type="dxa" w:w="1661"/>
          </w:tcPr>
          <w:p>
            <w:pPr>
              <w:pStyle w:val="null3"/>
            </w:pPr>
            <w:r>
              <w:rPr>
                <w:rFonts w:ascii="仿宋_GB2312" w:hAnsi="仿宋_GB2312" w:cs="仿宋_GB2312" w:eastAsia="仿宋_GB2312"/>
              </w:rPr>
              <w:t>财务状况证明.docx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2024年至今至少一次依法纳税的证明（税种须包含增值税或企业所得税），依法免税的应提供相关证明；成立不足一个月的提供将依法纳税的承诺书。注：①新成立企业（成立一个月内）暂无纳税的提供说明加盖公章。②零报税的提供申报成功的凭证。③时间以税款所属时段为准。</w:t>
            </w:r>
          </w:p>
        </w:tc>
        <w:tc>
          <w:tcPr>
            <w:tcW w:type="dxa" w:w="1661"/>
          </w:tcPr>
          <w:p>
            <w:pPr>
              <w:pStyle w:val="null3"/>
            </w:pPr>
            <w:r>
              <w:rPr>
                <w:rFonts w:ascii="仿宋_GB2312" w:hAnsi="仿宋_GB2312" w:cs="仿宋_GB2312" w:eastAsia="仿宋_GB2312"/>
              </w:rPr>
              <w:t>纳税证明.docx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2024年至今至少一个月的社会保障资金缴存凭证或社保机构开具的社会保险参保缴费情况证明；依法不需要缴纳社会保障资金的应提供链条完整的证明；成立不足一个月的提供将依法交纳社会保障资金的承诺书（格式自拟）。注：①供应商可自行打印带有社保机构公章的缴存凭证；或提供银行交纳单据，单据应显示社保缴存项（任一项）。②通过代缴方式缴存的，需提供链条完整的证明材料，证明材料至少包括代缴方的缴存凭证、供应商向代缴方用于缴存社保的银行转账单据。</w:t>
            </w:r>
          </w:p>
        </w:tc>
        <w:tc>
          <w:tcPr>
            <w:tcW w:type="dxa" w:w="1661"/>
          </w:tcPr>
          <w:p>
            <w:pPr>
              <w:pStyle w:val="null3"/>
            </w:pPr>
            <w:r>
              <w:rPr>
                <w:rFonts w:ascii="仿宋_GB2312" w:hAnsi="仿宋_GB2312" w:cs="仿宋_GB2312" w:eastAsia="仿宋_GB2312"/>
              </w:rPr>
              <w:t>社会保障资金缴纳证明.docx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不接受联合体投标，提供非联合体声明。</w:t>
            </w:r>
          </w:p>
        </w:tc>
        <w:tc>
          <w:tcPr>
            <w:tcW w:type="dxa" w:w="1661"/>
          </w:tcPr>
          <w:p>
            <w:pPr>
              <w:pStyle w:val="null3"/>
            </w:pPr>
            <w:r>
              <w:rPr>
                <w:rFonts w:ascii="仿宋_GB2312" w:hAnsi="仿宋_GB2312" w:cs="仿宋_GB2312" w:eastAsia="仿宋_GB2312"/>
              </w:rPr>
              <w:t>非联合体声明.docx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供应商应按格式填写单位名称，至少以下文件的名称须和营业执照、公章一致：1.响应文件封面。2.响应函</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首次投标报价</w:t>
            </w:r>
          </w:p>
        </w:tc>
        <w:tc>
          <w:tcPr>
            <w:tcW w:type="dxa" w:w="3322"/>
          </w:tcPr>
          <w:p>
            <w:pPr>
              <w:pStyle w:val="null3"/>
            </w:pPr>
            <w:r>
              <w:rPr>
                <w:rFonts w:ascii="仿宋_GB2312" w:hAnsi="仿宋_GB2312" w:cs="仿宋_GB2312" w:eastAsia="仿宋_GB2312"/>
              </w:rPr>
              <w:t>未超过采购预算且无选择性报价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2025年4月至12月，全部展品安全回运至各借展单位止。</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主要商务要求响应</w:t>
            </w:r>
          </w:p>
        </w:tc>
        <w:tc>
          <w:tcPr>
            <w:tcW w:type="dxa" w:w="3322"/>
          </w:tcPr>
          <w:p>
            <w:pPr>
              <w:pStyle w:val="null3"/>
            </w:pPr>
            <w:r>
              <w:rPr>
                <w:rFonts w:ascii="仿宋_GB2312" w:hAnsi="仿宋_GB2312" w:cs="仿宋_GB2312" w:eastAsia="仿宋_GB2312"/>
              </w:rPr>
              <w:t>采购合同签订生效之日起的30日内支付合同金额40%；展览开幕后的30日内，支付合同金额的20%，所有文物归还完毕后的30日内，支付合同金额的40%。</w:t>
            </w:r>
          </w:p>
        </w:tc>
        <w:tc>
          <w:tcPr>
            <w:tcW w:type="dxa" w:w="1661"/>
          </w:tcPr>
          <w:p>
            <w:pPr>
              <w:pStyle w:val="null3"/>
            </w:pPr>
            <w:r>
              <w:rPr>
                <w:rFonts w:ascii="仿宋_GB2312" w:hAnsi="仿宋_GB2312" w:cs="仿宋_GB2312" w:eastAsia="仿宋_GB2312"/>
              </w:rPr>
              <w:t>主要商务条款响应偏离表.docx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详细评审80.0000分</w:t>
            </w:r>
          </w:p>
          <w:p>
            <w:pPr>
              <w:pStyle w:val="null3"/>
            </w:pPr>
            <w:r>
              <w:rPr>
                <w:rFonts w:ascii="仿宋_GB2312" w:hAnsi="仿宋_GB2312" w:cs="仿宋_GB2312" w:eastAsia="仿宋_GB2312"/>
              </w:rPr>
              <w:t>报价得分20.0000分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了解文物包装与运输相关的规范和要求，对项目实施过程中的难点、重点有全面、准确的分析，并能提供针对性的解决思路。根据响应程度、详细程度计［2-0）分，未提供不得分。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项目重难点分析.docx</w:t>
            </w:r>
          </w:p>
        </w:tc>
      </w:tr>
      <w:tr>
        <w:tc>
          <w:tcPr>
            <w:tcW w:type="dxa" w:w="831"/>
            <w:vMerge/>
          </w:tcPr>
          <w:p/>
        </w:tc>
        <w:tc>
          <w:tcPr>
            <w:tcW w:type="dxa" w:w="1661"/>
          </w:tcPr>
          <w:p>
            <w:pPr>
              <w:pStyle w:val="null3"/>
            </w:pPr>
            <w:r>
              <w:rPr>
                <w:rFonts w:ascii="仿宋_GB2312" w:hAnsi="仿宋_GB2312" w:cs="仿宋_GB2312" w:eastAsia="仿宋_GB2312"/>
              </w:rPr>
              <w:t>装箱方案</w:t>
            </w:r>
          </w:p>
        </w:tc>
        <w:tc>
          <w:tcPr>
            <w:tcW w:type="dxa" w:w="2492"/>
          </w:tcPr>
          <w:p>
            <w:pPr>
              <w:pStyle w:val="null3"/>
            </w:pPr>
            <w:r>
              <w:rPr>
                <w:rFonts w:ascii="仿宋_GB2312" w:hAnsi="仿宋_GB2312" w:cs="仿宋_GB2312" w:eastAsia="仿宋_GB2312"/>
              </w:rPr>
              <w:t>供应商根据自身实力和经验提供装箱方案，包括但不限于装箱方式、装箱措施、安全保障措施等。 1.装箱链条完整，各环节内容详细，措施具体，符合国家现行规范和行业标准。根据完整程度、详细程度计［6-4）分。 2.装箱链条相对完整，有相应的措施，具有一定可行性。根据完整程度、详细程度、可行性计［4-1）分。 3.内容空洞或属于照搬照抄、针对性差，计［1-0）分，未提供不得分。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装箱方案.docx</w:t>
            </w:r>
          </w:p>
        </w:tc>
      </w:tr>
      <w:tr>
        <w:tc>
          <w:tcPr>
            <w:tcW w:type="dxa" w:w="831"/>
            <w:vMerge/>
          </w:tcPr>
          <w:p/>
        </w:tc>
        <w:tc>
          <w:tcPr>
            <w:tcW w:type="dxa" w:w="1661"/>
          </w:tcPr>
          <w:p>
            <w:pPr>
              <w:pStyle w:val="null3"/>
            </w:pPr>
            <w:r>
              <w:rPr>
                <w:rFonts w:ascii="仿宋_GB2312" w:hAnsi="仿宋_GB2312" w:cs="仿宋_GB2312" w:eastAsia="仿宋_GB2312"/>
              </w:rPr>
              <w:t>包装材料</w:t>
            </w:r>
          </w:p>
        </w:tc>
        <w:tc>
          <w:tcPr>
            <w:tcW w:type="dxa" w:w="2492"/>
          </w:tcPr>
          <w:p>
            <w:pPr>
              <w:pStyle w:val="null3"/>
            </w:pPr>
            <w:r>
              <w:rPr>
                <w:rFonts w:ascii="仿宋_GB2312" w:hAnsi="仿宋_GB2312" w:cs="仿宋_GB2312" w:eastAsia="仿宋_GB2312"/>
              </w:rPr>
              <w:t>供应商需提供针对本项目文物包装且符合国家标准的有效的材料(大类包括①表面防护包装材料②内部阻隔③防震与缓冲包装材料④箱体包装材料等)。 1.包装材料完整，选用标准清晰，用途具体，符合国家标准，且证明材料齐全，针对性可行性强，根据详细程度计［6-4）分； 2.包装材料基本完整，选用标准相对清晰，用途较为具体，材料符合国家标准，且有对应的证明材料，根据完善程度、详细程度、可行性计［4-1）分； 3.内容空洞或属于照搬照抄、针对性差，计［1-0）分，未提供不得分。 注：证明材料（包括但不限于带有CMA标志检测报告、实物照片等）。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包装材料.docx</w:t>
            </w:r>
          </w:p>
        </w:tc>
      </w:tr>
      <w:tr>
        <w:tc>
          <w:tcPr>
            <w:tcW w:type="dxa" w:w="831"/>
            <w:vMerge/>
          </w:tcPr>
          <w:p/>
        </w:tc>
        <w:tc>
          <w:tcPr>
            <w:tcW w:type="dxa" w:w="1661"/>
          </w:tcPr>
          <w:p>
            <w:pPr>
              <w:pStyle w:val="null3"/>
            </w:pPr>
            <w:r>
              <w:rPr>
                <w:rFonts w:ascii="仿宋_GB2312" w:hAnsi="仿宋_GB2312" w:cs="仿宋_GB2312" w:eastAsia="仿宋_GB2312"/>
              </w:rPr>
              <w:t>运输方案</w:t>
            </w:r>
          </w:p>
        </w:tc>
        <w:tc>
          <w:tcPr>
            <w:tcW w:type="dxa" w:w="2492"/>
          </w:tcPr>
          <w:p>
            <w:pPr>
              <w:pStyle w:val="null3"/>
            </w:pPr>
            <w:r>
              <w:rPr>
                <w:rFonts w:ascii="仿宋_GB2312" w:hAnsi="仿宋_GB2312" w:cs="仿宋_GB2312" w:eastAsia="仿宋_GB2312"/>
              </w:rPr>
              <w:t>供应商根据自身实力和经验提供运输方案，包括但不限于：①前期准备②配车计划③路线规划④装卸、加固⑤运输管控。本项共计10分，每项最高2分。 各项内容详细、措施具体、符合国家现行规范和行业标准、针对性可行性强。根据响应程度、详细程度计［2-0）分，未提供的不得分。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运输方案.docx</w:t>
            </w:r>
          </w:p>
        </w:tc>
      </w:tr>
      <w:tr>
        <w:tc>
          <w:tcPr>
            <w:tcW w:type="dxa" w:w="831"/>
            <w:vMerge/>
          </w:tcPr>
          <w:p/>
        </w:tc>
        <w:tc>
          <w:tcPr>
            <w:tcW w:type="dxa" w:w="1661"/>
          </w:tcPr>
          <w:p>
            <w:pPr>
              <w:pStyle w:val="null3"/>
            </w:pPr>
            <w:r>
              <w:rPr>
                <w:rFonts w:ascii="仿宋_GB2312" w:hAnsi="仿宋_GB2312" w:cs="仿宋_GB2312" w:eastAsia="仿宋_GB2312"/>
              </w:rPr>
              <w:t>临存方案</w:t>
            </w:r>
          </w:p>
        </w:tc>
        <w:tc>
          <w:tcPr>
            <w:tcW w:type="dxa" w:w="2492"/>
          </w:tcPr>
          <w:p>
            <w:pPr>
              <w:pStyle w:val="null3"/>
            </w:pPr>
            <w:r>
              <w:rPr>
                <w:rFonts w:ascii="仿宋_GB2312" w:hAnsi="仿宋_GB2312" w:cs="仿宋_GB2312" w:eastAsia="仿宋_GB2312"/>
              </w:rPr>
              <w:t>供应商根据自身实力和经验提供文物临存方案，包括但不限于装箱过程、运输过程、布展过程的文物临存措施等。 临存措施具体，链条清晰，安全可靠。根据响应程度计［2-0）分，未提供的不得分。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临存方案.docx</w:t>
            </w:r>
          </w:p>
        </w:tc>
      </w:tr>
      <w:tr>
        <w:tc>
          <w:tcPr>
            <w:tcW w:type="dxa" w:w="831"/>
            <w:vMerge/>
          </w:tcPr>
          <w:p/>
        </w:tc>
        <w:tc>
          <w:tcPr>
            <w:tcW w:type="dxa" w:w="1661"/>
          </w:tcPr>
          <w:p>
            <w:pPr>
              <w:pStyle w:val="null3"/>
            </w:pPr>
            <w:r>
              <w:rPr>
                <w:rFonts w:ascii="仿宋_GB2312" w:hAnsi="仿宋_GB2312" w:cs="仿宋_GB2312" w:eastAsia="仿宋_GB2312"/>
              </w:rPr>
              <w:t>资料记录管理</w:t>
            </w:r>
          </w:p>
        </w:tc>
        <w:tc>
          <w:tcPr>
            <w:tcW w:type="dxa" w:w="2492"/>
          </w:tcPr>
          <w:p>
            <w:pPr>
              <w:pStyle w:val="null3"/>
            </w:pPr>
            <w:r>
              <w:rPr>
                <w:rFonts w:ascii="仿宋_GB2312" w:hAnsi="仿宋_GB2312" w:cs="仿宋_GB2312" w:eastAsia="仿宋_GB2312"/>
              </w:rPr>
              <w:t>供应商根据自身实力和经验提供文物资料管理方案，包括但不限于管理制度、过程标识、记录等。 1.提供详细的文物搬运资料管理制度计2分，未提供的不得分。 2.标识清晰，记录链条完整。根据详细程度及响应程度计［2-0）分，未提供不得分。 2.需提供资料记录管理表单模板，表单模板完整、清晰、易用性强，根据响应程度计［2-0）分，未提供不得分。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资料记录管理.docx</w:t>
            </w:r>
          </w:p>
        </w:tc>
      </w:tr>
      <w:tr>
        <w:tc>
          <w:tcPr>
            <w:tcW w:type="dxa" w:w="831"/>
            <w:vMerge/>
          </w:tcPr>
          <w:p/>
        </w:tc>
        <w:tc>
          <w:tcPr>
            <w:tcW w:type="dxa" w:w="1661"/>
          </w:tcPr>
          <w:p>
            <w:pPr>
              <w:pStyle w:val="null3"/>
            </w:pPr>
            <w:r>
              <w:rPr>
                <w:rFonts w:ascii="仿宋_GB2312" w:hAnsi="仿宋_GB2312" w:cs="仿宋_GB2312" w:eastAsia="仿宋_GB2312"/>
              </w:rPr>
              <w:t>保险方案</w:t>
            </w:r>
          </w:p>
        </w:tc>
        <w:tc>
          <w:tcPr>
            <w:tcW w:type="dxa" w:w="2492"/>
          </w:tcPr>
          <w:p>
            <w:pPr>
              <w:pStyle w:val="null3"/>
            </w:pPr>
            <w:r>
              <w:rPr>
                <w:rFonts w:ascii="仿宋_GB2312" w:hAnsi="仿宋_GB2312" w:cs="仿宋_GB2312" w:eastAsia="仿宋_GB2312"/>
              </w:rPr>
              <w:t>供应商需提供针对本项目的保险方案，包括但不限于保险公司的选择，投保流程，投保标准，理赔流程等。 保险方案完整，投保单位可靠，投保内容具体，流程清晰，理赔流程方便、快捷，满足采购需求。根据完整程度及响应程度计［2-0）分，未提供的不得分。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保险方案.docx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供应商根据自身实力和经验提供保密方案，包括但不限于保密制度、保密措施、责任划分等。 1.保密制度完整，措施具体，责任划分清晰，根据完整程度及详细程度计［5-4）分。 2.保密制度基本完整，措施相对具体，有基本的责任划分，根据完整程度及详细程度计［4-1）分。 3.内容空洞或属于照搬照抄、针对性差，计［1-0）分，未提供不得分。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供应商应根据自身实力和经验编制应急预案，应包含针对本项目可能发生的突发事件及其它不可预测的风险，包括但不限于交通管制、极端天气应对、物资损坏、等。 1.应急预案完整、详细，措施具体，可行性强。根据详细程度计[6-4）分； 2.应急预案基本完整、相对详细，有相应的措施，有一定的可行性。根据详细程度计[4-1）分； （3）内容空洞或属于照搬照抄、针对性差，计［1-0）分，未提供不得分。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车辆配置</w:t>
            </w:r>
          </w:p>
        </w:tc>
        <w:tc>
          <w:tcPr>
            <w:tcW w:type="dxa" w:w="2492"/>
          </w:tcPr>
          <w:p>
            <w:pPr>
              <w:pStyle w:val="null3"/>
            </w:pPr>
            <w:r>
              <w:rPr>
                <w:rFonts w:ascii="仿宋_GB2312" w:hAnsi="仿宋_GB2312" w:cs="仿宋_GB2312" w:eastAsia="仿宋_GB2312"/>
              </w:rPr>
              <w:t>供应商需配置针对本项目的运输车辆，车辆需符合文物安全运输要求且配有减震气垫、温控设备、电动升降尾板、可视化监控系统（车厢内及车厢外）、GPS定位系统、安全中心控制室监控，手机实时监控。 每提供1辆得1分，最高6分。注：自有的需提供车辆购置发票，租赁的需提供租赁协议，行驶证、车型公告，车辆设备系统介绍证明资料及相关的照片并加盖投标人公章。资料不全或不能说明车辆配置的不得分。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车辆配置.docx</w:t>
            </w:r>
          </w:p>
        </w:tc>
      </w:tr>
      <w:tr>
        <w:tc>
          <w:tcPr>
            <w:tcW w:type="dxa" w:w="831"/>
            <w:vMerge/>
          </w:tcPr>
          <w:p/>
        </w:tc>
        <w:tc>
          <w:tcPr>
            <w:tcW w:type="dxa" w:w="1661"/>
          </w:tcPr>
          <w:p>
            <w:pPr>
              <w:pStyle w:val="null3"/>
            </w:pPr>
            <w:r>
              <w:rPr>
                <w:rFonts w:ascii="仿宋_GB2312" w:hAnsi="仿宋_GB2312" w:cs="仿宋_GB2312" w:eastAsia="仿宋_GB2312"/>
              </w:rPr>
              <w:t>搬运工具</w:t>
            </w:r>
          </w:p>
        </w:tc>
        <w:tc>
          <w:tcPr>
            <w:tcW w:type="dxa" w:w="2492"/>
          </w:tcPr>
          <w:p>
            <w:pPr>
              <w:pStyle w:val="null3"/>
            </w:pPr>
            <w:r>
              <w:rPr>
                <w:rFonts w:ascii="仿宋_GB2312" w:hAnsi="仿宋_GB2312" w:cs="仿宋_GB2312" w:eastAsia="仿宋_GB2312"/>
              </w:rPr>
              <w:t>供应商需提供针对本项目的装运工具和设备方案，包括但不限于工具箱、搬运推车、电动装卸叉车等。 装运工具和设备明晰，数量具体，产权清晰，用途明确，与供应商本项目的装箱、运输等方案相匹配，根据响应程度计［2-0）分。 注：①需提供工具和设备清单，未提供不得分。②需提供工具和设备产权证明，自有的需提供购置发票，租赁的需提供租赁协议，未提供的不得分。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搬运工具.docx</w:t>
            </w:r>
          </w:p>
        </w:tc>
      </w:tr>
      <w:tr>
        <w:tc>
          <w:tcPr>
            <w:tcW w:type="dxa" w:w="831"/>
            <w:vMerge/>
          </w:tcPr>
          <w:p/>
        </w:tc>
        <w:tc>
          <w:tcPr>
            <w:tcW w:type="dxa" w:w="1661"/>
          </w:tcPr>
          <w:p>
            <w:pPr>
              <w:pStyle w:val="null3"/>
            </w:pPr>
            <w:r>
              <w:rPr>
                <w:rFonts w:ascii="仿宋_GB2312" w:hAnsi="仿宋_GB2312" w:cs="仿宋_GB2312" w:eastAsia="仿宋_GB2312"/>
              </w:rPr>
              <w:t>人员</w:t>
            </w:r>
          </w:p>
        </w:tc>
        <w:tc>
          <w:tcPr>
            <w:tcW w:type="dxa" w:w="2492"/>
          </w:tcPr>
          <w:p>
            <w:pPr>
              <w:pStyle w:val="null3"/>
            </w:pPr>
            <w:r>
              <w:rPr>
                <w:rFonts w:ascii="仿宋_GB2312" w:hAnsi="仿宋_GB2312" w:cs="仿宋_GB2312" w:eastAsia="仿宋_GB2312"/>
              </w:rPr>
              <w:t>1.驾驶员（6分） 每提供1名10年以上驾龄、B2以上驾照的驾驶员得0.5分，最高6分。注：需提供驾驶员身份证、驾驶证（驾驶证须能显示初次领取驾驶证的时间，不能显示时间的不予认定）、与供应商签订的劳动合同/劳务合同或磋商截止日前6个月内任意一个月为其缴纳社保的证明。 2.文物包装人员（6分） 每提供1名具有5年以上从事文物包装运输、博物馆搬迁运输行业操作经验的人员计0.5分，最高6分。注：需提供身份证、工作简历表，磋商截止日前6个月内任意一个月为其缴纳的社保证明。 工作经验以简历表为准。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人员配置表.docx</w:t>
            </w:r>
          </w:p>
        </w:tc>
      </w:tr>
      <w:tr>
        <w:tc>
          <w:tcPr>
            <w:tcW w:type="dxa" w:w="831"/>
            <w:vMerge/>
          </w:tcPr>
          <w:p/>
        </w:tc>
        <w:tc>
          <w:tcPr>
            <w:tcW w:type="dxa" w:w="1661"/>
          </w:tcPr>
          <w:p>
            <w:pPr>
              <w:pStyle w:val="null3"/>
            </w:pPr>
            <w:r>
              <w:rPr>
                <w:rFonts w:ascii="仿宋_GB2312" w:hAnsi="仿宋_GB2312" w:cs="仿宋_GB2312" w:eastAsia="仿宋_GB2312"/>
              </w:rPr>
              <w:t>安全培训</w:t>
            </w:r>
          </w:p>
        </w:tc>
        <w:tc>
          <w:tcPr>
            <w:tcW w:type="dxa" w:w="2492"/>
          </w:tcPr>
          <w:p>
            <w:pPr>
              <w:pStyle w:val="null3"/>
            </w:pPr>
            <w:r>
              <w:rPr>
                <w:rFonts w:ascii="仿宋_GB2312" w:hAnsi="仿宋_GB2312" w:cs="仿宋_GB2312" w:eastAsia="仿宋_GB2312"/>
              </w:rPr>
              <w:t>供应商需提供针对本项目的人员培训方案，包括但不限于文物搬运规范、规程、流程等。 培训方案内容详细、方式具体、考核制度和措施完善。根据完整程度及响应程度计［2-0）分，未提供的不得分。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安全培训.docx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供应商提供针对本项目的服务承诺，应包含：服务内容及范围、服务响应时效、服务优惠措施等。 服务承诺充实详细、具体可行，针对性强，根据响应程度计[2-0）分；未提供不得分。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供应商具有完善的质量管理体系认证、环境管理体系认证、职业健康安全管理体系认证，且认证范围包含文物包装运输相关内容的，提供认证证书，每提供一个计1分，最高计3分。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对供应商2022年3月1日以来同类项目业绩进行评审，本项最高8分。 1.每提供1份文物运输及投保的业绩计2分。 2.每提供1份文物运输或投保的业绩计1分。 注:①需提供合同。②业绩以合同为准，时间以合同签订时间为准。③投保合同应与运输合同内容匹配。</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价格分采用低价优先法，即实质性满足磋商文件要求且最终磋商报价最低的为磋商基准价，其价格分为满分（20分）。其他供应商的价格分按照下列公式计算：磋商报价得分=(磋商基准价/磋商报价)×20。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详见附件：财务状况证明.docx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详见附件：法定代表人证明书.docx</w:t>
      </w:r>
    </w:p>
    <w:p>
      <w:pPr>
        <w:pStyle w:val="null3"/>
        <w:ind w:firstLine="960"/>
      </w:pPr>
      <w:r>
        <w:rPr>
          <w:rFonts w:ascii="仿宋_GB2312" w:hAnsi="仿宋_GB2312" w:cs="仿宋_GB2312" w:eastAsia="仿宋_GB2312"/>
        </w:rPr>
        <w:t>详见附件：非联合体声明.docx</w:t>
      </w:r>
    </w:p>
    <w:p>
      <w:pPr>
        <w:pStyle w:val="null3"/>
        <w:ind w:firstLine="960"/>
      </w:pPr>
      <w:r>
        <w:rPr>
          <w:rFonts w:ascii="仿宋_GB2312" w:hAnsi="仿宋_GB2312" w:cs="仿宋_GB2312" w:eastAsia="仿宋_GB2312"/>
        </w:rPr>
        <w:t>详见附件：履约能力声明.docx</w:t>
      </w:r>
    </w:p>
    <w:p>
      <w:pPr>
        <w:pStyle w:val="null3"/>
        <w:ind w:firstLine="960"/>
      </w:pPr>
      <w:r>
        <w:rPr>
          <w:rFonts w:ascii="仿宋_GB2312" w:hAnsi="仿宋_GB2312" w:cs="仿宋_GB2312" w:eastAsia="仿宋_GB2312"/>
        </w:rPr>
        <w:t>详见附件：纳税证明.docx</w:t>
      </w:r>
    </w:p>
    <w:p>
      <w:pPr>
        <w:pStyle w:val="null3"/>
        <w:ind w:firstLine="960"/>
      </w:pPr>
      <w:r>
        <w:rPr>
          <w:rFonts w:ascii="仿宋_GB2312" w:hAnsi="仿宋_GB2312" w:cs="仿宋_GB2312" w:eastAsia="仿宋_GB2312"/>
        </w:rPr>
        <w:t>详见附件：社会保障资金缴纳证明.docx</w:t>
      </w:r>
    </w:p>
    <w:p>
      <w:pPr>
        <w:pStyle w:val="null3"/>
        <w:ind w:firstLine="960"/>
      </w:pPr>
      <w:r>
        <w:rPr>
          <w:rFonts w:ascii="仿宋_GB2312" w:hAnsi="仿宋_GB2312" w:cs="仿宋_GB2312" w:eastAsia="仿宋_GB2312"/>
        </w:rPr>
        <w:t>详见附件：信用声明.docx</w:t>
      </w:r>
    </w:p>
    <w:p>
      <w:pPr>
        <w:pStyle w:val="null3"/>
        <w:ind w:firstLine="960"/>
      </w:pPr>
      <w:r>
        <w:rPr>
          <w:rFonts w:ascii="仿宋_GB2312" w:hAnsi="仿宋_GB2312" w:cs="仿宋_GB2312" w:eastAsia="仿宋_GB2312"/>
        </w:rPr>
        <w:t>详见附件：注册证照.docx</w:t>
      </w:r>
    </w:p>
    <w:p>
      <w:pPr>
        <w:pStyle w:val="null3"/>
        <w:ind w:firstLine="960"/>
      </w:pPr>
      <w:r>
        <w:rPr>
          <w:rFonts w:ascii="仿宋_GB2312" w:hAnsi="仿宋_GB2312" w:cs="仿宋_GB2312" w:eastAsia="仿宋_GB2312"/>
        </w:rPr>
        <w:t>详见附件：主要商务条款响应偏离表.docx</w:t>
      </w:r>
    </w:p>
    <w:p>
      <w:pPr>
        <w:pStyle w:val="null3"/>
        <w:ind w:firstLine="960"/>
      </w:pPr>
      <w:r>
        <w:rPr>
          <w:rFonts w:ascii="仿宋_GB2312" w:hAnsi="仿宋_GB2312" w:cs="仿宋_GB2312" w:eastAsia="仿宋_GB2312"/>
        </w:rPr>
        <w:t>详见附件：安全培训.docx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详见附件：保险方案.docx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详见附件：临存方案.docx</w:t>
      </w:r>
    </w:p>
    <w:p>
      <w:pPr>
        <w:pStyle w:val="null3"/>
        <w:ind w:firstLine="960"/>
      </w:pPr>
      <w:r>
        <w:rPr>
          <w:rFonts w:ascii="仿宋_GB2312" w:hAnsi="仿宋_GB2312" w:cs="仿宋_GB2312" w:eastAsia="仿宋_GB2312"/>
        </w:rPr>
        <w:t>详见附件：搬运工具.docx</w:t>
      </w:r>
    </w:p>
    <w:p>
      <w:pPr>
        <w:pStyle w:val="null3"/>
        <w:ind w:firstLine="960"/>
      </w:pPr>
      <w:r>
        <w:rPr>
          <w:rFonts w:ascii="仿宋_GB2312" w:hAnsi="仿宋_GB2312" w:cs="仿宋_GB2312" w:eastAsia="仿宋_GB2312"/>
        </w:rPr>
        <w:t>详见附件：车辆配置.docx</w:t>
      </w:r>
    </w:p>
    <w:p>
      <w:pPr>
        <w:pStyle w:val="null3"/>
        <w:ind w:firstLine="960"/>
      </w:pPr>
      <w:r>
        <w:rPr>
          <w:rFonts w:ascii="仿宋_GB2312" w:hAnsi="仿宋_GB2312" w:cs="仿宋_GB2312" w:eastAsia="仿宋_GB2312"/>
        </w:rPr>
        <w:t>详见附件：企业实力.docx</w:t>
      </w:r>
    </w:p>
    <w:p>
      <w:pPr>
        <w:pStyle w:val="null3"/>
        <w:ind w:firstLine="960"/>
      </w:pPr>
      <w:r>
        <w:rPr>
          <w:rFonts w:ascii="仿宋_GB2312" w:hAnsi="仿宋_GB2312" w:cs="仿宋_GB2312" w:eastAsia="仿宋_GB2312"/>
        </w:rPr>
        <w:t>详见附件：人员配置表.docx</w:t>
      </w:r>
    </w:p>
    <w:p>
      <w:pPr>
        <w:pStyle w:val="null3"/>
        <w:ind w:firstLine="960"/>
      </w:pPr>
      <w:r>
        <w:rPr>
          <w:rFonts w:ascii="仿宋_GB2312" w:hAnsi="仿宋_GB2312" w:cs="仿宋_GB2312" w:eastAsia="仿宋_GB2312"/>
        </w:rPr>
        <w:t>详见附件：项目重难点分析.docx</w:t>
      </w:r>
    </w:p>
    <w:p>
      <w:pPr>
        <w:pStyle w:val="null3"/>
        <w:ind w:firstLine="960"/>
      </w:pPr>
      <w:r>
        <w:rPr>
          <w:rFonts w:ascii="仿宋_GB2312" w:hAnsi="仿宋_GB2312" w:cs="仿宋_GB2312" w:eastAsia="仿宋_GB2312"/>
        </w:rPr>
        <w:t>详见附件：业绩情况表.docx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详见附件：运输方案.docx</w:t>
      </w:r>
    </w:p>
    <w:p>
      <w:pPr>
        <w:pStyle w:val="null3"/>
        <w:ind w:firstLine="960"/>
      </w:pPr>
      <w:r>
        <w:rPr>
          <w:rFonts w:ascii="仿宋_GB2312" w:hAnsi="仿宋_GB2312" w:cs="仿宋_GB2312" w:eastAsia="仿宋_GB2312"/>
        </w:rPr>
        <w:t>详见附件：装箱方案.docx</w:t>
      </w:r>
    </w:p>
    <w:p>
      <w:pPr>
        <w:pStyle w:val="null3"/>
        <w:ind w:firstLine="960"/>
      </w:pPr>
      <w:r>
        <w:rPr>
          <w:rFonts w:ascii="仿宋_GB2312" w:hAnsi="仿宋_GB2312" w:cs="仿宋_GB2312" w:eastAsia="仿宋_GB2312"/>
        </w:rPr>
        <w:t>详见附件：资料记录管理.docx</w:t>
      </w:r>
    </w:p>
    <w:p>
      <w:pPr>
        <w:pStyle w:val="null3"/>
        <w:ind w:firstLine="960"/>
      </w:pPr>
      <w:r>
        <w:rPr>
          <w:rFonts w:ascii="仿宋_GB2312" w:hAnsi="仿宋_GB2312" w:cs="仿宋_GB2312" w:eastAsia="仿宋_GB2312"/>
        </w:rPr>
        <w:t>详见附件：包装材料.docx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