
<file path=[Content_Types].xml><?xml version="1.0" encoding="utf-8"?>
<Types xmlns="http://schemas.openxmlformats.org/package/2006/content-types">
  <Default ContentType="image/jpeg" Extension="jpeg"/>
  <Default ContentType="image/png" Extension="png"/>
  <Default ContentType="application/vnd.openxmlformats-package.relationships+xml" Extension="rels"/>
  <Default ContentType="application/xml" Extension="xml"/>
  <Override ContentType="application/vnd.openxmlformats-officedocument.customXmlProperties+xml" PartName="/customXml/itemProps1.xml"/>
  <Override ContentType="application/vnd.openxmlformats-officedocument.extended-properties+xml" PartName="/docProps/app.xml"/>
  <Override ContentType="application/vnd.openxmlformats-package.core-properties+xml" PartName="/docProps/core.xml"/>
  <Override ContentType="application/vnd.openxmlformats-officedocument.custom-properties+xml" PartName="/docProps/custom.xml"/>
  <Override ContentType="application/vnd.openxmlformats-officedocument.wordprocessingml.document.main+xml" PartName="/word/document.xml"/>
  <Override ContentType="application/vnd.openxmlformats-officedocument.wordprocessingml.fontTable+xml" PartName="/word/fontTable.xml"/>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theme+xml" PartName="/word/theme/theme1.xml"/>
</Types>
</file>

<file path=_rels/.rels><?xml version="1.0" encoding="UTF-8" standalone="yes"?><Relationships xmlns="http://schemas.openxmlformats.org/package/2006/relationships"><Relationship Id="rId1" Target="docProps/app.xml" Type="http://schemas.openxmlformats.org/officeDocument/2006/relationships/extended-properties"/><Relationship Id="rId2" Target="docProps/core.xml" Type="http://schemas.openxmlformats.org/package/2006/relationships/metadata/core-properties"/><Relationship Id="rId3" Target="docProps/custom.xml" Type="http://schemas.openxmlformats.org/officeDocument/2006/relationships/custom-properties"/><Relationship Id="rId4" Target="word/document.xml" Type="http://schemas.openxmlformats.org/officeDocument/2006/relationships/officeDocument"/></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null3"/>
        <w:rPr>
          <w:rFonts w:hint="eastAsia"/>
          <w:lang w:val="en-US" w:eastAsia="zh-Hans"/>
        </w:rPr>
      </w:pPr>
      <w:r>
        <w:br/>
      </w:r>
    </w:p>
    <w:p>
      <w:pPr>
        <w:pStyle w:val="null3"/>
      </w:pPr>
      <w:r>
        <w:rPr>
          <w:rFonts w:ascii="仿宋_GB2312" w:hAnsi="仿宋_GB2312" w:cs="仿宋_GB2312" w:eastAsia="仿宋_GB2312"/>
          <w:b/>
        </w:rPr>
        <w:t>版本号：ZX2025-03-3220250327001</w:t>
      </w:r>
      <w:r>
        <w:br/>
      </w:r>
      <w:r>
        <w:br/>
      </w:r>
      <w:r>
        <w:br/>
      </w:r>
      <w:r>
        <w:br/>
      </w:r>
      <w:r>
        <w:br/>
      </w:r>
    </w:p>
    <w:p>
      <w:pPr>
        <w:pStyle w:val="null3"/>
        <w:jc w:val="center"/>
        <w:outlineLvl w:val="0"/>
      </w:pPr>
      <w:r>
        <w:rPr>
          <w:rFonts w:ascii="仿宋_GB2312" w:hAnsi="仿宋_GB2312" w:cs="仿宋_GB2312" w:eastAsia="仿宋_GB2312"/>
          <w:sz w:val="48"/>
          <w:b/>
        </w:rPr>
        <w:t>招 标 文 件</w:t>
      </w:r>
      <w:r>
        <w:br/>
      </w:r>
      <w:r>
        <w:br/>
      </w:r>
      <w:r>
        <w:br/>
      </w:r>
    </w:p>
    <w:p>
      <w:pPr>
        <w:pStyle w:val="null3"/>
        <w:jc w:val="center"/>
        <w:outlineLvl w:val="1"/>
      </w:pPr>
      <w:r>
        <w:rPr>
          <w:rFonts w:ascii="仿宋_GB2312" w:hAnsi="仿宋_GB2312" w:cs="仿宋_GB2312" w:eastAsia="仿宋_GB2312"/>
          <w:sz w:val="36"/>
          <w:b/>
        </w:rPr>
        <w:t>（服务类）</w:t>
      </w:r>
      <w:r>
        <w:br/>
      </w:r>
      <w:r>
        <w:br/>
      </w:r>
      <w:r>
        <w:br/>
      </w:r>
      <w:r>
        <w:br/>
      </w:r>
      <w:r>
        <w:br/>
      </w:r>
      <w:r>
        <w:br/>
      </w:r>
      <w:r>
        <w:br/>
      </w:r>
      <w:r>
        <w:br/>
      </w:r>
      <w:r>
        <w:br/>
      </w:r>
      <w:r>
        <w:br/>
      </w:r>
      <w:r>
        <w:br/>
      </w:r>
    </w:p>
    <w:p>
      <w:pPr>
        <w:pStyle w:val="null3"/>
        <w:jc w:val="center"/>
        <w:outlineLvl w:val="2"/>
      </w:pPr>
      <w:r>
        <w:rPr>
          <w:rFonts w:ascii="仿宋_GB2312" w:hAnsi="仿宋_GB2312" w:cs="仿宋_GB2312" w:eastAsia="仿宋_GB2312"/>
          <w:sz w:val="28"/>
          <w:b/>
        </w:rPr>
        <w:t>采购项目名称：</w:t>
      </w:r>
      <w:r>
        <w:rPr>
          <w:rFonts w:ascii="仿宋_GB2312" w:hAnsi="仿宋_GB2312" w:cs="仿宋_GB2312" w:eastAsia="仿宋_GB2312"/>
          <w:sz w:val="28"/>
          <w:b/>
        </w:rPr>
        <w:t>热敏票采购项目</w:t>
      </w:r>
    </w:p>
    <w:p>
      <w:pPr>
        <w:pStyle w:val="null3"/>
        <w:jc w:val="center"/>
        <w:outlineLvl w:val="2"/>
      </w:pPr>
      <w:r>
        <w:rPr>
          <w:rFonts w:ascii="仿宋_GB2312" w:hAnsi="仿宋_GB2312" w:cs="仿宋_GB2312" w:eastAsia="仿宋_GB2312"/>
          <w:sz w:val="28"/>
          <w:b/>
        </w:rPr>
        <w:t>采购项目编号：</w:t>
      </w:r>
      <w:r>
        <w:rPr>
          <w:rFonts w:ascii="仿宋_GB2312" w:hAnsi="仿宋_GB2312" w:cs="仿宋_GB2312" w:eastAsia="仿宋_GB2312"/>
          <w:sz w:val="28"/>
          <w:b/>
        </w:rPr>
        <w:t>ZX2025-03-32</w:t>
      </w:r>
      <w:r>
        <w:br/>
      </w:r>
      <w:r>
        <w:br/>
      </w:r>
      <w:r>
        <w:br/>
      </w:r>
    </w:p>
    <w:p>
      <w:pPr>
        <w:pStyle w:val="null3"/>
        <w:jc w:val="center"/>
        <w:outlineLvl w:val="2"/>
      </w:pPr>
      <w:r>
        <w:rPr>
          <w:rFonts w:ascii="仿宋_GB2312" w:hAnsi="仿宋_GB2312" w:cs="仿宋_GB2312" w:eastAsia="仿宋_GB2312"/>
          <w:sz w:val="28"/>
          <w:b/>
        </w:rPr>
        <w:t>陕西省体育彩票管理中心</w:t>
      </w:r>
    </w:p>
    <w:p>
      <w:pPr>
        <w:pStyle w:val="null3"/>
        <w:jc w:val="center"/>
        <w:outlineLvl w:val="2"/>
      </w:pPr>
      <w:r>
        <w:rPr>
          <w:rFonts w:ascii="仿宋_GB2312" w:hAnsi="仿宋_GB2312" w:cs="仿宋_GB2312" w:eastAsia="仿宋_GB2312"/>
          <w:sz w:val="28"/>
          <w:b/>
        </w:rPr>
        <w:t>陕西正信招标有限公司</w:t>
      </w:r>
      <w:r>
        <w:rPr>
          <w:rFonts w:ascii="仿宋_GB2312" w:hAnsi="仿宋_GB2312" w:cs="仿宋_GB2312" w:eastAsia="仿宋_GB2312"/>
          <w:sz w:val="28"/>
          <w:b/>
        </w:rPr>
        <w:t>共同编制</w:t>
      </w:r>
    </w:p>
    <w:p>
      <w:pPr>
        <w:pStyle w:val="null3"/>
        <w:jc w:val="center"/>
        <w:outlineLvl w:val="2"/>
      </w:pPr>
      <w:r>
        <w:rPr>
          <w:rFonts w:ascii="仿宋_GB2312" w:hAnsi="仿宋_GB2312" w:cs="仿宋_GB2312" w:eastAsia="仿宋_GB2312"/>
          <w:sz w:val="28"/>
          <w:b/>
        </w:rPr>
        <w:t>2025年03月28日</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第一章 投标邀请</w:t>
      </w:r>
    </w:p>
    <w:p>
      <w:pPr>
        <w:pStyle w:val="null3"/>
        <w:ind w:firstLine="480"/>
      </w:pPr>
      <w:r>
        <w:rPr>
          <w:rFonts w:ascii="仿宋_GB2312" w:hAnsi="仿宋_GB2312" w:cs="仿宋_GB2312" w:eastAsia="仿宋_GB2312"/>
        </w:rPr>
        <w:t>陕西正信招标有限公司</w:t>
      </w:r>
      <w:r>
        <w:rPr>
          <w:rFonts w:ascii="仿宋_GB2312" w:hAnsi="仿宋_GB2312" w:cs="仿宋_GB2312" w:eastAsia="仿宋_GB2312"/>
        </w:rPr>
        <w:t>（以下简称“代理机构”）受</w:t>
      </w:r>
      <w:r>
        <w:rPr>
          <w:rFonts w:ascii="仿宋_GB2312" w:hAnsi="仿宋_GB2312" w:cs="仿宋_GB2312" w:eastAsia="仿宋_GB2312"/>
        </w:rPr>
        <w:t>陕西省体育彩票管理中心</w:t>
      </w:r>
      <w:r>
        <w:rPr>
          <w:rFonts w:ascii="仿宋_GB2312" w:hAnsi="仿宋_GB2312" w:cs="仿宋_GB2312" w:eastAsia="仿宋_GB2312"/>
        </w:rPr>
        <w:t>委托，拟对</w:t>
      </w:r>
      <w:r>
        <w:rPr>
          <w:rFonts w:ascii="仿宋_GB2312" w:hAnsi="仿宋_GB2312" w:cs="仿宋_GB2312" w:eastAsia="仿宋_GB2312"/>
        </w:rPr>
        <w:t>热敏票采购项目</w:t>
      </w:r>
      <w:r>
        <w:rPr>
          <w:rFonts w:ascii="仿宋_GB2312" w:hAnsi="仿宋_GB2312" w:cs="仿宋_GB2312" w:eastAsia="仿宋_GB2312"/>
        </w:rPr>
        <w:t>进行国内公开招标，兹邀请符合本次招标要求的供应商参加投标。</w:t>
      </w:r>
    </w:p>
    <w:p>
      <w:pPr>
        <w:pStyle w:val="null3"/>
        <w:outlineLvl w:val="2"/>
      </w:pPr>
      <w:r>
        <w:rPr>
          <w:rFonts w:ascii="仿宋_GB2312" w:hAnsi="仿宋_GB2312" w:cs="仿宋_GB2312" w:eastAsia="仿宋_GB2312"/>
          <w:sz w:val="28"/>
          <w:b/>
        </w:rPr>
        <w:t>一、采购项目编号：</w:t>
      </w:r>
      <w:r>
        <w:rPr>
          <w:rFonts w:ascii="仿宋_GB2312" w:hAnsi="仿宋_GB2312" w:cs="仿宋_GB2312" w:eastAsia="仿宋_GB2312"/>
          <w:sz w:val="28"/>
          <w:b/>
        </w:rPr>
        <w:t>ZX2025-03-32</w:t>
      </w:r>
    </w:p>
    <w:p>
      <w:pPr>
        <w:pStyle w:val="null3"/>
        <w:outlineLvl w:val="2"/>
      </w:pPr>
      <w:r>
        <w:rPr>
          <w:rFonts w:ascii="仿宋_GB2312" w:hAnsi="仿宋_GB2312" w:cs="仿宋_GB2312" w:eastAsia="仿宋_GB2312"/>
          <w:sz w:val="28"/>
          <w:b/>
        </w:rPr>
        <w:t>二、采购项目名称：</w:t>
      </w:r>
      <w:r>
        <w:rPr>
          <w:rFonts w:ascii="仿宋_GB2312" w:hAnsi="仿宋_GB2312" w:cs="仿宋_GB2312" w:eastAsia="仿宋_GB2312"/>
          <w:sz w:val="28"/>
          <w:b/>
        </w:rPr>
        <w:t>热敏票采购项目</w:t>
      </w:r>
    </w:p>
    <w:p>
      <w:pPr>
        <w:pStyle w:val="null3"/>
        <w:outlineLvl w:val="2"/>
      </w:pPr>
      <w:r>
        <w:rPr>
          <w:rFonts w:ascii="仿宋_GB2312" w:hAnsi="仿宋_GB2312" w:cs="仿宋_GB2312" w:eastAsia="仿宋_GB2312"/>
          <w:sz w:val="28"/>
          <w:b/>
        </w:rPr>
        <w:t>三、招标项目简介</w:t>
      </w:r>
    </w:p>
    <w:p>
      <w:pPr>
        <w:pStyle w:val="null3"/>
        <w:ind w:firstLine="480"/>
      </w:pPr>
      <w:r>
        <w:rPr>
          <w:rFonts w:ascii="仿宋_GB2312" w:hAnsi="仿宋_GB2312" w:cs="仿宋_GB2312" w:eastAsia="仿宋_GB2312"/>
        </w:rPr>
        <w:t>本项目为热敏票采购项目，一批，分两个采购包。具体内容详见招标文件第3章。</w:t>
      </w:r>
    </w:p>
    <w:p>
      <w:pPr>
        <w:pStyle w:val="null3"/>
        <w:outlineLvl w:val="2"/>
      </w:pPr>
      <w:r>
        <w:rPr>
          <w:rFonts w:ascii="仿宋_GB2312" w:hAnsi="仿宋_GB2312" w:cs="仿宋_GB2312" w:eastAsia="仿宋_GB2312"/>
          <w:sz w:val="28"/>
          <w:b/>
        </w:rPr>
        <w:t>四、供应商参加本次政府采购活动应具备的条件</w:t>
      </w:r>
    </w:p>
    <w:p>
      <w:pPr>
        <w:pStyle w:val="null3"/>
        <w:ind w:firstLine="480"/>
      </w:pPr>
      <w:r>
        <w:rPr>
          <w:rFonts w:ascii="仿宋_GB2312" w:hAnsi="仿宋_GB2312" w:cs="仿宋_GB2312" w:eastAsia="仿宋_GB2312"/>
        </w:rPr>
        <w:t>（一）满足《中华人民共和国政府采购法》第二十二条规定；</w:t>
      </w:r>
    </w:p>
    <w:p>
      <w:pPr>
        <w:pStyle w:val="null3"/>
        <w:ind w:firstLine="480"/>
      </w:pPr>
      <w:r>
        <w:rPr>
          <w:rFonts w:ascii="仿宋_GB2312" w:hAnsi="仿宋_GB2312" w:cs="仿宋_GB2312" w:eastAsia="仿宋_GB2312"/>
        </w:rPr>
        <w:t>（二）落实政府采购政策需满足的资格要求：</w:t>
      </w:r>
    </w:p>
    <w:p>
      <w:pPr>
        <w:pStyle w:val="null3"/>
        <w:ind w:firstLine="480"/>
      </w:pPr>
      <w:r>
        <w:rPr>
          <w:rFonts w:ascii="仿宋_GB2312" w:hAnsi="仿宋_GB2312" w:cs="仿宋_GB2312" w:eastAsia="仿宋_GB2312"/>
        </w:rPr>
        <w:t>落实政府采购促进中小企业发展的相关政策：</w:t>
      </w:r>
    </w:p>
    <w:p>
      <w:pPr>
        <w:pStyle w:val="null3"/>
      </w:pPr>
      <w:r>
        <w:rPr>
          <w:rFonts w:ascii="仿宋_GB2312" w:hAnsi="仿宋_GB2312" w:cs="仿宋_GB2312" w:eastAsia="仿宋_GB2312"/>
        </w:rPr>
        <w:t>采购包1（热敏票采购）：属于专门面向中小企业采购。</w:t>
      </w:r>
    </w:p>
    <w:p>
      <w:pPr>
        <w:pStyle w:val="null3"/>
      </w:pPr>
      <w:r>
        <w:rPr>
          <w:rFonts w:ascii="仿宋_GB2312" w:hAnsi="仿宋_GB2312" w:cs="仿宋_GB2312" w:eastAsia="仿宋_GB2312"/>
        </w:rPr>
        <w:t>采购包2（热敏票采购）：属于专门面向中小企业采购。</w:t>
      </w:r>
    </w:p>
    <w:p>
      <w:pPr>
        <w:pStyle w:val="null3"/>
        <w:ind w:firstLine="480"/>
      </w:pPr>
      <w:r>
        <w:rPr>
          <w:rFonts w:ascii="仿宋_GB2312" w:hAnsi="仿宋_GB2312" w:cs="仿宋_GB2312" w:eastAsia="仿宋_GB2312"/>
        </w:rPr>
        <w:t>（三）本项目的特定资格要求：</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1、法定代表人授权委托书：法定代表人参加投标的，须提供法定代表人身份证；法定代表人授权本单位他人参加投标的，须提供法定代表人授权委托书。</w:t>
      </w:r>
    </w:p>
    <w:p>
      <w:pPr>
        <w:pStyle w:val="null3"/>
      </w:pPr>
      <w:r>
        <w:rPr>
          <w:rFonts w:ascii="仿宋_GB2312" w:hAnsi="仿宋_GB2312" w:cs="仿宋_GB2312" w:eastAsia="仿宋_GB2312"/>
        </w:rPr>
        <w:t>2、本项目不接受联合体投标，不允许分包：本项目不接受联合体投标，不允许分包。投标人应提供《非联合体不分包投标声明》。</w:t>
      </w:r>
    </w:p>
    <w:p>
      <w:pPr>
        <w:pStyle w:val="null3"/>
      </w:pPr>
      <w:r>
        <w:rPr>
          <w:rFonts w:ascii="仿宋_GB2312" w:hAnsi="仿宋_GB2312" w:cs="仿宋_GB2312" w:eastAsia="仿宋_GB2312"/>
        </w:rPr>
        <w:t>3、《印刷经营许可证》：投标人须提供提供有效期内的《印刷经营许可证》。</w:t>
      </w:r>
    </w:p>
    <w:p>
      <w:pPr>
        <w:pStyle w:val="null3"/>
      </w:pPr>
      <w:r>
        <w:rPr>
          <w:rFonts w:ascii="仿宋_GB2312" w:hAnsi="仿宋_GB2312" w:cs="仿宋_GB2312" w:eastAsia="仿宋_GB2312"/>
        </w:rPr>
        <w:t>采购包2：</w:t>
      </w:r>
    </w:p>
    <w:p>
      <w:pPr>
        <w:pStyle w:val="null3"/>
      </w:pPr>
      <w:r>
        <w:rPr>
          <w:rFonts w:ascii="仿宋_GB2312" w:hAnsi="仿宋_GB2312" w:cs="仿宋_GB2312" w:eastAsia="仿宋_GB2312"/>
        </w:rPr>
        <w:t>1、法定代表人授权委托书：法定代表人参加投标的，须提供法定代表人身份证；法定代表人授权本单位他人参加投标的，须提供法定代表人授权委托书。</w:t>
      </w:r>
    </w:p>
    <w:p>
      <w:pPr>
        <w:pStyle w:val="null3"/>
      </w:pPr>
      <w:r>
        <w:rPr>
          <w:rFonts w:ascii="仿宋_GB2312" w:hAnsi="仿宋_GB2312" w:cs="仿宋_GB2312" w:eastAsia="仿宋_GB2312"/>
        </w:rPr>
        <w:t>2、本项目不接受联合体投标，不允许分包。：本项目不接受联合体投标，不允许分包。投标人应提供《非联合体不分包投标声明》。</w:t>
      </w:r>
    </w:p>
    <w:p>
      <w:pPr>
        <w:pStyle w:val="null3"/>
      </w:pPr>
      <w:r>
        <w:rPr>
          <w:rFonts w:ascii="仿宋_GB2312" w:hAnsi="仿宋_GB2312" w:cs="仿宋_GB2312" w:eastAsia="仿宋_GB2312"/>
        </w:rPr>
        <w:t>3、《印刷经营许可证》：投标人须提供提供有效期内的《印刷经营许可证》。</w:t>
      </w:r>
    </w:p>
    <w:p>
      <w:pPr>
        <w:pStyle w:val="null3"/>
        <w:outlineLvl w:val="2"/>
      </w:pPr>
      <w:r>
        <w:rPr>
          <w:rFonts w:ascii="仿宋_GB2312" w:hAnsi="仿宋_GB2312" w:cs="仿宋_GB2312" w:eastAsia="仿宋_GB2312"/>
          <w:sz w:val="28"/>
          <w:b/>
        </w:rPr>
        <w:t>五、电子化采购相关事项</w:t>
      </w:r>
    </w:p>
    <w:p>
      <w:pPr>
        <w:pStyle w:val="null3"/>
        <w:ind w:firstLine="480"/>
      </w:pPr>
      <w:r>
        <w:rPr>
          <w:rFonts w:ascii="仿宋_GB2312" w:hAnsi="仿宋_GB2312" w:cs="仿宋_GB2312" w:eastAsia="仿宋_GB2312"/>
        </w:rPr>
        <w:t xml:space="preserve"> 本项目实行电子化采购，使用的电子化交易系统为：陕西省政府采购综合管理平台的项目电子化交易系统（以下简称“项目电子化交易系统”），登录方式及地址：通过陕西省政府采购网（http://www.ccgp-shaanxi.gov.cn/）首页供应商用户登录陕西省政府采购综合管理平台（以下简称“政府采购平台”），进入项目电子化交易系统。供应商应当按照以下要求，参与本次电子化采购活动。</w:t>
      </w:r>
    </w:p>
    <w:p>
      <w:pPr>
        <w:pStyle w:val="null3"/>
        <w:ind w:firstLine="480"/>
      </w:pPr>
      <w:r>
        <w:rPr>
          <w:rFonts w:ascii="仿宋_GB2312" w:hAnsi="仿宋_GB2312" w:cs="仿宋_GB2312" w:eastAsia="仿宋_GB2312"/>
        </w:rPr>
        <w:t xml:space="preserve"> (一)供应商应当自行在陕西省政府采购网-办事指南查看相应的系统操作指南，并严格按照操作指南要求进行系统操作。在登录、使用政府采购平台前，应当按照要求完成供应商注册和信息完善，加入政府采购平台供应商库。</w:t>
      </w:r>
    </w:p>
    <w:p>
      <w:pPr>
        <w:pStyle w:val="null3"/>
        <w:ind w:firstLine="480"/>
      </w:pPr>
      <w:r>
        <w:rPr>
          <w:rFonts w:ascii="仿宋_GB2312" w:hAnsi="仿宋_GB2312" w:cs="仿宋_GB2312" w:eastAsia="仿宋_GB2312"/>
        </w:rPr>
        <w:t xml:space="preserve"> (二)供应商应当使用纳入陕西省政府采购综合管理平台数字证书互认范围的数字证书及签章（以下简称“互认的证书及签章”）进行系统操作。供应商使用互认的证书及签章登录政府采购平台进行的一切操作和资料传递，以及加盖电子签章确认采购过程中制作、交换的电子数据，均属于供应商真实意思表示，由供应商对其系统操作行为和电子签章确认的事项承担法律责任。</w:t>
      </w:r>
    </w:p>
    <w:p>
      <w:pPr>
        <w:pStyle w:val="null3"/>
        <w:ind w:firstLine="480"/>
      </w:pPr>
      <w:r>
        <w:rPr>
          <w:rFonts w:ascii="仿宋_GB2312" w:hAnsi="仿宋_GB2312" w:cs="仿宋_GB2312" w:eastAsia="仿宋_GB2312"/>
        </w:rPr>
        <w:t xml:space="preserve"> 已办理互认的证书及签章的供应商，校验互认的证书及签章有效性后，即可按照系统操作要求进行身份信息绑定、权限设置和系统操作；未办理互认的证书及签章的供应商，按要求办理互认的证书及签章并校验有效性后，按照系统操作要求进行身份信息绑定、权限设置和系统操作。互认的证书及签章的办理与校验，可查看陕西省政府采购网-办事指南-CA及签章服务。</w:t>
      </w:r>
    </w:p>
    <w:p>
      <w:pPr>
        <w:pStyle w:val="null3"/>
        <w:ind w:firstLine="480"/>
      </w:pPr>
      <w:r>
        <w:rPr>
          <w:rFonts w:ascii="仿宋_GB2312" w:hAnsi="仿宋_GB2312" w:cs="仿宋_GB2312" w:eastAsia="仿宋_GB2312"/>
        </w:rPr>
        <w:t xml:space="preserve"> 供应商应当加强互认的证书及签章日常校验和妥善保管，确保在参加采购活动期间互认的证书及签章能够正常使用；供应商应当严格互认的证书及签章的内部授权管理，防止非授权操作。</w:t>
      </w:r>
    </w:p>
    <w:p>
      <w:pPr>
        <w:pStyle w:val="null3"/>
        <w:ind w:firstLine="480"/>
      </w:pPr>
      <w:r>
        <w:rPr>
          <w:rFonts w:ascii="仿宋_GB2312" w:hAnsi="仿宋_GB2312" w:cs="仿宋_GB2312" w:eastAsia="仿宋_GB2312"/>
        </w:rPr>
        <w:t xml:space="preserve"> （三）供应商应当自行准备电子化采购所需的计算机终端、软硬件及网络环境，承担因准备不足产生的不利后果。</w:t>
      </w:r>
    </w:p>
    <w:p>
      <w:pPr>
        <w:pStyle w:val="null3"/>
        <w:ind w:firstLine="480"/>
      </w:pPr>
      <w:r>
        <w:rPr>
          <w:rFonts w:ascii="仿宋_GB2312" w:hAnsi="仿宋_GB2312" w:cs="仿宋_GB2312" w:eastAsia="仿宋_GB2312"/>
        </w:rPr>
        <w:t>（四）政府采购平台技术支持：</w:t>
      </w:r>
    </w:p>
    <w:p>
      <w:pPr>
        <w:pStyle w:val="null3"/>
        <w:ind w:firstLine="480"/>
      </w:pPr>
      <w:r>
        <w:rPr>
          <w:rFonts w:ascii="仿宋_GB2312" w:hAnsi="仿宋_GB2312" w:cs="仿宋_GB2312" w:eastAsia="仿宋_GB2312"/>
        </w:rPr>
        <w:t>在线客服：通过陕西省政府采购网-在线客服进行咨询</w:t>
      </w:r>
    </w:p>
    <w:p>
      <w:pPr>
        <w:pStyle w:val="null3"/>
        <w:ind w:firstLine="480"/>
      </w:pPr>
      <w:r>
        <w:rPr>
          <w:rFonts w:ascii="仿宋_GB2312" w:hAnsi="仿宋_GB2312" w:cs="仿宋_GB2312" w:eastAsia="仿宋_GB2312"/>
        </w:rPr>
        <w:t>技术服务电话：029-96702</w:t>
      </w:r>
    </w:p>
    <w:p>
      <w:pPr>
        <w:pStyle w:val="null3"/>
        <w:ind w:firstLine="480"/>
      </w:pPr>
      <w:r>
        <w:rPr>
          <w:rFonts w:ascii="仿宋_GB2312" w:hAnsi="仿宋_GB2312" w:cs="仿宋_GB2312" w:eastAsia="仿宋_GB2312"/>
        </w:rPr>
        <w:t>CA及签章服务：通过陕西省政府采购网-办事指南-CA及签章服务进行查询</w:t>
      </w:r>
    </w:p>
    <w:p>
      <w:pPr>
        <w:pStyle w:val="null3"/>
        <w:outlineLvl w:val="2"/>
      </w:pPr>
      <w:r>
        <w:rPr>
          <w:rFonts w:ascii="仿宋_GB2312" w:hAnsi="仿宋_GB2312" w:cs="仿宋_GB2312" w:eastAsia="仿宋_GB2312"/>
          <w:sz w:val="28"/>
          <w:b/>
        </w:rPr>
        <w:t>六、招标文件获取时间、方式及地址</w:t>
      </w:r>
    </w:p>
    <w:p>
      <w:pPr>
        <w:pStyle w:val="null3"/>
        <w:ind w:firstLine="480"/>
      </w:pPr>
      <w:r>
        <w:rPr>
          <w:rFonts w:ascii="仿宋_GB2312" w:hAnsi="仿宋_GB2312" w:cs="仿宋_GB2312" w:eastAsia="仿宋_GB2312"/>
        </w:rPr>
        <w:t>（一）招标文件获取时间：详见采购公告</w:t>
      </w:r>
    </w:p>
    <w:p>
      <w:pPr>
        <w:pStyle w:val="null3"/>
        <w:ind w:firstLine="480"/>
      </w:pPr>
      <w:r>
        <w:rPr>
          <w:rFonts w:ascii="仿宋_GB2312" w:hAnsi="仿宋_GB2312" w:cs="仿宋_GB2312" w:eastAsia="仿宋_GB2312"/>
        </w:rPr>
        <w:t xml:space="preserve"> （二）在招标文件获取开始时间前，采购人或代理机构将本项目招标文件上传至项目电子化交易系统，向供应商提供。供应商通过项目电子化交易系统获取招标文件。成功获取招标文件的，供应商将收到已获取招标文件的回执函。未成功获取招标文件的供应商，不得参与本次采购活动，不得对招标文件提起质疑。</w:t>
      </w:r>
    </w:p>
    <w:p>
      <w:pPr>
        <w:pStyle w:val="null3"/>
        <w:ind w:firstLine="480"/>
      </w:pPr>
      <w:r>
        <w:rPr>
          <w:rFonts w:ascii="仿宋_GB2312" w:hAnsi="仿宋_GB2312" w:cs="仿宋_GB2312" w:eastAsia="仿宋_GB2312"/>
        </w:rPr>
        <w:t xml:space="preserve"> 成功获取招标文件后，采购人或代理机构进行澄清或者修改的，澄清或者修改的内容可能影响投标文件编制的，采购人或代理机构将通过项目电子化交易系统发布澄清或者修改后的招标文件，供应商应当重新获取招标文件；澄清或者修改后的招标文件发布日期距提交投标文件截止日期不足15日的，采购人或代理机构顺延提交投标文件的截止时间。供应商未重新获取招标文件或者未按照澄清或者修改后的招标文件编制投标文件进行投标的，自行承担不利后果。</w:t>
      </w:r>
    </w:p>
    <w:p>
      <w:pPr>
        <w:pStyle w:val="null3"/>
        <w:outlineLvl w:val="2"/>
      </w:pPr>
      <w:r>
        <w:rPr>
          <w:rFonts w:ascii="仿宋_GB2312" w:hAnsi="仿宋_GB2312" w:cs="仿宋_GB2312" w:eastAsia="仿宋_GB2312"/>
          <w:sz w:val="28"/>
          <w:b/>
        </w:rPr>
        <w:t>七、投标文件提交截止时间及开标时间、地点、方式</w:t>
      </w:r>
    </w:p>
    <w:p>
      <w:pPr>
        <w:pStyle w:val="null3"/>
        <w:ind w:firstLine="480"/>
      </w:pPr>
      <w:r>
        <w:rPr>
          <w:rFonts w:ascii="仿宋_GB2312" w:hAnsi="仿宋_GB2312" w:cs="仿宋_GB2312" w:eastAsia="仿宋_GB2312"/>
        </w:rPr>
        <w:t>（一）投标文件提交截止时间及开标时间：详见采购公告</w:t>
      </w:r>
    </w:p>
    <w:p>
      <w:pPr>
        <w:pStyle w:val="null3"/>
        <w:ind w:firstLine="480"/>
      </w:pPr>
      <w:r>
        <w:rPr>
          <w:rFonts w:ascii="仿宋_GB2312" w:hAnsi="仿宋_GB2312" w:cs="仿宋_GB2312" w:eastAsia="仿宋_GB2312"/>
        </w:rPr>
        <w:t xml:space="preserve"> （二）投标文件提交方式、地点：供应商应当在投标文件提交截止时间前，通过项目电子化交易系统提交投标文件。成功提交的，供应商将收到已提交投标文件的回执函。</w:t>
      </w:r>
    </w:p>
    <w:p>
      <w:pPr>
        <w:pStyle w:val="null3"/>
        <w:ind w:firstLine="480"/>
      </w:pPr>
      <w:r>
        <w:rPr>
          <w:rFonts w:ascii="仿宋_GB2312" w:hAnsi="仿宋_GB2312" w:cs="仿宋_GB2312" w:eastAsia="仿宋_GB2312"/>
        </w:rPr>
        <w:t>（三）本项目采取网上开标，即采购人或代理机构通过项目电子化交易系统“开标/开启大厅”组织在线开标。</w:t>
      </w:r>
    </w:p>
    <w:p>
      <w:pPr>
        <w:pStyle w:val="null3"/>
        <w:outlineLvl w:val="2"/>
      </w:pPr>
      <w:r>
        <w:rPr>
          <w:rFonts w:ascii="仿宋_GB2312" w:hAnsi="仿宋_GB2312" w:cs="仿宋_GB2312" w:eastAsia="仿宋_GB2312"/>
          <w:sz w:val="28"/>
          <w:b/>
        </w:rPr>
        <w:t>八、本投标邀请在陕西省政府采购网以公告形式发布</w:t>
      </w:r>
    </w:p>
    <w:p>
      <w:pPr>
        <w:pStyle w:val="null3"/>
        <w:outlineLvl w:val="2"/>
      </w:pPr>
      <w:r>
        <w:rPr>
          <w:rFonts w:ascii="仿宋_GB2312" w:hAnsi="仿宋_GB2312" w:cs="仿宋_GB2312" w:eastAsia="仿宋_GB2312"/>
          <w:sz w:val="28"/>
          <w:b/>
        </w:rPr>
        <w:t>九、供应商信用融资</w:t>
      </w:r>
    </w:p>
    <w:p>
      <w:pPr>
        <w:pStyle w:val="null3"/>
        <w:ind w:firstLine="480"/>
      </w:pPr>
      <w:r>
        <w:rPr>
          <w:rFonts w:ascii="仿宋_GB2312" w:hAnsi="仿宋_GB2312" w:cs="仿宋_GB2312" w:eastAsia="仿宋_GB2312"/>
        </w:rPr>
        <w:t xml:space="preserve"> 根据《陕西省财政厅关于加快推进我省中小企业政府采购信用融资工作的通知》（陕财办采〔2020〕15 号）和《陕西省中小企业政府采购信用融资办法》（陕财办采〔2018〕23 号）文件要求，为助力解决政府采购成交供应商资金不足、融资难、融资贵的困难，促进供应商依法诚信参加政府采购活动，有融资需求的供应商可登录陕西省政府采购网—陕西省政府采购金融服务平台（http://www.ccgp-shaanxi.gov.cn/zcdservice/zcd/shanxi/），选择符合自身情况的“政采贷”银行及其产品，凭项目中标（成交）结果、中标（成交）通知书等信息在线向银行提出贷款意向申请、查看贷款审批情况等。</w:t>
      </w:r>
    </w:p>
    <w:p>
      <w:pPr>
        <w:pStyle w:val="null3"/>
        <w:outlineLvl w:val="2"/>
      </w:pPr>
      <w:r>
        <w:rPr>
          <w:rFonts w:ascii="仿宋_GB2312" w:hAnsi="仿宋_GB2312" w:cs="仿宋_GB2312" w:eastAsia="仿宋_GB2312"/>
          <w:sz w:val="28"/>
          <w:b/>
        </w:rPr>
        <w:t>十、联系方式</w:t>
      </w:r>
    </w:p>
    <w:p>
      <w:pPr>
        <w:pStyle w:val="null3"/>
        <w:outlineLvl w:val="2"/>
      </w:pPr>
      <w:r>
        <w:rPr>
          <w:rFonts w:ascii="仿宋_GB2312" w:hAnsi="仿宋_GB2312" w:cs="仿宋_GB2312" w:eastAsia="仿宋_GB2312"/>
          <w:sz w:val="28"/>
          <w:b/>
        </w:rPr>
        <w:t xml:space="preserve">采购人： </w:t>
      </w:r>
      <w:r>
        <w:rPr>
          <w:rFonts w:ascii="仿宋_GB2312" w:hAnsi="仿宋_GB2312" w:cs="仿宋_GB2312" w:eastAsia="仿宋_GB2312"/>
          <w:sz w:val="28"/>
          <w:b/>
        </w:rPr>
        <w:t>陕西省体育彩票管理中心</w:t>
      </w:r>
    </w:p>
    <w:p>
      <w:pPr>
        <w:pStyle w:val="null3"/>
      </w:pPr>
      <w:r>
        <w:rPr>
          <w:rFonts w:ascii="仿宋_GB2312" w:hAnsi="仿宋_GB2312" w:cs="仿宋_GB2312" w:eastAsia="仿宋_GB2312"/>
        </w:rPr>
        <w:t xml:space="preserve"> 地址： </w:t>
      </w:r>
      <w:r>
        <w:rPr>
          <w:rFonts w:ascii="仿宋_GB2312" w:hAnsi="仿宋_GB2312" w:cs="仿宋_GB2312" w:eastAsia="仿宋_GB2312"/>
        </w:rPr>
        <w:t>西安市建西街99号</w:t>
      </w:r>
    </w:p>
    <w:p>
      <w:pPr>
        <w:pStyle w:val="null3"/>
      </w:pPr>
      <w:r>
        <w:rPr>
          <w:rFonts w:ascii="仿宋_GB2312" w:hAnsi="仿宋_GB2312" w:cs="仿宋_GB2312" w:eastAsia="仿宋_GB2312"/>
        </w:rPr>
        <w:t xml:space="preserve"> 邮编： </w:t>
      </w:r>
      <w:r>
        <w:rPr>
          <w:rFonts w:ascii="仿宋_GB2312" w:hAnsi="仿宋_GB2312" w:cs="仿宋_GB2312" w:eastAsia="仿宋_GB2312"/>
        </w:rPr>
        <w:t>710000</w:t>
      </w:r>
    </w:p>
    <w:p>
      <w:pPr>
        <w:pStyle w:val="null3"/>
      </w:pPr>
      <w:r>
        <w:rPr>
          <w:rFonts w:ascii="仿宋_GB2312" w:hAnsi="仿宋_GB2312" w:cs="仿宋_GB2312" w:eastAsia="仿宋_GB2312"/>
        </w:rPr>
        <w:t xml:space="preserve"> 联系人： </w:t>
      </w:r>
      <w:r>
        <w:rPr>
          <w:rFonts w:ascii="仿宋_GB2312" w:hAnsi="仿宋_GB2312" w:cs="仿宋_GB2312" w:eastAsia="仿宋_GB2312"/>
        </w:rPr>
        <w:t>李老师</w:t>
      </w:r>
    </w:p>
    <w:p>
      <w:pPr>
        <w:pStyle w:val="null3"/>
      </w:pPr>
      <w:r>
        <w:rPr>
          <w:rFonts w:ascii="仿宋_GB2312" w:hAnsi="仿宋_GB2312" w:cs="仿宋_GB2312" w:eastAsia="仿宋_GB2312"/>
        </w:rPr>
        <w:t xml:space="preserve"> 联系电话： </w:t>
      </w:r>
      <w:r>
        <w:rPr>
          <w:rFonts w:ascii="仿宋_GB2312" w:hAnsi="仿宋_GB2312" w:cs="仿宋_GB2312" w:eastAsia="仿宋_GB2312"/>
        </w:rPr>
        <w:t>029-85268326</w:t>
      </w:r>
    </w:p>
    <w:p>
      <w:pPr>
        <w:pStyle w:val="null3"/>
        <w:outlineLvl w:val="2"/>
      </w:pPr>
      <w:r>
        <w:rPr>
          <w:rFonts w:ascii="仿宋_GB2312" w:hAnsi="仿宋_GB2312" w:cs="仿宋_GB2312" w:eastAsia="仿宋_GB2312"/>
          <w:sz w:val="28"/>
          <w:b/>
        </w:rPr>
        <w:t>代理机构：</w:t>
      </w:r>
      <w:r>
        <w:rPr>
          <w:rFonts w:ascii="仿宋_GB2312" w:hAnsi="仿宋_GB2312" w:cs="仿宋_GB2312" w:eastAsia="仿宋_GB2312"/>
          <w:sz w:val="28"/>
          <w:b/>
        </w:rPr>
        <w:t>陕西正信招标有限公司</w:t>
      </w:r>
    </w:p>
    <w:p>
      <w:pPr>
        <w:pStyle w:val="null3"/>
      </w:pPr>
      <w:r>
        <w:rPr>
          <w:rFonts w:ascii="仿宋_GB2312" w:hAnsi="仿宋_GB2312" w:cs="仿宋_GB2312" w:eastAsia="仿宋_GB2312"/>
        </w:rPr>
        <w:t xml:space="preserve"> 地址： </w:t>
      </w:r>
      <w:r>
        <w:rPr>
          <w:rFonts w:ascii="仿宋_GB2312" w:hAnsi="仿宋_GB2312" w:cs="仿宋_GB2312" w:eastAsia="仿宋_GB2312"/>
        </w:rPr>
        <w:t>西安市莲湖区环城西路南段元晟合中心6层</w:t>
      </w:r>
    </w:p>
    <w:p>
      <w:pPr>
        <w:pStyle w:val="null3"/>
      </w:pPr>
      <w:r>
        <w:rPr>
          <w:rFonts w:ascii="仿宋_GB2312" w:hAnsi="仿宋_GB2312" w:cs="仿宋_GB2312" w:eastAsia="仿宋_GB2312"/>
        </w:rPr>
        <w:t xml:space="preserve"> 邮编： </w:t>
      </w:r>
      <w:r>
        <w:rPr>
          <w:rFonts w:ascii="仿宋_GB2312" w:hAnsi="仿宋_GB2312" w:cs="仿宋_GB2312" w:eastAsia="仿宋_GB2312"/>
        </w:rPr>
        <w:t>710082</w:t>
      </w:r>
    </w:p>
    <w:p>
      <w:pPr>
        <w:pStyle w:val="null3"/>
      </w:pPr>
      <w:r>
        <w:rPr>
          <w:rFonts w:ascii="仿宋_GB2312" w:hAnsi="仿宋_GB2312" w:cs="仿宋_GB2312" w:eastAsia="仿宋_GB2312"/>
        </w:rPr>
        <w:t xml:space="preserve"> 联系人： </w:t>
      </w:r>
      <w:r>
        <w:rPr>
          <w:rFonts w:ascii="仿宋_GB2312" w:hAnsi="仿宋_GB2312" w:cs="仿宋_GB2312" w:eastAsia="仿宋_GB2312"/>
        </w:rPr>
        <w:t>胡怡洁 崔文 蔡丹</w:t>
      </w:r>
    </w:p>
    <w:p>
      <w:pPr>
        <w:pStyle w:val="null3"/>
      </w:pPr>
      <w:r>
        <w:rPr>
          <w:rFonts w:ascii="仿宋_GB2312" w:hAnsi="仿宋_GB2312" w:cs="仿宋_GB2312" w:eastAsia="仿宋_GB2312"/>
        </w:rPr>
        <w:t xml:space="preserve"> 联系电话： </w:t>
      </w:r>
      <w:r>
        <w:rPr>
          <w:rFonts w:ascii="仿宋_GB2312" w:hAnsi="仿宋_GB2312" w:cs="仿宋_GB2312" w:eastAsia="仿宋_GB2312"/>
        </w:rPr>
        <w:t>029-88110800转8030</w:t>
      </w:r>
    </w:p>
    <w:p>
      <w:pPr>
        <w:pStyle w:val="null3"/>
        <w:outlineLvl w:val="2"/>
      </w:pPr>
      <w:r>
        <w:rPr>
          <w:rFonts w:ascii="仿宋_GB2312" w:hAnsi="仿宋_GB2312" w:cs="仿宋_GB2312" w:eastAsia="仿宋_GB2312"/>
          <w:sz w:val="28"/>
          <w:b/>
        </w:rPr>
        <w:t>采购监督机构：</w:t>
      </w:r>
      <w:r>
        <w:rPr>
          <w:rFonts w:ascii="仿宋_GB2312" w:hAnsi="仿宋_GB2312" w:cs="仿宋_GB2312" w:eastAsia="仿宋_GB2312"/>
          <w:sz w:val="28"/>
          <w:b/>
        </w:rPr>
        <w:t>财政厅政府采购管理处</w:t>
      </w:r>
    </w:p>
    <w:p>
      <w:pPr>
        <w:pStyle w:val="null3"/>
        <w:ind w:firstLine="480"/>
      </w:pPr>
      <w:r>
        <w:rPr>
          <w:rFonts w:ascii="仿宋_GB2312" w:hAnsi="仿宋_GB2312" w:cs="仿宋_GB2312" w:eastAsia="仿宋_GB2312"/>
        </w:rPr>
        <w:t>联系人：</w:t>
      </w:r>
      <w:r>
        <w:rPr>
          <w:rFonts w:ascii="仿宋_GB2312" w:hAnsi="仿宋_GB2312" w:cs="仿宋_GB2312" w:eastAsia="仿宋_GB2312"/>
        </w:rPr>
        <w:t>柴老师、杨老师</w:t>
      </w:r>
    </w:p>
    <w:p>
      <w:pPr>
        <w:pStyle w:val="null3"/>
        <w:ind w:firstLine="480"/>
      </w:pPr>
      <w:r>
        <w:rPr>
          <w:rFonts w:ascii="仿宋_GB2312" w:hAnsi="仿宋_GB2312" w:cs="仿宋_GB2312" w:eastAsia="仿宋_GB2312"/>
        </w:rPr>
        <w:t>联系电话：</w:t>
      </w:r>
      <w:r>
        <w:rPr>
          <w:rFonts w:ascii="仿宋_GB2312" w:hAnsi="仿宋_GB2312" w:cs="仿宋_GB2312" w:eastAsia="仿宋_GB2312"/>
        </w:rPr>
        <w:t>029-68936409、029-68936410</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第二章 投标人须知</w:t>
      </w:r>
    </w:p>
    <w:p>
      <w:pPr>
        <w:pStyle w:val="null3"/>
        <w:outlineLvl w:val="2"/>
      </w:pPr>
      <w:r>
        <w:rPr>
          <w:rFonts w:ascii="仿宋_GB2312" w:hAnsi="仿宋_GB2312" w:cs="仿宋_GB2312" w:eastAsia="仿宋_GB2312"/>
          <w:sz w:val="28"/>
          <w:b/>
        </w:rPr>
        <w:t>2.1投标人须知前附表</w:t>
      </w:r>
    </w:p>
    <w:tbl>
      <w:tblPr>
        <w:tblW w:w="0" w:type="auto"/>
        <w:tblBorders>
          <w:top w:val="single"/>
          <w:left w:val="single"/>
          <w:bottom w:val="single"/>
          <w:right w:val="single"/>
          <w:insideH w:val="single"/>
          <w:insideV w:val="single"/>
        </w:tblBorders>
      </w:tblPr>
      <w:tblGrid>
        <w:gridCol w:w="1051"/>
        <w:gridCol w:w="2252"/>
        <w:gridCol w:w="5004"/>
      </w:tblGrid>
      <w:tr>
        <w:tc>
          <w:tcPr>
            <w:tcW w:type="dxa" w:w="1051"/>
          </w:tcPr>
          <w:p>
            <w:pPr>
              <w:pStyle w:val="null3"/>
            </w:pPr>
            <w:r>
              <w:rPr>
                <w:rFonts w:ascii="仿宋_GB2312" w:hAnsi="仿宋_GB2312" w:cs="仿宋_GB2312" w:eastAsia="仿宋_GB2312"/>
              </w:rPr>
              <w:t>序号</w:t>
            </w:r>
          </w:p>
        </w:tc>
        <w:tc>
          <w:tcPr>
            <w:tcW w:type="dxa" w:w="2252"/>
          </w:tcPr>
          <w:p>
            <w:pPr>
              <w:pStyle w:val="null3"/>
            </w:pPr>
            <w:r>
              <w:rPr>
                <w:rFonts w:ascii="仿宋_GB2312" w:hAnsi="仿宋_GB2312" w:cs="仿宋_GB2312" w:eastAsia="仿宋_GB2312"/>
              </w:rPr>
              <w:t>应知事项</w:t>
            </w:r>
          </w:p>
        </w:tc>
        <w:tc>
          <w:tcPr>
            <w:tcW w:type="dxa" w:w="5004"/>
          </w:tcPr>
          <w:p>
            <w:pPr>
              <w:pStyle w:val="null3"/>
            </w:pPr>
            <w:r>
              <w:rPr>
                <w:rFonts w:ascii="仿宋_GB2312" w:hAnsi="仿宋_GB2312" w:cs="仿宋_GB2312" w:eastAsia="仿宋_GB2312"/>
              </w:rPr>
              <w:t>说明和要求</w:t>
            </w:r>
          </w:p>
        </w:tc>
      </w:tr>
      <w:tr>
        <w:tc>
          <w:tcPr>
            <w:tcW w:type="dxa" w:w="1051"/>
          </w:tcPr>
          <w:p>
            <w:pPr>
              <w:pStyle w:val="null3"/>
            </w:pPr>
            <w:r>
              <w:rPr>
                <w:rFonts w:ascii="仿宋_GB2312" w:hAnsi="仿宋_GB2312" w:cs="仿宋_GB2312" w:eastAsia="仿宋_GB2312"/>
              </w:rPr>
              <w:t>1</w:t>
            </w:r>
          </w:p>
        </w:tc>
        <w:tc>
          <w:tcPr>
            <w:tcW w:type="dxa" w:w="2252"/>
          </w:tcPr>
          <w:p>
            <w:pPr>
              <w:pStyle w:val="null3"/>
            </w:pPr>
            <w:r>
              <w:rPr>
                <w:rFonts w:ascii="仿宋_GB2312" w:hAnsi="仿宋_GB2312" w:cs="仿宋_GB2312" w:eastAsia="仿宋_GB2312"/>
              </w:rPr>
              <w:t>采购预算（实质性要求）</w:t>
            </w:r>
          </w:p>
        </w:tc>
        <w:tc>
          <w:tcPr>
            <w:tcW w:type="dxa" w:w="5004"/>
          </w:tcPr>
          <w:p>
            <w:pPr>
              <w:pStyle w:val="null3"/>
            </w:pPr>
            <w:r>
              <w:rPr>
                <w:rFonts w:ascii="仿宋_GB2312" w:hAnsi="仿宋_GB2312" w:cs="仿宋_GB2312" w:eastAsia="仿宋_GB2312"/>
              </w:rPr>
              <w:t>本项目各包采购预算金额如下：</w:t>
            </w:r>
          </w:p>
          <w:p>
            <w:pPr>
              <w:pStyle w:val="null3"/>
            </w:pPr>
            <w:r>
              <w:rPr>
                <w:rFonts w:ascii="仿宋_GB2312" w:hAnsi="仿宋_GB2312" w:cs="仿宋_GB2312" w:eastAsia="仿宋_GB2312"/>
              </w:rPr>
              <w:t>采购包1：5,750,000.00元</w:t>
            </w:r>
          </w:p>
          <w:p>
            <w:pPr>
              <w:pStyle w:val="null3"/>
            </w:pPr>
            <w:r>
              <w:rPr>
                <w:rFonts w:ascii="仿宋_GB2312" w:hAnsi="仿宋_GB2312" w:cs="仿宋_GB2312" w:eastAsia="仿宋_GB2312"/>
              </w:rPr>
              <w:t>采购包2：3,450,000.00元</w:t>
            </w:r>
            <w:r>
              <w:rPr>
                <w:rFonts w:ascii="仿宋_GB2312" w:hAnsi="仿宋_GB2312" w:cs="仿宋_GB2312" w:eastAsia="仿宋_GB2312"/>
              </w:rPr>
              <w:t xml:space="preserve"> 投标人的采购包投标报价高于采购包采购预算的，其投标文件将按无效处理。</w:t>
            </w:r>
          </w:p>
        </w:tc>
      </w:tr>
      <w:tr>
        <w:tc>
          <w:tcPr>
            <w:tcW w:type="dxa" w:w="1051"/>
          </w:tcPr>
          <w:p>
            <w:pPr>
              <w:pStyle w:val="null3"/>
            </w:pPr>
            <w:r>
              <w:rPr>
                <w:rFonts w:ascii="仿宋_GB2312" w:hAnsi="仿宋_GB2312" w:cs="仿宋_GB2312" w:eastAsia="仿宋_GB2312"/>
              </w:rPr>
              <w:t>2</w:t>
            </w:r>
          </w:p>
        </w:tc>
        <w:tc>
          <w:tcPr>
            <w:tcW w:type="dxa" w:w="2252"/>
          </w:tcPr>
          <w:p>
            <w:pPr>
              <w:pStyle w:val="null3"/>
            </w:pPr>
            <w:r>
              <w:rPr>
                <w:rFonts w:ascii="仿宋_GB2312" w:hAnsi="仿宋_GB2312" w:cs="仿宋_GB2312" w:eastAsia="仿宋_GB2312"/>
              </w:rPr>
              <w:t>最高限价（实质性要求）</w:t>
            </w:r>
          </w:p>
        </w:tc>
        <w:tc>
          <w:tcPr>
            <w:tcW w:type="dxa" w:w="5004"/>
          </w:tcPr>
          <w:p>
            <w:pPr>
              <w:pStyle w:val="null3"/>
            </w:pPr>
            <w:r>
              <w:rPr>
                <w:rFonts w:ascii="仿宋_GB2312" w:hAnsi="仿宋_GB2312" w:cs="仿宋_GB2312" w:eastAsia="仿宋_GB2312"/>
              </w:rPr>
              <w:t>详见第三章。</w:t>
            </w:r>
          </w:p>
          <w:p>
            <w:pPr>
              <w:pStyle w:val="null3"/>
            </w:pPr>
            <w:r>
              <w:rPr>
                <w:rFonts w:ascii="仿宋_GB2312" w:hAnsi="仿宋_GB2312" w:cs="仿宋_GB2312" w:eastAsia="仿宋_GB2312"/>
              </w:rPr>
              <w:t>投标人的采购包投标报价高于最高限价的，其投标文件将按无效处理。</w:t>
            </w:r>
          </w:p>
        </w:tc>
      </w:tr>
      <w:tr>
        <w:tc>
          <w:tcPr>
            <w:tcW w:type="dxa" w:w="1051"/>
          </w:tcPr>
          <w:p>
            <w:pPr>
              <w:pStyle w:val="null3"/>
            </w:pPr>
            <w:r>
              <w:rPr>
                <w:rFonts w:ascii="仿宋_GB2312" w:hAnsi="仿宋_GB2312" w:cs="仿宋_GB2312" w:eastAsia="仿宋_GB2312"/>
              </w:rPr>
              <w:t>3</w:t>
            </w:r>
          </w:p>
        </w:tc>
        <w:tc>
          <w:tcPr>
            <w:tcW w:type="dxa" w:w="2252"/>
          </w:tcPr>
          <w:p>
            <w:pPr>
              <w:pStyle w:val="null3"/>
            </w:pPr>
            <w:r>
              <w:rPr>
                <w:rFonts w:ascii="仿宋_GB2312" w:hAnsi="仿宋_GB2312" w:cs="仿宋_GB2312" w:eastAsia="仿宋_GB2312"/>
              </w:rPr>
              <w:t>评标方法</w:t>
            </w:r>
          </w:p>
        </w:tc>
        <w:tc>
          <w:tcPr>
            <w:tcW w:type="dxa" w:w="5004"/>
          </w:tcPr>
          <w:p>
            <w:pPr>
              <w:pStyle w:val="null3"/>
            </w:pPr>
            <w:r>
              <w:rPr>
                <w:rFonts w:ascii="仿宋_GB2312" w:hAnsi="仿宋_GB2312" w:cs="仿宋_GB2312" w:eastAsia="仿宋_GB2312"/>
              </w:rPr>
              <w:t>采购包1：综合评分法</w:t>
            </w:r>
          </w:p>
          <w:p>
            <w:pPr>
              <w:pStyle w:val="null3"/>
            </w:pPr>
            <w:r>
              <w:rPr>
                <w:rFonts w:ascii="仿宋_GB2312" w:hAnsi="仿宋_GB2312" w:cs="仿宋_GB2312" w:eastAsia="仿宋_GB2312"/>
              </w:rPr>
              <w:t>采购包2：综合评分法</w:t>
            </w:r>
            <w:r>
              <w:rPr>
                <w:rFonts w:ascii="仿宋_GB2312" w:hAnsi="仿宋_GB2312" w:cs="仿宋_GB2312" w:eastAsia="仿宋_GB2312"/>
              </w:rPr>
              <w:t xml:space="preserve"> （详见第五章）</w:t>
            </w:r>
          </w:p>
        </w:tc>
      </w:tr>
      <w:tr>
        <w:tc>
          <w:tcPr>
            <w:tcW w:type="dxa" w:w="1051"/>
          </w:tcPr>
          <w:p>
            <w:pPr>
              <w:pStyle w:val="null3"/>
            </w:pPr>
            <w:r>
              <w:rPr>
                <w:rFonts w:ascii="仿宋_GB2312" w:hAnsi="仿宋_GB2312" w:cs="仿宋_GB2312" w:eastAsia="仿宋_GB2312"/>
              </w:rPr>
              <w:t>4</w:t>
            </w:r>
          </w:p>
        </w:tc>
        <w:tc>
          <w:tcPr>
            <w:tcW w:type="dxa" w:w="2252"/>
          </w:tcPr>
          <w:p>
            <w:pPr>
              <w:pStyle w:val="null3"/>
            </w:pPr>
            <w:r>
              <w:rPr>
                <w:rFonts w:ascii="仿宋_GB2312" w:hAnsi="仿宋_GB2312" w:cs="仿宋_GB2312" w:eastAsia="仿宋_GB2312"/>
              </w:rPr>
              <w:t>是否接受联合体</w:t>
            </w:r>
          </w:p>
        </w:tc>
        <w:tc>
          <w:tcPr>
            <w:tcW w:type="dxa" w:w="5004"/>
          </w:tcPr>
          <w:p>
            <w:pPr>
              <w:pStyle w:val="null3"/>
            </w:pPr>
            <w:r>
              <w:rPr>
                <w:rFonts w:ascii="仿宋_GB2312" w:hAnsi="仿宋_GB2312" w:cs="仿宋_GB2312" w:eastAsia="仿宋_GB2312"/>
              </w:rPr>
              <w:t>采购包1：不接受</w:t>
            </w:r>
          </w:p>
          <w:p>
            <w:pPr>
              <w:pStyle w:val="null3"/>
            </w:pPr>
            <w:r>
              <w:rPr>
                <w:rFonts w:ascii="仿宋_GB2312" w:hAnsi="仿宋_GB2312" w:cs="仿宋_GB2312" w:eastAsia="仿宋_GB2312"/>
              </w:rPr>
              <w:t>采购包2：不接受</w:t>
            </w:r>
            <w:r>
              <w:rPr>
                <w:rFonts w:ascii="仿宋_GB2312" w:hAnsi="仿宋_GB2312" w:cs="仿宋_GB2312" w:eastAsia="仿宋_GB2312"/>
              </w:rPr>
              <w:t xml:space="preserve"> 如以联合体响应的，联合体各方均应当具备本招标文件要求的资格条件和能力。</w:t>
            </w:r>
          </w:p>
          <w:p>
            <w:pPr>
              <w:pStyle w:val="null3"/>
            </w:pPr>
            <w:r>
              <w:rPr>
                <w:rFonts w:ascii="仿宋_GB2312" w:hAnsi="仿宋_GB2312" w:cs="仿宋_GB2312" w:eastAsia="仿宋_GB2312"/>
              </w:rPr>
              <w:t xml:space="preserve"> （1）联合体各方均应具有承担本项目必备的条件，如相应的人力、物力、资金等。</w:t>
            </w:r>
          </w:p>
          <w:p>
            <w:pPr>
              <w:pStyle w:val="null3"/>
            </w:pPr>
            <w:r>
              <w:rPr>
                <w:rFonts w:ascii="仿宋_GB2312" w:hAnsi="仿宋_GB2312" w:cs="仿宋_GB2312" w:eastAsia="仿宋_GB2312"/>
              </w:rPr>
              <w:t xml:space="preserve"> （2）招标文件对投标人资格条件有特殊要求的，联合体各个成员都应当具备规定的相应资格条件。</w:t>
            </w:r>
          </w:p>
          <w:p>
            <w:pPr>
              <w:pStyle w:val="null3"/>
            </w:pPr>
            <w:r>
              <w:rPr>
                <w:rFonts w:ascii="仿宋_GB2312" w:hAnsi="仿宋_GB2312" w:cs="仿宋_GB2312" w:eastAsia="仿宋_GB2312"/>
              </w:rPr>
              <w:t xml:space="preserve"> （3）同一专业的单位组成的联合体，应当按照资质等级较低的单位确定联合体的资质等级。如：某联合体由三个单位组成，其中两个单位资质等级为甲级，另一单位资质等级为乙级，则该联合体资质等级等级为乙级。</w:t>
            </w:r>
          </w:p>
        </w:tc>
      </w:tr>
      <w:tr>
        <w:tc>
          <w:tcPr>
            <w:tcW w:type="dxa" w:w="1051"/>
          </w:tcPr>
          <w:p>
            <w:pPr>
              <w:pStyle w:val="null3"/>
            </w:pPr>
            <w:r>
              <w:rPr>
                <w:rFonts w:ascii="仿宋_GB2312" w:hAnsi="仿宋_GB2312" w:cs="仿宋_GB2312" w:eastAsia="仿宋_GB2312"/>
              </w:rPr>
              <w:t>5</w:t>
            </w:r>
          </w:p>
        </w:tc>
        <w:tc>
          <w:tcPr>
            <w:tcW w:type="dxa" w:w="2252"/>
          </w:tcPr>
          <w:p>
            <w:pPr>
              <w:pStyle w:val="null3"/>
            </w:pPr>
            <w:r>
              <w:rPr>
                <w:rFonts w:ascii="仿宋_GB2312" w:hAnsi="仿宋_GB2312" w:cs="仿宋_GB2312" w:eastAsia="仿宋_GB2312"/>
              </w:rPr>
              <w:t>落实节能、环保产品政策</w:t>
            </w:r>
          </w:p>
        </w:tc>
        <w:tc>
          <w:tcPr>
            <w:tcW w:type="dxa" w:w="5004"/>
          </w:tcPr>
          <w:p>
            <w:pPr>
              <w:pStyle w:val="null3"/>
            </w:pPr>
            <w:r>
              <w:rPr>
                <w:rFonts w:ascii="仿宋_GB2312" w:hAnsi="仿宋_GB2312" w:cs="仿宋_GB2312" w:eastAsia="仿宋_GB2312"/>
              </w:rPr>
              <w:t xml:space="preserve"> 1.根据《财政部发展改革委生态环境部市场监管总局关于调整优化节能产品、环境标志产品政府采购执行机制的通知》（财库〔2019〕9号）相关要求，政府采购节能产品、环境标志产品实施品目清单管理。财政部、发展改革委、生态环境部等部门确定实施政府优先采购和强制采购的产品类别，以品目清单的形式发布并适时调整。</w:t>
            </w:r>
          </w:p>
          <w:p>
            <w:pPr>
              <w:pStyle w:val="null3"/>
            </w:pPr>
            <w:r>
              <w:rPr>
                <w:rFonts w:ascii="仿宋_GB2312" w:hAnsi="仿宋_GB2312" w:cs="仿宋_GB2312" w:eastAsia="仿宋_GB2312"/>
              </w:rPr>
              <w:t xml:space="preserve"> 2.本项目采购</w:t>
            </w:r>
            <w:r>
              <w:rPr>
                <w:rFonts w:ascii="仿宋_GB2312" w:hAnsi="仿宋_GB2312" w:cs="仿宋_GB2312" w:eastAsia="仿宋_GB2312"/>
              </w:rPr>
              <w:t>无</w:t>
            </w:r>
            <w:r>
              <w:rPr>
                <w:rFonts w:ascii="仿宋_GB2312" w:hAnsi="仿宋_GB2312" w:cs="仿宋_GB2312" w:eastAsia="仿宋_GB2312"/>
              </w:rPr>
              <w:t>产品属于节能产品政府采购品目清单中应强制采购的产品范围，供应商应当提供国家确定的认证机构出具的、处于有效期之内的节能产品认证证书，否则作无效投标处理。</w:t>
            </w:r>
          </w:p>
          <w:p>
            <w:pPr>
              <w:pStyle w:val="null3"/>
            </w:pPr>
            <w:r>
              <w:rPr>
                <w:rFonts w:ascii="仿宋_GB2312" w:hAnsi="仿宋_GB2312" w:cs="仿宋_GB2312" w:eastAsia="仿宋_GB2312"/>
              </w:rPr>
              <w:t xml:space="preserve"> 3.本项目采购</w:t>
            </w:r>
            <w:r>
              <w:rPr>
                <w:rFonts w:ascii="仿宋_GB2312" w:hAnsi="仿宋_GB2312" w:cs="仿宋_GB2312" w:eastAsia="仿宋_GB2312"/>
              </w:rPr>
              <w:t>无</w:t>
            </w:r>
            <w:r>
              <w:rPr>
                <w:rFonts w:ascii="仿宋_GB2312" w:hAnsi="仿宋_GB2312" w:cs="仿宋_GB2312" w:eastAsia="仿宋_GB2312"/>
              </w:rPr>
              <w:t>产品属于节能产品政府采购品目清单中应优先采购的产品范围，本项目采购</w:t>
            </w:r>
            <w:r>
              <w:rPr>
                <w:rFonts w:ascii="仿宋_GB2312" w:hAnsi="仿宋_GB2312" w:cs="仿宋_GB2312" w:eastAsia="仿宋_GB2312"/>
              </w:rPr>
              <w:t>无</w:t>
            </w:r>
            <w:r>
              <w:rPr>
                <w:rFonts w:ascii="仿宋_GB2312" w:hAnsi="仿宋_GB2312" w:cs="仿宋_GB2312" w:eastAsia="仿宋_GB2312"/>
              </w:rPr>
              <w:t>产品属于环境标志产品政府采购品目清单中应优先采购的产品范围，评审得分/响应报价相同的，按供应商提供的优先采购产品认证证书数量由多到少顺序排列。</w:t>
            </w:r>
          </w:p>
        </w:tc>
      </w:tr>
      <w:tr>
        <w:tc>
          <w:tcPr>
            <w:tcW w:type="dxa" w:w="1051"/>
          </w:tcPr>
          <w:p>
            <w:pPr>
              <w:pStyle w:val="null3"/>
            </w:pPr>
            <w:r>
              <w:rPr>
                <w:rFonts w:ascii="仿宋_GB2312" w:hAnsi="仿宋_GB2312" w:cs="仿宋_GB2312" w:eastAsia="仿宋_GB2312"/>
              </w:rPr>
              <w:t>6</w:t>
            </w:r>
          </w:p>
        </w:tc>
        <w:tc>
          <w:tcPr>
            <w:tcW w:type="dxa" w:w="2252"/>
          </w:tcPr>
          <w:p>
            <w:pPr>
              <w:pStyle w:val="null3"/>
            </w:pPr>
            <w:r>
              <w:rPr>
                <w:rFonts w:ascii="仿宋_GB2312" w:hAnsi="仿宋_GB2312" w:cs="仿宋_GB2312" w:eastAsia="仿宋_GB2312"/>
              </w:rPr>
              <w:t xml:space="preserve"> 小微企业（监狱企业、残疾人福利性单位视同小微企业）价格扣除（仅非预留份额采购项目或预留份额采购项目中的非预留部分采购包适用）</w:t>
            </w:r>
          </w:p>
        </w:tc>
        <w:tc>
          <w:tcPr>
            <w:tcW w:type="dxa" w:w="5004"/>
          </w:tcPr>
          <w:p>
            <w:pPr>
              <w:pStyle w:val="null3"/>
            </w:pPr>
            <w:r>
              <w:rPr>
                <w:rFonts w:ascii="仿宋_GB2312" w:hAnsi="仿宋_GB2312" w:cs="仿宋_GB2312" w:eastAsia="仿宋_GB2312"/>
              </w:rPr>
              <w:t>关于本项目采购包中执行小微企业（监狱企业、残疾人福利性单位视同小微企业）价格扣除情况、具体扣除比例和规则详见第五章。</w:t>
            </w:r>
          </w:p>
        </w:tc>
      </w:tr>
      <w:tr>
        <w:tc>
          <w:tcPr>
            <w:tcW w:type="dxa" w:w="1051"/>
          </w:tcPr>
          <w:p>
            <w:pPr>
              <w:pStyle w:val="null3"/>
            </w:pPr>
            <w:r>
              <w:rPr>
                <w:rFonts w:ascii="仿宋_GB2312" w:hAnsi="仿宋_GB2312" w:cs="仿宋_GB2312" w:eastAsia="仿宋_GB2312"/>
              </w:rPr>
              <w:t>7</w:t>
            </w:r>
          </w:p>
        </w:tc>
        <w:tc>
          <w:tcPr>
            <w:tcW w:type="dxa" w:w="2252"/>
          </w:tcPr>
          <w:p>
            <w:pPr>
              <w:pStyle w:val="null3"/>
            </w:pPr>
            <w:r>
              <w:rPr>
                <w:rFonts w:ascii="仿宋_GB2312" w:hAnsi="仿宋_GB2312" w:cs="仿宋_GB2312" w:eastAsia="仿宋_GB2312"/>
              </w:rPr>
              <w:t>充分、公平竞争保障措施（实质性要求）</w:t>
            </w:r>
          </w:p>
        </w:tc>
        <w:tc>
          <w:tcPr>
            <w:tcW w:type="dxa" w:w="5004"/>
          </w:tcPr>
          <w:p>
            <w:pPr>
              <w:pStyle w:val="null3"/>
            </w:pPr>
            <w:r>
              <w:rPr>
                <w:rFonts w:ascii="仿宋_GB2312" w:hAnsi="仿宋_GB2312" w:cs="仿宋_GB2312" w:eastAsia="仿宋_GB2312"/>
              </w:rPr>
              <w:t>核心产品允许有多个，不同供应商提供了任意一个相同品牌的核心产品，即视为提供相同品牌的供应商。</w:t>
            </w:r>
          </w:p>
          <w:p>
            <w:pPr>
              <w:pStyle w:val="null3"/>
            </w:pPr>
            <w:r>
              <w:rPr>
                <w:rFonts w:ascii="仿宋_GB2312" w:hAnsi="仿宋_GB2312" w:cs="仿宋_GB2312" w:eastAsia="仿宋_GB2312"/>
              </w:rPr>
              <w:t>使用综合评分法的采购项目，提供相同品牌产品且通过资格审查、符合性审查的不同投标人参加同一合同项下投标的，按一家投标人计算，评审后得分最高的同品牌投标人获得中标人推荐资格；评审得分相同的，由采购人或者采购人委托评标委员会采取随机抽取方式确定一个投标人获得中标人推荐资格，其他同品牌投标人不作为中标候选人。</w:t>
            </w:r>
          </w:p>
          <w:p>
            <w:pPr>
              <w:pStyle w:val="null3"/>
            </w:pPr>
            <w:r>
              <w:rPr>
                <w:rFonts w:ascii="仿宋_GB2312" w:hAnsi="仿宋_GB2312" w:cs="仿宋_GB2312" w:eastAsia="仿宋_GB2312"/>
              </w:rPr>
              <w:t>采用最低评标价法的采购项目，提供相同品牌产品的不同投标人参加同一合同项下投标的，以其中通过资格审查、符合性审查且报价最低的参加评标；报价相同的，由采购人或者采购人委托评标委员会按照随机抽取方式确定一个参加评标的投标人，其他投标无效。</w:t>
            </w:r>
          </w:p>
          <w:p>
            <w:pPr>
              <w:pStyle w:val="null3"/>
            </w:pPr>
            <w:r>
              <w:rPr>
                <w:rFonts w:ascii="仿宋_GB2312" w:hAnsi="仿宋_GB2312" w:cs="仿宋_GB2312" w:eastAsia="仿宋_GB2312"/>
              </w:rPr>
              <w:t>核心产品清单详见第三章。</w:t>
            </w:r>
          </w:p>
          <w:p>
            <w:pPr>
              <w:pStyle w:val="null3"/>
            </w:pPr>
            <w:r>
              <w:rPr>
                <w:rFonts w:ascii="仿宋_GB2312" w:hAnsi="仿宋_GB2312" w:cs="仿宋_GB2312" w:eastAsia="仿宋_GB2312"/>
              </w:rPr>
              <w:t>在符合性审查环节提供核心产品品牌不足3个的，视为有效投标人不足3家。</w:t>
            </w:r>
          </w:p>
        </w:tc>
      </w:tr>
      <w:tr>
        <w:tc>
          <w:tcPr>
            <w:tcW w:type="dxa" w:w="1051"/>
          </w:tcPr>
          <w:p>
            <w:pPr>
              <w:pStyle w:val="null3"/>
            </w:pPr>
            <w:r>
              <w:rPr>
                <w:rFonts w:ascii="仿宋_GB2312" w:hAnsi="仿宋_GB2312" w:cs="仿宋_GB2312" w:eastAsia="仿宋_GB2312"/>
              </w:rPr>
              <w:t>8</w:t>
            </w:r>
          </w:p>
        </w:tc>
        <w:tc>
          <w:tcPr>
            <w:tcW w:type="dxa" w:w="2252"/>
          </w:tcPr>
          <w:p>
            <w:pPr>
              <w:pStyle w:val="null3"/>
            </w:pPr>
            <w:r>
              <w:rPr>
                <w:rFonts w:ascii="仿宋_GB2312" w:hAnsi="仿宋_GB2312" w:cs="仿宋_GB2312" w:eastAsia="仿宋_GB2312"/>
              </w:rPr>
              <w:t>不正当竞争预防措施（实质性要求）</w:t>
            </w:r>
          </w:p>
        </w:tc>
        <w:tc>
          <w:tcPr>
            <w:tcW w:type="dxa" w:w="5004"/>
          </w:tcPr>
          <w:p>
            <w:pPr>
              <w:pStyle w:val="null3"/>
            </w:pPr>
            <w:r>
              <w:rPr>
                <w:rFonts w:ascii="仿宋_GB2312" w:hAnsi="仿宋_GB2312" w:cs="仿宋_GB2312" w:eastAsia="仿宋_GB2312"/>
              </w:rPr>
              <w:t>在评标过程中，评标委员会认为投标人投标报价明显低于其他通过符合性审查投标人的投标报价，有可能影响产品质量或者不能诚信履约的，评标委员会应当要求其在合理的时间内通过项目电子化交易系统进行书面说明，必要时提交相关证明材料。投标人提交的书面说明，应当加盖投标人公章，在评标委员会要求的时间内通过项目电子化交易系统进行提交，否则视为不能证明其投标报价合理性。投标人不能证明其投标报价合理性的，评标委员会应当将其投标文件作为无效投标处理。</w:t>
            </w:r>
          </w:p>
        </w:tc>
      </w:tr>
      <w:tr>
        <w:tc>
          <w:tcPr>
            <w:tcW w:type="dxa" w:w="1051"/>
          </w:tcPr>
          <w:p>
            <w:pPr>
              <w:pStyle w:val="null3"/>
            </w:pPr>
            <w:r>
              <w:rPr>
                <w:rFonts w:ascii="仿宋_GB2312" w:hAnsi="仿宋_GB2312" w:cs="仿宋_GB2312" w:eastAsia="仿宋_GB2312"/>
              </w:rPr>
              <w:t>9</w:t>
            </w:r>
          </w:p>
        </w:tc>
        <w:tc>
          <w:tcPr>
            <w:tcW w:type="dxa" w:w="2252"/>
          </w:tcPr>
          <w:p>
            <w:pPr>
              <w:pStyle w:val="null3"/>
            </w:pPr>
            <w:r>
              <w:rPr>
                <w:rFonts w:ascii="仿宋_GB2312" w:hAnsi="仿宋_GB2312" w:cs="仿宋_GB2312" w:eastAsia="仿宋_GB2312"/>
              </w:rPr>
              <w:t>投标保证金</w:t>
            </w:r>
          </w:p>
        </w:tc>
        <w:tc>
          <w:tcPr>
            <w:tcW w:type="dxa" w:w="5004"/>
          </w:tcPr>
          <w:p>
            <w:pPr>
              <w:pStyle w:val="null3"/>
            </w:pPr>
            <w:r>
              <w:rPr>
                <w:rFonts w:ascii="仿宋_GB2312" w:hAnsi="仿宋_GB2312" w:cs="仿宋_GB2312" w:eastAsia="仿宋_GB2312"/>
              </w:rPr>
              <w:t>采购包1保证金金额：100,332.00元</w:t>
            </w:r>
          </w:p>
          <w:p>
            <w:pPr>
              <w:pStyle w:val="null3"/>
            </w:pPr>
            <w:r>
              <w:rPr>
                <w:rFonts w:ascii="仿宋_GB2312" w:hAnsi="仿宋_GB2312" w:cs="仿宋_GB2312" w:eastAsia="仿宋_GB2312"/>
              </w:rPr>
              <w:t>采购包2保证金金额：60,332.00元</w:t>
            </w:r>
          </w:p>
          <w:p>
            <w:pPr>
              <w:pStyle w:val="null3"/>
            </w:pPr>
            <w:r>
              <w:rPr>
                <w:rFonts w:ascii="仿宋_GB2312" w:hAnsi="仿宋_GB2312" w:cs="仿宋_GB2312" w:eastAsia="仿宋_GB2312"/>
              </w:rPr>
              <w:t>缴交渠道：电子保函,转账、支票、汇票等（需通过实体账户、户名及开户行信息）</w:t>
            </w:r>
          </w:p>
          <w:p>
            <w:pPr>
              <w:pStyle w:val="null3"/>
            </w:pPr>
            <w:r>
              <w:rPr>
                <w:rFonts w:ascii="仿宋_GB2312" w:hAnsi="仿宋_GB2312" w:cs="仿宋_GB2312" w:eastAsia="仿宋_GB2312"/>
              </w:rPr>
              <w:t>开户名称：陕西正信招标有限公司（资金性质：保证金专用账户）</w:t>
            </w:r>
          </w:p>
          <w:p>
            <w:pPr>
              <w:pStyle w:val="null3"/>
            </w:pPr>
            <w:r>
              <w:rPr>
                <w:rFonts w:ascii="仿宋_GB2312" w:hAnsi="仿宋_GB2312" w:cs="仿宋_GB2312" w:eastAsia="仿宋_GB2312"/>
              </w:rPr>
              <w:t>开户银行：中国银行西安四府街支行</w:t>
            </w:r>
          </w:p>
          <w:p>
            <w:pPr>
              <w:pStyle w:val="null3"/>
            </w:pPr>
            <w:r>
              <w:rPr>
                <w:rFonts w:ascii="仿宋_GB2312" w:hAnsi="仿宋_GB2312" w:cs="仿宋_GB2312" w:eastAsia="仿宋_GB2312"/>
              </w:rPr>
              <w:t>银行账号：102500641590</w:t>
            </w:r>
          </w:p>
        </w:tc>
      </w:tr>
      <w:tr>
        <w:tc>
          <w:tcPr>
            <w:tcW w:type="dxa" w:w="1051"/>
          </w:tcPr>
          <w:p>
            <w:pPr>
              <w:pStyle w:val="null3"/>
            </w:pPr>
            <w:r>
              <w:rPr>
                <w:rFonts w:ascii="仿宋_GB2312" w:hAnsi="仿宋_GB2312" w:cs="仿宋_GB2312" w:eastAsia="仿宋_GB2312"/>
              </w:rPr>
              <w:t>10</w:t>
            </w:r>
          </w:p>
        </w:tc>
        <w:tc>
          <w:tcPr>
            <w:tcW w:type="dxa" w:w="2252"/>
          </w:tcPr>
          <w:p>
            <w:pPr>
              <w:pStyle w:val="null3"/>
            </w:pPr>
            <w:r>
              <w:rPr>
                <w:rFonts w:ascii="仿宋_GB2312" w:hAnsi="仿宋_GB2312" w:cs="仿宋_GB2312" w:eastAsia="仿宋_GB2312"/>
              </w:rPr>
              <w:t>标书费信息</w:t>
            </w:r>
          </w:p>
        </w:tc>
        <w:tc>
          <w:tcPr>
            <w:tcW w:type="dxa" w:w="5004"/>
          </w:tcPr>
          <w:p>
            <w:pPr>
              <w:pStyle w:val="null3"/>
            </w:pPr>
            <w:r>
              <w:rPr>
                <w:rFonts w:ascii="仿宋_GB2312" w:hAnsi="仿宋_GB2312" w:cs="仿宋_GB2312" w:eastAsia="仿宋_GB2312"/>
              </w:rPr>
              <w:t>免费获取</w:t>
            </w:r>
          </w:p>
        </w:tc>
      </w:tr>
      <w:tr>
        <w:tc>
          <w:tcPr>
            <w:tcW w:type="dxa" w:w="1051"/>
          </w:tcPr>
          <w:p>
            <w:pPr>
              <w:pStyle w:val="null3"/>
            </w:pPr>
            <w:r>
              <w:rPr>
                <w:rFonts w:ascii="仿宋_GB2312" w:hAnsi="仿宋_GB2312" w:cs="仿宋_GB2312" w:eastAsia="仿宋_GB2312"/>
              </w:rPr>
              <w:t>11</w:t>
            </w:r>
          </w:p>
        </w:tc>
        <w:tc>
          <w:tcPr>
            <w:tcW w:type="dxa" w:w="2252"/>
          </w:tcPr>
          <w:p>
            <w:pPr>
              <w:pStyle w:val="null3"/>
            </w:pPr>
            <w:r>
              <w:rPr>
                <w:rFonts w:ascii="仿宋_GB2312" w:hAnsi="仿宋_GB2312" w:cs="仿宋_GB2312" w:eastAsia="仿宋_GB2312"/>
              </w:rPr>
              <w:t>履约保证金（实质性要求）</w:t>
            </w:r>
          </w:p>
        </w:tc>
        <w:tc>
          <w:tcPr>
            <w:tcW w:type="dxa" w:w="5004"/>
          </w:tcPr>
          <w:p>
            <w:pPr>
              <w:pStyle w:val="null3"/>
            </w:pPr>
            <w:r>
              <w:rPr>
                <w:rFonts w:ascii="仿宋_GB2312" w:hAnsi="仿宋_GB2312" w:cs="仿宋_GB2312" w:eastAsia="仿宋_GB2312"/>
              </w:rPr>
              <w:t>采购包1：不缴纳</w:t>
            </w:r>
          </w:p>
          <w:p>
            <w:pPr>
              <w:pStyle w:val="null3"/>
            </w:pPr>
            <w:r>
              <w:rPr>
                <w:rFonts w:ascii="仿宋_GB2312" w:hAnsi="仿宋_GB2312" w:cs="仿宋_GB2312" w:eastAsia="仿宋_GB2312"/>
              </w:rPr>
              <w:t>采购包2：不缴纳</w:t>
            </w:r>
          </w:p>
        </w:tc>
      </w:tr>
      <w:tr>
        <w:tc>
          <w:tcPr>
            <w:tcW w:type="dxa" w:w="1051"/>
          </w:tcPr>
          <w:p>
            <w:pPr>
              <w:pStyle w:val="null3"/>
            </w:pPr>
            <w:r>
              <w:rPr>
                <w:rFonts w:ascii="仿宋_GB2312" w:hAnsi="仿宋_GB2312" w:cs="仿宋_GB2312" w:eastAsia="仿宋_GB2312"/>
              </w:rPr>
              <w:t>12</w:t>
            </w:r>
          </w:p>
        </w:tc>
        <w:tc>
          <w:tcPr>
            <w:tcW w:type="dxa" w:w="2252"/>
          </w:tcPr>
          <w:p>
            <w:pPr>
              <w:pStyle w:val="null3"/>
            </w:pPr>
            <w:r>
              <w:rPr>
                <w:rFonts w:ascii="仿宋_GB2312" w:hAnsi="仿宋_GB2312" w:cs="仿宋_GB2312" w:eastAsia="仿宋_GB2312"/>
              </w:rPr>
              <w:t>投标有效期（实质性要求）</w:t>
            </w:r>
          </w:p>
        </w:tc>
        <w:tc>
          <w:tcPr>
            <w:tcW w:type="dxa" w:w="5004"/>
          </w:tcPr>
          <w:p>
            <w:pPr>
              <w:pStyle w:val="null3"/>
            </w:pPr>
            <w:r>
              <w:rPr>
                <w:rFonts w:ascii="仿宋_GB2312" w:hAnsi="仿宋_GB2312" w:cs="仿宋_GB2312" w:eastAsia="仿宋_GB2312"/>
              </w:rPr>
              <w:t>提交投标文件的截止之日起不少于</w:t>
            </w:r>
            <w:r>
              <w:rPr>
                <w:rFonts w:ascii="仿宋_GB2312" w:hAnsi="仿宋_GB2312" w:cs="仿宋_GB2312" w:eastAsia="仿宋_GB2312"/>
              </w:rPr>
              <w:t>90</w:t>
            </w:r>
            <w:r>
              <w:rPr>
                <w:rFonts w:ascii="仿宋_GB2312" w:hAnsi="仿宋_GB2312" w:cs="仿宋_GB2312" w:eastAsia="仿宋_GB2312"/>
              </w:rPr>
              <w:t>天。</w:t>
            </w:r>
          </w:p>
        </w:tc>
      </w:tr>
      <w:tr>
        <w:tc>
          <w:tcPr>
            <w:tcW w:type="dxa" w:w="1051"/>
          </w:tcPr>
          <w:p>
            <w:pPr>
              <w:pStyle w:val="null3"/>
            </w:pPr>
            <w:r>
              <w:rPr>
                <w:rFonts w:ascii="仿宋_GB2312" w:hAnsi="仿宋_GB2312" w:cs="仿宋_GB2312" w:eastAsia="仿宋_GB2312"/>
              </w:rPr>
              <w:t>13</w:t>
            </w:r>
          </w:p>
        </w:tc>
        <w:tc>
          <w:tcPr>
            <w:tcW w:type="dxa" w:w="2252"/>
          </w:tcPr>
          <w:p>
            <w:pPr>
              <w:pStyle w:val="null3"/>
            </w:pPr>
            <w:r>
              <w:rPr>
                <w:rFonts w:ascii="仿宋_GB2312" w:hAnsi="仿宋_GB2312" w:cs="仿宋_GB2312" w:eastAsia="仿宋_GB2312"/>
              </w:rPr>
              <w:t>招标代理服务费（实质性要求）</w:t>
            </w:r>
          </w:p>
        </w:tc>
        <w:tc>
          <w:tcPr>
            <w:tcW w:type="dxa" w:w="5004"/>
          </w:tcPr>
          <w:p>
            <w:pPr>
              <w:pStyle w:val="null3"/>
            </w:pPr>
            <w:r>
              <w:rPr>
                <w:rFonts w:ascii="仿宋_GB2312" w:hAnsi="仿宋_GB2312" w:cs="仿宋_GB2312" w:eastAsia="仿宋_GB2312"/>
              </w:rPr>
              <w:t>本项目收取代理服务费</w:t>
            </w:r>
          </w:p>
          <w:p>
            <w:pPr>
              <w:pStyle w:val="null3"/>
            </w:pPr>
            <w:r>
              <w:rPr>
                <w:rFonts w:ascii="仿宋_GB2312" w:hAnsi="仿宋_GB2312" w:cs="仿宋_GB2312" w:eastAsia="仿宋_GB2312"/>
              </w:rPr>
              <w:t>代理服务费用收取对象：中标/成交供应商</w:t>
            </w:r>
          </w:p>
          <w:p>
            <w:pPr>
              <w:pStyle w:val="null3"/>
            </w:pPr>
            <w:r>
              <w:rPr>
                <w:rFonts w:ascii="仿宋_GB2312" w:hAnsi="仿宋_GB2312" w:cs="仿宋_GB2312" w:eastAsia="仿宋_GB2312"/>
              </w:rPr>
              <w:t>代理服务费收费标准：1、各采购包招标代理服务费参照国家计委计价格[2002]1980号及发改办价格[2003]857号通知规定按预算收取； 2、收款账户如下： 收款单位：陕西正信招标有限公司，开户银行：中国银行股份有限公司西安四府街支行，银行账号：102460065607 。3、转账备注：250332+包号 项目服务费。</w:t>
            </w:r>
          </w:p>
        </w:tc>
      </w:tr>
      <w:tr>
        <w:tc>
          <w:tcPr>
            <w:tcW w:type="dxa" w:w="1051"/>
          </w:tcPr>
          <w:p>
            <w:pPr>
              <w:pStyle w:val="null3"/>
            </w:pPr>
            <w:r>
              <w:rPr>
                <w:rFonts w:ascii="仿宋_GB2312" w:hAnsi="仿宋_GB2312" w:cs="仿宋_GB2312" w:eastAsia="仿宋_GB2312"/>
              </w:rPr>
              <w:t>14</w:t>
            </w:r>
          </w:p>
        </w:tc>
        <w:tc>
          <w:tcPr>
            <w:tcW w:type="dxa" w:w="2252"/>
          </w:tcPr>
          <w:p>
            <w:pPr>
              <w:pStyle w:val="null3"/>
            </w:pPr>
            <w:r>
              <w:rPr>
                <w:rFonts w:ascii="仿宋_GB2312" w:hAnsi="仿宋_GB2312" w:cs="仿宋_GB2312" w:eastAsia="仿宋_GB2312"/>
              </w:rPr>
              <w:t>采购结果公告</w:t>
            </w:r>
          </w:p>
        </w:tc>
        <w:tc>
          <w:tcPr>
            <w:tcW w:type="dxa" w:w="5004"/>
          </w:tcPr>
          <w:p>
            <w:pPr>
              <w:pStyle w:val="null3"/>
            </w:pPr>
            <w:r>
              <w:rPr>
                <w:rFonts w:ascii="仿宋_GB2312" w:hAnsi="仿宋_GB2312" w:cs="仿宋_GB2312" w:eastAsia="仿宋_GB2312"/>
              </w:rPr>
              <w:t>采购结果将在陕西省政府采购网予以公告。</w:t>
            </w:r>
          </w:p>
        </w:tc>
      </w:tr>
      <w:tr>
        <w:tc>
          <w:tcPr>
            <w:tcW w:type="dxa" w:w="1051"/>
          </w:tcPr>
          <w:p>
            <w:pPr>
              <w:pStyle w:val="null3"/>
            </w:pPr>
            <w:r>
              <w:rPr>
                <w:rFonts w:ascii="仿宋_GB2312" w:hAnsi="仿宋_GB2312" w:cs="仿宋_GB2312" w:eastAsia="仿宋_GB2312"/>
              </w:rPr>
              <w:t>15</w:t>
            </w:r>
          </w:p>
        </w:tc>
        <w:tc>
          <w:tcPr>
            <w:tcW w:type="dxa" w:w="2252"/>
          </w:tcPr>
          <w:p>
            <w:pPr>
              <w:pStyle w:val="null3"/>
            </w:pPr>
            <w:r>
              <w:rPr>
                <w:rFonts w:ascii="仿宋_GB2312" w:hAnsi="仿宋_GB2312" w:cs="仿宋_GB2312" w:eastAsia="仿宋_GB2312"/>
              </w:rPr>
              <w:t>中标通知书</w:t>
            </w:r>
          </w:p>
        </w:tc>
        <w:tc>
          <w:tcPr>
            <w:tcW w:type="dxa" w:w="5004"/>
          </w:tcPr>
          <w:p>
            <w:pPr>
              <w:pStyle w:val="null3"/>
            </w:pPr>
            <w:r>
              <w:rPr>
                <w:rFonts w:ascii="仿宋_GB2312" w:hAnsi="仿宋_GB2312" w:cs="仿宋_GB2312" w:eastAsia="仿宋_GB2312"/>
              </w:rPr>
              <w:t>采购结果公告发布的同时，采购人或代理机构通过项目电子化交易系统向中标供应商发出中标通知书；中标供应商通过项目电子化交易系统获取中标通知书。</w:t>
            </w:r>
          </w:p>
        </w:tc>
      </w:tr>
      <w:tr>
        <w:tc>
          <w:tcPr>
            <w:tcW w:type="dxa" w:w="1051"/>
          </w:tcPr>
          <w:p>
            <w:pPr>
              <w:pStyle w:val="null3"/>
            </w:pPr>
            <w:r>
              <w:rPr>
                <w:rFonts w:ascii="仿宋_GB2312" w:hAnsi="仿宋_GB2312" w:cs="仿宋_GB2312" w:eastAsia="仿宋_GB2312"/>
              </w:rPr>
              <w:t>16</w:t>
            </w:r>
          </w:p>
        </w:tc>
        <w:tc>
          <w:tcPr>
            <w:tcW w:type="dxa" w:w="2252"/>
          </w:tcPr>
          <w:p>
            <w:pPr>
              <w:pStyle w:val="null3"/>
            </w:pPr>
            <w:r>
              <w:rPr>
                <w:rFonts w:ascii="仿宋_GB2312" w:hAnsi="仿宋_GB2312" w:cs="仿宋_GB2312" w:eastAsia="仿宋_GB2312"/>
              </w:rPr>
              <w:t>政府采购合同公告、备案</w:t>
            </w:r>
          </w:p>
        </w:tc>
        <w:tc>
          <w:tcPr>
            <w:tcW w:type="dxa" w:w="5004"/>
          </w:tcPr>
          <w:p>
            <w:pPr>
              <w:pStyle w:val="null3"/>
            </w:pPr>
            <w:r>
              <w:rPr>
                <w:rFonts w:ascii="仿宋_GB2312" w:hAnsi="仿宋_GB2312" w:cs="仿宋_GB2312" w:eastAsia="仿宋_GB2312"/>
              </w:rPr>
              <w:t>政府采购合同签订之日起2个工作日内，采购人将政府采购合同在陕西省政府采购网予以公告；政府采购合同签订之日起7个工作日内，采购人将政府采购合同报本级财政部门备案。</w:t>
            </w:r>
          </w:p>
        </w:tc>
      </w:tr>
      <w:tr>
        <w:tc>
          <w:tcPr>
            <w:tcW w:type="dxa" w:w="1051"/>
          </w:tcPr>
          <w:p>
            <w:pPr>
              <w:pStyle w:val="null3"/>
            </w:pPr>
            <w:r>
              <w:rPr>
                <w:rFonts w:ascii="仿宋_GB2312" w:hAnsi="仿宋_GB2312" w:cs="仿宋_GB2312" w:eastAsia="仿宋_GB2312"/>
              </w:rPr>
              <w:t>17</w:t>
            </w:r>
          </w:p>
        </w:tc>
        <w:tc>
          <w:tcPr>
            <w:tcW w:type="dxa" w:w="2252"/>
          </w:tcPr>
          <w:p>
            <w:pPr>
              <w:pStyle w:val="null3"/>
            </w:pPr>
            <w:r>
              <w:rPr>
                <w:rFonts w:ascii="仿宋_GB2312" w:hAnsi="仿宋_GB2312" w:cs="仿宋_GB2312" w:eastAsia="仿宋_GB2312"/>
              </w:rPr>
              <w:t>进口产品</w:t>
            </w:r>
          </w:p>
        </w:tc>
        <w:tc>
          <w:tcPr>
            <w:tcW w:type="dxa" w:w="5004"/>
          </w:tcPr>
          <w:p>
            <w:pPr>
              <w:pStyle w:val="null3"/>
            </w:pPr>
            <w:r>
              <w:rPr>
                <w:rFonts w:ascii="仿宋_GB2312" w:hAnsi="仿宋_GB2312" w:cs="仿宋_GB2312" w:eastAsia="仿宋_GB2312"/>
              </w:rPr>
              <w:t>不允许</w:t>
            </w:r>
          </w:p>
        </w:tc>
      </w:tr>
      <w:tr>
        <w:tc>
          <w:tcPr>
            <w:tcW w:type="dxa" w:w="1051"/>
          </w:tcPr>
          <w:p>
            <w:pPr>
              <w:pStyle w:val="null3"/>
            </w:pPr>
            <w:r>
              <w:rPr>
                <w:rFonts w:ascii="仿宋_GB2312" w:hAnsi="仿宋_GB2312" w:cs="仿宋_GB2312" w:eastAsia="仿宋_GB2312"/>
              </w:rPr>
              <w:t>18</w:t>
            </w:r>
          </w:p>
        </w:tc>
        <w:tc>
          <w:tcPr>
            <w:tcW w:type="dxa" w:w="2252"/>
          </w:tcPr>
          <w:p>
            <w:pPr>
              <w:pStyle w:val="null3"/>
            </w:pPr>
            <w:r>
              <w:rPr>
                <w:rFonts w:ascii="仿宋_GB2312" w:hAnsi="仿宋_GB2312" w:cs="仿宋_GB2312" w:eastAsia="仿宋_GB2312"/>
              </w:rPr>
              <w:t>是否组织潜在投标人现场考察</w:t>
            </w:r>
          </w:p>
        </w:tc>
        <w:tc>
          <w:tcPr>
            <w:tcW w:type="dxa" w:w="5004"/>
          </w:tcPr>
          <w:p>
            <w:pPr>
              <w:pStyle w:val="null3"/>
            </w:pPr>
            <w:r>
              <w:rPr>
                <w:rFonts w:ascii="仿宋_GB2312" w:hAnsi="仿宋_GB2312" w:cs="仿宋_GB2312" w:eastAsia="仿宋_GB2312"/>
              </w:rPr>
              <w:t>采购包1：组织现场踏勘：否</w:t>
            </w:r>
          </w:p>
          <w:p>
            <w:pPr>
              <w:pStyle w:val="null3"/>
            </w:pPr>
            <w:r>
              <w:rPr>
                <w:rFonts w:ascii="仿宋_GB2312" w:hAnsi="仿宋_GB2312" w:cs="仿宋_GB2312" w:eastAsia="仿宋_GB2312"/>
              </w:rPr>
              <w:t>采购包2：组织现场踏勘：否</w:t>
            </w:r>
          </w:p>
        </w:tc>
      </w:tr>
      <w:tr>
        <w:tc>
          <w:tcPr>
            <w:tcW w:type="dxa" w:w="1051"/>
          </w:tcPr>
          <w:p>
            <w:pPr>
              <w:pStyle w:val="null3"/>
            </w:pPr>
            <w:r>
              <w:rPr>
                <w:rFonts w:ascii="仿宋_GB2312" w:hAnsi="仿宋_GB2312" w:cs="仿宋_GB2312" w:eastAsia="仿宋_GB2312"/>
              </w:rPr>
              <w:t>19</w:t>
            </w:r>
          </w:p>
        </w:tc>
        <w:tc>
          <w:tcPr>
            <w:tcW w:type="dxa" w:w="2252"/>
          </w:tcPr>
          <w:p>
            <w:pPr>
              <w:pStyle w:val="null3"/>
            </w:pPr>
            <w:r>
              <w:rPr>
                <w:rFonts w:ascii="仿宋_GB2312" w:hAnsi="仿宋_GB2312" w:cs="仿宋_GB2312" w:eastAsia="仿宋_GB2312"/>
              </w:rPr>
              <w:t>特殊情况</w:t>
            </w:r>
          </w:p>
        </w:tc>
        <w:tc>
          <w:tcPr>
            <w:tcW w:type="dxa" w:w="5004"/>
          </w:tcPr>
          <w:p>
            <w:pPr>
              <w:pStyle w:val="null3"/>
            </w:pPr>
            <w:r>
              <w:rPr>
                <w:rFonts w:ascii="仿宋_GB2312" w:hAnsi="仿宋_GB2312" w:cs="仿宋_GB2312" w:eastAsia="仿宋_GB2312"/>
              </w:rPr>
              <w:t xml:space="preserve">出现下列情形之一的，采购人或者代理机构应当中止电子化采购活动，并保留相关证明材料备查： </w:t>
            </w:r>
          </w:p>
          <w:p>
            <w:pPr>
              <w:pStyle w:val="null3"/>
            </w:pPr>
            <w:r>
              <w:rPr>
                <w:rFonts w:ascii="仿宋_GB2312" w:hAnsi="仿宋_GB2312" w:cs="仿宋_GB2312" w:eastAsia="仿宋_GB2312"/>
              </w:rPr>
              <w:t>（一）交易系统发生故障（包括感染病毒、应用或数据库出错）而无法正常使用的；</w:t>
            </w:r>
          </w:p>
          <w:p>
            <w:pPr>
              <w:pStyle w:val="null3"/>
            </w:pPr>
            <w:r>
              <w:rPr>
                <w:rFonts w:ascii="仿宋_GB2312" w:hAnsi="仿宋_GB2312" w:cs="仿宋_GB2312" w:eastAsia="仿宋_GB2312"/>
              </w:rPr>
              <w:t>（二）因组织场所停电、断网等原因，导致采购活动无法继续通过交易系统实施的；</w:t>
            </w:r>
          </w:p>
          <w:p>
            <w:pPr>
              <w:pStyle w:val="null3"/>
            </w:pPr>
            <w:r>
              <w:rPr>
                <w:rFonts w:ascii="仿宋_GB2312" w:hAnsi="仿宋_GB2312" w:cs="仿宋_GB2312" w:eastAsia="仿宋_GB2312"/>
              </w:rPr>
              <w:t>（三）其他无法保证电子化交易的公平、公正和安全的情况。</w:t>
            </w:r>
          </w:p>
          <w:p>
            <w:pPr>
              <w:pStyle w:val="null3"/>
            </w:pPr>
            <w:r>
              <w:rPr>
                <w:rFonts w:ascii="仿宋_GB2312" w:hAnsi="仿宋_GB2312" w:cs="仿宋_GB2312" w:eastAsia="仿宋_GB2312"/>
              </w:rPr>
              <w:t>出现上述的情形，不影响采购公平、公正的，采购人或者代理机构可以待上述情形消除后继续组织采购活动；影响或者可能影响采购公平、公正的，采购人或者代理机构应当依法废标。</w:t>
            </w:r>
          </w:p>
          <w:p>
            <w:pPr>
              <w:pStyle w:val="null3"/>
            </w:pPr>
            <w:r>
              <w:rPr>
                <w:rFonts w:ascii="仿宋_GB2312" w:hAnsi="仿宋_GB2312" w:cs="仿宋_GB2312" w:eastAsia="仿宋_GB2312"/>
              </w:rPr>
              <w:t xml:space="preserve"> （一）交易系统发生故障（包括感染病毒、应用或数据库出错）而无法正常使用的；</w:t>
            </w:r>
          </w:p>
          <w:p>
            <w:pPr>
              <w:pStyle w:val="null3"/>
            </w:pPr>
            <w:r>
              <w:rPr>
                <w:rFonts w:ascii="仿宋_GB2312" w:hAnsi="仿宋_GB2312" w:cs="仿宋_GB2312" w:eastAsia="仿宋_GB2312"/>
              </w:rPr>
              <w:t xml:space="preserve"> （二）因组织场所停电、断网等原因，导致采购活动无法继续通过交易系统实施的；</w:t>
            </w:r>
          </w:p>
          <w:p>
            <w:pPr>
              <w:pStyle w:val="null3"/>
            </w:pPr>
            <w:r>
              <w:rPr>
                <w:rFonts w:ascii="仿宋_GB2312" w:hAnsi="仿宋_GB2312" w:cs="仿宋_GB2312" w:eastAsia="仿宋_GB2312"/>
              </w:rPr>
              <w:t xml:space="preserve"> （三）其他无法保证电子化交易的公平、公正和安全的情况。 出现上述的情形，不影响采购公平、公正的，采购人或者采购代理机构可以待上述情形消除后继续组织采购活动；影响或者可能影响采购公平、公正的，采购人或者采购代理机构应当依法废标。</w:t>
            </w:r>
          </w:p>
        </w:tc>
      </w:tr>
    </w:tbl>
    <w:p>
      <w:pPr>
        <w:pStyle w:val="null3"/>
        <w:outlineLvl w:val="2"/>
      </w:pPr>
      <w:r>
        <w:rPr>
          <w:rFonts w:ascii="仿宋_GB2312" w:hAnsi="仿宋_GB2312" w:cs="仿宋_GB2312" w:eastAsia="仿宋_GB2312"/>
          <w:sz w:val="28"/>
          <w:b/>
        </w:rPr>
        <w:t>2.2总则</w:t>
      </w:r>
    </w:p>
    <w:p>
      <w:pPr>
        <w:pStyle w:val="null3"/>
        <w:outlineLvl w:val="3"/>
      </w:pPr>
      <w:r>
        <w:rPr>
          <w:rFonts w:ascii="仿宋_GB2312" w:hAnsi="仿宋_GB2312" w:cs="仿宋_GB2312" w:eastAsia="仿宋_GB2312"/>
          <w:sz w:val="24"/>
          <w:b/>
        </w:rPr>
        <w:t>2.2.1适用范围</w:t>
      </w:r>
    </w:p>
    <w:p>
      <w:pPr>
        <w:pStyle w:val="null3"/>
        <w:ind w:firstLine="480"/>
      </w:pPr>
      <w:r>
        <w:rPr>
          <w:rFonts w:ascii="仿宋_GB2312" w:hAnsi="仿宋_GB2312" w:cs="仿宋_GB2312" w:eastAsia="仿宋_GB2312"/>
        </w:rPr>
        <w:t>一、本招标文件仅适用于本次公开招标采购项目。</w:t>
      </w:r>
    </w:p>
    <w:p>
      <w:pPr>
        <w:pStyle w:val="null3"/>
        <w:ind w:firstLine="480"/>
      </w:pPr>
      <w:r>
        <w:rPr>
          <w:rFonts w:ascii="仿宋_GB2312" w:hAnsi="仿宋_GB2312" w:cs="仿宋_GB2312" w:eastAsia="仿宋_GB2312"/>
        </w:rPr>
        <w:t xml:space="preserve"> 二、本招标文件的最终解释权由</w:t>
      </w:r>
      <w:r>
        <w:rPr>
          <w:rFonts w:ascii="仿宋_GB2312" w:hAnsi="仿宋_GB2312" w:cs="仿宋_GB2312" w:eastAsia="仿宋_GB2312"/>
        </w:rPr>
        <w:t>陕西省体育彩票管理中心</w:t>
      </w:r>
      <w:r>
        <w:rPr>
          <w:rFonts w:ascii="仿宋_GB2312" w:hAnsi="仿宋_GB2312" w:cs="仿宋_GB2312" w:eastAsia="仿宋_GB2312"/>
        </w:rPr>
        <w:t>和</w:t>
      </w:r>
      <w:r>
        <w:rPr>
          <w:rFonts w:ascii="仿宋_GB2312" w:hAnsi="仿宋_GB2312" w:cs="仿宋_GB2312" w:eastAsia="仿宋_GB2312"/>
        </w:rPr>
        <w:t>陕西正信招标有限公司</w:t>
      </w:r>
      <w:r>
        <w:rPr>
          <w:rFonts w:ascii="仿宋_GB2312" w:hAnsi="仿宋_GB2312" w:cs="仿宋_GB2312" w:eastAsia="仿宋_GB2312"/>
        </w:rPr>
        <w:t>享有。对招标文件中供应商参加本次政府采购活动应当具备的条件，招标项目技术、服务、商务及其他要求，评标细则及标准由</w:t>
      </w:r>
      <w:r>
        <w:rPr>
          <w:rFonts w:ascii="仿宋_GB2312" w:hAnsi="仿宋_GB2312" w:cs="仿宋_GB2312" w:eastAsia="仿宋_GB2312"/>
        </w:rPr>
        <w:t>陕西省体育彩票管理中心</w:t>
      </w:r>
      <w:r>
        <w:rPr>
          <w:rFonts w:ascii="仿宋_GB2312" w:hAnsi="仿宋_GB2312" w:cs="仿宋_GB2312" w:eastAsia="仿宋_GB2312"/>
        </w:rPr>
        <w:t>负责解释。除上述招标文件内容，其他内容由</w:t>
      </w:r>
      <w:r>
        <w:rPr>
          <w:rFonts w:ascii="仿宋_GB2312" w:hAnsi="仿宋_GB2312" w:cs="仿宋_GB2312" w:eastAsia="仿宋_GB2312"/>
        </w:rPr>
        <w:t>陕西正信招标有限公司</w:t>
      </w:r>
      <w:r>
        <w:rPr>
          <w:rFonts w:ascii="仿宋_GB2312" w:hAnsi="仿宋_GB2312" w:cs="仿宋_GB2312" w:eastAsia="仿宋_GB2312"/>
        </w:rPr>
        <w:t>负责解释。</w:t>
      </w:r>
    </w:p>
    <w:p>
      <w:pPr>
        <w:pStyle w:val="null3"/>
        <w:outlineLvl w:val="3"/>
      </w:pPr>
      <w:r>
        <w:rPr>
          <w:rFonts w:ascii="仿宋_GB2312" w:hAnsi="仿宋_GB2312" w:cs="仿宋_GB2312" w:eastAsia="仿宋_GB2312"/>
          <w:sz w:val="24"/>
          <w:b/>
        </w:rPr>
        <w:t>2.2.2有关定义</w:t>
      </w:r>
    </w:p>
    <w:p>
      <w:pPr>
        <w:pStyle w:val="null3"/>
        <w:ind w:firstLine="480"/>
      </w:pPr>
      <w:r>
        <w:rPr>
          <w:rFonts w:ascii="仿宋_GB2312" w:hAnsi="仿宋_GB2312" w:cs="仿宋_GB2312" w:eastAsia="仿宋_GB2312"/>
        </w:rPr>
        <w:t xml:space="preserve"> 一、“采购人”是指依法进行政府采购的各级国家机关、事业单位、团体组织。本次招标的采购人是</w:t>
      </w:r>
      <w:r>
        <w:rPr>
          <w:rFonts w:ascii="仿宋_GB2312" w:hAnsi="仿宋_GB2312" w:cs="仿宋_GB2312" w:eastAsia="仿宋_GB2312"/>
        </w:rPr>
        <w:t>陕西省体育彩票管理中心</w:t>
      </w:r>
      <w:r>
        <w:rPr>
          <w:rFonts w:ascii="仿宋_GB2312" w:hAnsi="仿宋_GB2312" w:cs="仿宋_GB2312" w:eastAsia="仿宋_GB2312"/>
        </w:rPr>
        <w:t>。</w:t>
      </w:r>
    </w:p>
    <w:p>
      <w:pPr>
        <w:pStyle w:val="null3"/>
        <w:ind w:firstLine="480"/>
      </w:pPr>
      <w:r>
        <w:rPr>
          <w:rFonts w:ascii="仿宋_GB2312" w:hAnsi="仿宋_GB2312" w:cs="仿宋_GB2312" w:eastAsia="仿宋_GB2312"/>
        </w:rPr>
        <w:t xml:space="preserve"> 二、“投标人”是指按照采购公告规定获取了招标文件，拟参加投标和向采购人提供货物、工程或服务的法人、其他组织或者自然人。</w:t>
      </w:r>
    </w:p>
    <w:p>
      <w:pPr>
        <w:pStyle w:val="null3"/>
        <w:ind w:firstLine="480"/>
      </w:pPr>
      <w:r>
        <w:rPr>
          <w:rFonts w:ascii="仿宋_GB2312" w:hAnsi="仿宋_GB2312" w:cs="仿宋_GB2312" w:eastAsia="仿宋_GB2312"/>
        </w:rPr>
        <w:t xml:space="preserve"> 三、“代理机构”是指政府采购集中采购机构和从事政府采购代理业务的社会中介机构。本项目的代理机构是</w:t>
      </w:r>
      <w:r>
        <w:rPr>
          <w:rFonts w:ascii="仿宋_GB2312" w:hAnsi="仿宋_GB2312" w:cs="仿宋_GB2312" w:eastAsia="仿宋_GB2312"/>
        </w:rPr>
        <w:t>陕西正信招标有限公司</w:t>
      </w:r>
      <w:r>
        <w:rPr>
          <w:rFonts w:ascii="仿宋_GB2312" w:hAnsi="仿宋_GB2312" w:cs="仿宋_GB2312" w:eastAsia="仿宋_GB2312"/>
        </w:rPr>
        <w:t>。</w:t>
      </w:r>
    </w:p>
    <w:p>
      <w:pPr>
        <w:pStyle w:val="null3"/>
        <w:ind w:firstLine="480"/>
      </w:pPr>
      <w:r>
        <w:rPr>
          <w:rFonts w:ascii="仿宋_GB2312" w:hAnsi="仿宋_GB2312" w:cs="仿宋_GB2312" w:eastAsia="仿宋_GB2312"/>
        </w:rPr>
        <w:t xml:space="preserve"> 四、“网上开标”是指代理机构通过项目电子化交易系统在线完成签到、开标、唱标和记录等活动，供应商通过项目电子化交易系统在线完成投标文件解密、参与开标活动。</w:t>
      </w:r>
    </w:p>
    <w:p>
      <w:pPr>
        <w:pStyle w:val="null3"/>
        <w:ind w:firstLine="480"/>
      </w:pPr>
      <w:r>
        <w:rPr>
          <w:rFonts w:ascii="仿宋_GB2312" w:hAnsi="仿宋_GB2312" w:cs="仿宋_GB2312" w:eastAsia="仿宋_GB2312"/>
        </w:rPr>
        <w:t xml:space="preserve"> 五、“电子评标”是指通过项目电子化交易系统在线完成资格审查小组和评审小组组建，开展资格和符合性审查、比较与评价、出具评标报告、推荐中标候选供应商等活动。</w:t>
      </w:r>
    </w:p>
    <w:p>
      <w:pPr>
        <w:pStyle w:val="null3"/>
        <w:outlineLvl w:val="2"/>
      </w:pPr>
      <w:r>
        <w:rPr>
          <w:rFonts w:ascii="仿宋_GB2312" w:hAnsi="仿宋_GB2312" w:cs="仿宋_GB2312" w:eastAsia="仿宋_GB2312"/>
          <w:sz w:val="28"/>
          <w:b/>
        </w:rPr>
        <w:t>2.3招标文件</w:t>
      </w:r>
    </w:p>
    <w:p>
      <w:pPr>
        <w:pStyle w:val="null3"/>
        <w:outlineLvl w:val="3"/>
      </w:pPr>
      <w:r>
        <w:rPr>
          <w:rFonts w:ascii="仿宋_GB2312" w:hAnsi="仿宋_GB2312" w:cs="仿宋_GB2312" w:eastAsia="仿宋_GB2312"/>
          <w:sz w:val="24"/>
          <w:b/>
        </w:rPr>
        <w:t>2.3.1招标文件的构成</w:t>
      </w:r>
    </w:p>
    <w:p>
      <w:pPr>
        <w:pStyle w:val="null3"/>
        <w:ind w:firstLine="480"/>
      </w:pPr>
      <w:r>
        <w:rPr>
          <w:rFonts w:ascii="仿宋_GB2312" w:hAnsi="仿宋_GB2312" w:cs="仿宋_GB2312" w:eastAsia="仿宋_GB2312"/>
        </w:rPr>
        <w:t xml:space="preserve"> 一、招标文件是投标人准备投标文件和参加投标的依据，同时也是资格审查、评标的重要依据。招标文件用以阐明招标项目所需的资质、技术、服务及报价等要求、招标投标程序、有关规定和注意事项以及合同主要条款等。本招标文件包括以下内容：</w:t>
      </w:r>
    </w:p>
    <w:p>
      <w:pPr>
        <w:pStyle w:val="null3"/>
        <w:ind w:firstLine="480"/>
      </w:pPr>
      <w:r>
        <w:rPr>
          <w:rFonts w:ascii="仿宋_GB2312" w:hAnsi="仿宋_GB2312" w:cs="仿宋_GB2312" w:eastAsia="仿宋_GB2312"/>
        </w:rPr>
        <w:t>（一）投标邀请；</w:t>
      </w:r>
    </w:p>
    <w:p>
      <w:pPr>
        <w:pStyle w:val="null3"/>
        <w:ind w:firstLine="480"/>
      </w:pPr>
      <w:r>
        <w:rPr>
          <w:rFonts w:ascii="仿宋_GB2312" w:hAnsi="仿宋_GB2312" w:cs="仿宋_GB2312" w:eastAsia="仿宋_GB2312"/>
        </w:rPr>
        <w:t>（二）投标人须知；</w:t>
      </w:r>
    </w:p>
    <w:p>
      <w:pPr>
        <w:pStyle w:val="null3"/>
        <w:ind w:firstLine="480"/>
      </w:pPr>
      <w:r>
        <w:rPr>
          <w:rFonts w:ascii="仿宋_GB2312" w:hAnsi="仿宋_GB2312" w:cs="仿宋_GB2312" w:eastAsia="仿宋_GB2312"/>
        </w:rPr>
        <w:t>（三）招标项目技术、服务、商务及其他要求；</w:t>
      </w:r>
    </w:p>
    <w:p>
      <w:pPr>
        <w:pStyle w:val="null3"/>
        <w:ind w:firstLine="480"/>
      </w:pPr>
      <w:r>
        <w:rPr>
          <w:rFonts w:ascii="仿宋_GB2312" w:hAnsi="仿宋_GB2312" w:cs="仿宋_GB2312" w:eastAsia="仿宋_GB2312"/>
        </w:rPr>
        <w:t>（四）资格审查；</w:t>
      </w:r>
    </w:p>
    <w:p>
      <w:pPr>
        <w:pStyle w:val="null3"/>
        <w:ind w:firstLine="480"/>
      </w:pPr>
      <w:r>
        <w:rPr>
          <w:rFonts w:ascii="仿宋_GB2312" w:hAnsi="仿宋_GB2312" w:cs="仿宋_GB2312" w:eastAsia="仿宋_GB2312"/>
        </w:rPr>
        <w:t>（五）评标办法；</w:t>
      </w:r>
    </w:p>
    <w:p>
      <w:pPr>
        <w:pStyle w:val="null3"/>
        <w:ind w:firstLine="480"/>
      </w:pPr>
      <w:r>
        <w:rPr>
          <w:rFonts w:ascii="仿宋_GB2312" w:hAnsi="仿宋_GB2312" w:cs="仿宋_GB2312" w:eastAsia="仿宋_GB2312"/>
        </w:rPr>
        <w:t>（六）投标文件格式；</w:t>
      </w:r>
    </w:p>
    <w:p>
      <w:pPr>
        <w:pStyle w:val="null3"/>
        <w:ind w:firstLine="480"/>
      </w:pPr>
      <w:r>
        <w:rPr>
          <w:rFonts w:ascii="仿宋_GB2312" w:hAnsi="仿宋_GB2312" w:cs="仿宋_GB2312" w:eastAsia="仿宋_GB2312"/>
        </w:rPr>
        <w:t>（七）拟签订采购合同文本。</w:t>
      </w:r>
    </w:p>
    <w:p>
      <w:pPr>
        <w:pStyle w:val="null3"/>
        <w:ind w:firstLine="480"/>
      </w:pPr>
      <w:r>
        <w:rPr>
          <w:rFonts w:ascii="仿宋_GB2312" w:hAnsi="仿宋_GB2312" w:cs="仿宋_GB2312" w:eastAsia="仿宋_GB2312"/>
        </w:rPr>
        <w:t xml:space="preserve"> 二、投标人应认真阅读和充分理解招标文件中所有的事项、格式条款和规范要求。投标人没有对招标文件全面作出实质性响应所产生的风险由投标人承担。</w:t>
      </w:r>
    </w:p>
    <w:p>
      <w:pPr>
        <w:pStyle w:val="null3"/>
        <w:outlineLvl w:val="3"/>
      </w:pPr>
      <w:r>
        <w:rPr>
          <w:rFonts w:ascii="仿宋_GB2312" w:hAnsi="仿宋_GB2312" w:cs="仿宋_GB2312" w:eastAsia="仿宋_GB2312"/>
          <w:sz w:val="24"/>
          <w:b/>
        </w:rPr>
        <w:t>2.3.2招标文件的澄清和修改</w:t>
      </w:r>
    </w:p>
    <w:p>
      <w:pPr>
        <w:pStyle w:val="null3"/>
        <w:ind w:firstLine="480"/>
      </w:pPr>
      <w:r>
        <w:rPr>
          <w:rFonts w:ascii="仿宋_GB2312" w:hAnsi="仿宋_GB2312" w:cs="仿宋_GB2312" w:eastAsia="仿宋_GB2312"/>
        </w:rPr>
        <w:t>一、在投标文件提交截止时间前，采购人或者代理机构可以对已发出的招标文件进行必要的澄清或者修改。</w:t>
      </w:r>
    </w:p>
    <w:p>
      <w:pPr>
        <w:pStyle w:val="null3"/>
        <w:ind w:firstLine="480"/>
      </w:pPr>
      <w:r>
        <w:rPr>
          <w:rFonts w:ascii="仿宋_GB2312" w:hAnsi="仿宋_GB2312" w:cs="仿宋_GB2312" w:eastAsia="仿宋_GB2312"/>
        </w:rPr>
        <w:t xml:space="preserve"> 二、澄清或者修改的内容为招标文件的组成部分，采购人或者代理机构将在陕西省政府采购网发布更正公告，投标人应及时关注本项目更正公告信息，按更正后公告要求进行响应。更正内容可能影响投标文件编制的，采购人或者代理机构将通过项目电子化交易系统发布更正后的招标文件，投标人应依据更正后的招标文件编制投标文件。若投标人未按前述要求进行投标响应的，自行承担不利后果。</w:t>
      </w:r>
    </w:p>
    <w:p>
      <w:pPr>
        <w:pStyle w:val="null3"/>
        <w:outlineLvl w:val="2"/>
      </w:pPr>
      <w:r>
        <w:rPr>
          <w:rFonts w:ascii="仿宋_GB2312" w:hAnsi="仿宋_GB2312" w:cs="仿宋_GB2312" w:eastAsia="仿宋_GB2312"/>
          <w:sz w:val="28"/>
          <w:b/>
        </w:rPr>
        <w:t>2.4投标文件</w:t>
      </w:r>
    </w:p>
    <w:p>
      <w:pPr>
        <w:pStyle w:val="null3"/>
        <w:outlineLvl w:val="3"/>
      </w:pPr>
      <w:r>
        <w:rPr>
          <w:rFonts w:ascii="仿宋_GB2312" w:hAnsi="仿宋_GB2312" w:cs="仿宋_GB2312" w:eastAsia="仿宋_GB2312"/>
          <w:sz w:val="24"/>
          <w:b/>
        </w:rPr>
        <w:t>2.4.1投标文件的语言</w:t>
      </w:r>
    </w:p>
    <w:p>
      <w:pPr>
        <w:pStyle w:val="null3"/>
        <w:ind w:firstLine="480"/>
      </w:pPr>
      <w:r>
        <w:rPr>
          <w:rFonts w:ascii="仿宋_GB2312" w:hAnsi="仿宋_GB2312" w:cs="仿宋_GB2312" w:eastAsia="仿宋_GB2312"/>
        </w:rPr>
        <w:t xml:space="preserve"> 一、投标人提交的投标文件以及投标人与采购人或代理机构就有关投标的所有来往书面文件均须使用中文。投标文件中如附有外文资料，主要部分要对应翻译成中文并附在相关外文资料后面。未翻译的外文资料，评标委员会将其视为无效材料。</w:t>
      </w:r>
    </w:p>
    <w:p>
      <w:pPr>
        <w:pStyle w:val="null3"/>
        <w:ind w:firstLine="480"/>
      </w:pPr>
      <w:r>
        <w:rPr>
          <w:rFonts w:ascii="仿宋_GB2312" w:hAnsi="仿宋_GB2312" w:cs="仿宋_GB2312" w:eastAsia="仿宋_GB2312"/>
        </w:rPr>
        <w:t>二、翻译的中文资料与外文资料如果出现差异和矛盾时，以中文为准。涉嫌提供虚假材料的按照相关法律法规处理。</w:t>
      </w:r>
    </w:p>
    <w:p>
      <w:pPr>
        <w:pStyle w:val="null3"/>
        <w:ind w:firstLine="480"/>
      </w:pPr>
      <w:r>
        <w:rPr>
          <w:rFonts w:ascii="仿宋_GB2312" w:hAnsi="仿宋_GB2312" w:cs="仿宋_GB2312" w:eastAsia="仿宋_GB2312"/>
        </w:rPr>
        <w:t>三、如因未翻译而造成对投标人的不利后果，由投标人承担。</w:t>
      </w:r>
    </w:p>
    <w:p>
      <w:pPr>
        <w:pStyle w:val="null3"/>
        <w:outlineLvl w:val="3"/>
      </w:pPr>
      <w:r>
        <w:rPr>
          <w:rFonts w:ascii="仿宋_GB2312" w:hAnsi="仿宋_GB2312" w:cs="仿宋_GB2312" w:eastAsia="仿宋_GB2312"/>
          <w:sz w:val="24"/>
          <w:b/>
        </w:rPr>
        <w:t>2.4.2计量单位</w:t>
      </w:r>
    </w:p>
    <w:p>
      <w:pPr>
        <w:pStyle w:val="null3"/>
        <w:ind w:firstLine="480"/>
      </w:pPr>
      <w:r>
        <w:rPr>
          <w:rFonts w:ascii="仿宋_GB2312" w:hAnsi="仿宋_GB2312" w:cs="仿宋_GB2312" w:eastAsia="仿宋_GB2312"/>
        </w:rPr>
        <w:t>除招标文件中另有规定外，本项目均采用国家法定的计量单位。</w:t>
      </w:r>
    </w:p>
    <w:p>
      <w:pPr>
        <w:pStyle w:val="null3"/>
        <w:outlineLvl w:val="3"/>
      </w:pPr>
      <w:r>
        <w:rPr>
          <w:rFonts w:ascii="仿宋_GB2312" w:hAnsi="仿宋_GB2312" w:cs="仿宋_GB2312" w:eastAsia="仿宋_GB2312"/>
          <w:sz w:val="24"/>
          <w:b/>
        </w:rPr>
        <w:t>2.4.3投标货币</w:t>
      </w:r>
    </w:p>
    <w:p>
      <w:pPr>
        <w:pStyle w:val="null3"/>
        <w:ind w:firstLine="480"/>
      </w:pPr>
      <w:r>
        <w:rPr>
          <w:rFonts w:ascii="仿宋_GB2312" w:hAnsi="仿宋_GB2312" w:cs="仿宋_GB2312" w:eastAsia="仿宋_GB2312"/>
        </w:rPr>
        <w:t>本次项目均以人民币报价。</w:t>
      </w:r>
    </w:p>
    <w:p>
      <w:pPr>
        <w:pStyle w:val="null3"/>
        <w:outlineLvl w:val="3"/>
      </w:pPr>
      <w:r>
        <w:rPr>
          <w:rFonts w:ascii="仿宋_GB2312" w:hAnsi="仿宋_GB2312" w:cs="仿宋_GB2312" w:eastAsia="仿宋_GB2312"/>
          <w:sz w:val="24"/>
          <w:b/>
        </w:rPr>
        <w:t>2.4.4知识产权</w:t>
      </w:r>
    </w:p>
    <w:p>
      <w:pPr>
        <w:pStyle w:val="null3"/>
        <w:ind w:firstLine="480"/>
      </w:pPr>
      <w:r>
        <w:rPr>
          <w:rFonts w:ascii="仿宋_GB2312" w:hAnsi="仿宋_GB2312" w:cs="仿宋_GB2312" w:eastAsia="仿宋_GB2312"/>
        </w:rPr>
        <w:t xml:space="preserve"> 一、投标人应保证在本项目中使用的任何技术、产品和服务（包括部分使用），不会产生因第三方提出侵犯其专利权、商标权或其它知识产权而引起的法律和经济纠纷，如因专利权、商标权或其它知识产权而引起法律和经济纠纷，由投标人承担所有相关责任。采购人享有本项目实施过程中产生的知识成果及知识产权。</w:t>
      </w:r>
    </w:p>
    <w:p>
      <w:pPr>
        <w:pStyle w:val="null3"/>
        <w:ind w:firstLine="480"/>
      </w:pPr>
      <w:r>
        <w:rPr>
          <w:rFonts w:ascii="仿宋_GB2312" w:hAnsi="仿宋_GB2312" w:cs="仿宋_GB2312" w:eastAsia="仿宋_GB2312"/>
        </w:rPr>
        <w:t xml:space="preserve"> 二、投标人将在采购项目实施过程中采用自有或者第三方知识成果的，使用该知识成果后，投标人需提供开发接口和开发手册等技术资料，并承诺提供无限期支持，采购人享有使用权（含采购人委托第三方在该项目后续开发的使用权）。</w:t>
      </w:r>
    </w:p>
    <w:p>
      <w:pPr>
        <w:pStyle w:val="null3"/>
        <w:ind w:firstLine="480"/>
      </w:pPr>
      <w:r>
        <w:rPr>
          <w:rFonts w:ascii="仿宋_GB2312" w:hAnsi="仿宋_GB2312" w:cs="仿宋_GB2312" w:eastAsia="仿宋_GB2312"/>
        </w:rPr>
        <w:t>三、如采用投标人所不拥有的知识产权，则在投标报价中必须包括合法使用该知识产权的相关费用。</w:t>
      </w:r>
    </w:p>
    <w:p>
      <w:pPr>
        <w:pStyle w:val="null3"/>
        <w:outlineLvl w:val="3"/>
      </w:pPr>
      <w:r>
        <w:rPr>
          <w:rFonts w:ascii="仿宋_GB2312" w:hAnsi="仿宋_GB2312" w:cs="仿宋_GB2312" w:eastAsia="仿宋_GB2312"/>
          <w:sz w:val="24"/>
          <w:b/>
        </w:rPr>
        <w:t>2.4.5投标文件的组成</w:t>
      </w:r>
    </w:p>
    <w:p>
      <w:pPr>
        <w:pStyle w:val="null3"/>
        <w:ind w:firstLine="480"/>
      </w:pPr>
      <w:r>
        <w:rPr>
          <w:rFonts w:ascii="仿宋_GB2312" w:hAnsi="仿宋_GB2312" w:cs="仿宋_GB2312" w:eastAsia="仿宋_GB2312"/>
        </w:rPr>
        <w:t>投标人应当按照招标文件的要求编制投标文件。投标文件应当对招标文件提出的要求和条件作出明确响应。</w:t>
      </w:r>
    </w:p>
    <w:p>
      <w:pPr>
        <w:pStyle w:val="null3"/>
        <w:ind w:firstLine="480"/>
      </w:pPr>
      <w:r>
        <w:rPr>
          <w:rFonts w:ascii="仿宋_GB2312" w:hAnsi="仿宋_GB2312" w:cs="仿宋_GB2312" w:eastAsia="仿宋_GB2312"/>
        </w:rPr>
        <w:t>投标文件具体内容详见第六章。</w:t>
      </w:r>
    </w:p>
    <w:p>
      <w:pPr>
        <w:pStyle w:val="null3"/>
        <w:outlineLvl w:val="3"/>
      </w:pPr>
      <w:r>
        <w:rPr>
          <w:rFonts w:ascii="仿宋_GB2312" w:hAnsi="仿宋_GB2312" w:cs="仿宋_GB2312" w:eastAsia="仿宋_GB2312"/>
          <w:sz w:val="24"/>
          <w:b/>
        </w:rPr>
        <w:t>2.4.6投标文件格式</w:t>
      </w:r>
    </w:p>
    <w:p>
      <w:pPr>
        <w:pStyle w:val="null3"/>
        <w:ind w:firstLine="480"/>
      </w:pPr>
      <w:r>
        <w:rPr>
          <w:rFonts w:ascii="仿宋_GB2312" w:hAnsi="仿宋_GB2312" w:cs="仿宋_GB2312" w:eastAsia="仿宋_GB2312"/>
        </w:rPr>
        <w:t>一、投标人应按照招标文件第六章中提供的“投标文件格式”填写相关内容。</w:t>
      </w:r>
    </w:p>
    <w:p>
      <w:pPr>
        <w:pStyle w:val="null3"/>
        <w:ind w:firstLine="480"/>
      </w:pPr>
      <w:r>
        <w:rPr>
          <w:rFonts w:ascii="仿宋_GB2312" w:hAnsi="仿宋_GB2312" w:cs="仿宋_GB2312" w:eastAsia="仿宋_GB2312"/>
        </w:rPr>
        <w:t>二、对于没有格式要求的投标文件由投标人自行编写。</w:t>
      </w:r>
    </w:p>
    <w:p>
      <w:pPr>
        <w:pStyle w:val="null3"/>
        <w:outlineLvl w:val="3"/>
      </w:pPr>
      <w:r>
        <w:rPr>
          <w:rFonts w:ascii="仿宋_GB2312" w:hAnsi="仿宋_GB2312" w:cs="仿宋_GB2312" w:eastAsia="仿宋_GB2312"/>
          <w:sz w:val="24"/>
          <w:b/>
        </w:rPr>
        <w:t>2.4.7投标报价（实质性要求）</w:t>
      </w:r>
    </w:p>
    <w:p>
      <w:pPr>
        <w:pStyle w:val="null3"/>
        <w:ind w:firstLine="480"/>
      </w:pPr>
      <w:r>
        <w:rPr>
          <w:rFonts w:ascii="仿宋_GB2312" w:hAnsi="仿宋_GB2312" w:cs="仿宋_GB2312" w:eastAsia="仿宋_GB2312"/>
        </w:rPr>
        <w:t>一、投标人的报价是投标人响应招标项目要求的全部工作内容的价格体现，包括投标人完成本项目所需的一切费用。</w:t>
      </w:r>
    </w:p>
    <w:p>
      <w:pPr>
        <w:pStyle w:val="null3"/>
        <w:ind w:firstLine="480"/>
      </w:pPr>
      <w:r>
        <w:rPr>
          <w:rFonts w:ascii="仿宋_GB2312" w:hAnsi="仿宋_GB2312" w:cs="仿宋_GB2312" w:eastAsia="仿宋_GB2312"/>
        </w:rPr>
        <w:t xml:space="preserve"> 二、投标人每种货物及服务内容只允许有一个报价，并且在合同履行过程中是固定不变的，任何有选择或可调整的报价将不予接受，并按无效投标处理。</w:t>
      </w:r>
    </w:p>
    <w:p>
      <w:pPr>
        <w:pStyle w:val="null3"/>
        <w:ind w:firstLine="480"/>
      </w:pPr>
      <w:r>
        <w:rPr>
          <w:rFonts w:ascii="仿宋_GB2312" w:hAnsi="仿宋_GB2312" w:cs="仿宋_GB2312" w:eastAsia="仿宋_GB2312"/>
        </w:rPr>
        <w:t xml:space="preserve"> 三、投标文件报价出现前后不一致的，按照招标文件第五章评标办法规定予以修正，修正后的报价经投标人通过项目电子化交易系统进行确认，并加盖投标人（法定名称）电子印章，投标人未在规定时间内确认的，其投标无效。</w:t>
      </w:r>
    </w:p>
    <w:p>
      <w:pPr>
        <w:pStyle w:val="null3"/>
        <w:outlineLvl w:val="3"/>
      </w:pPr>
      <w:r>
        <w:rPr>
          <w:rFonts w:ascii="仿宋_GB2312" w:hAnsi="仿宋_GB2312" w:cs="仿宋_GB2312" w:eastAsia="仿宋_GB2312"/>
          <w:sz w:val="24"/>
          <w:b/>
        </w:rPr>
        <w:t>2.4.8投标有效期（实质性要求）</w:t>
      </w:r>
    </w:p>
    <w:p>
      <w:pPr>
        <w:pStyle w:val="null3"/>
        <w:ind w:firstLine="480"/>
      </w:pPr>
      <w:r>
        <w:rPr>
          <w:rFonts w:ascii="仿宋_GB2312" w:hAnsi="仿宋_GB2312" w:cs="仿宋_GB2312" w:eastAsia="仿宋_GB2312"/>
        </w:rPr>
        <w:t xml:space="preserve"> 投标有效期详见第二章“投标人须知前附表”，投标文件未明确投标有效期或者投标有效期小于“投标人须知前附表”中投标有效期要求的，其投标文件按无效处理。</w:t>
      </w:r>
    </w:p>
    <w:p>
      <w:pPr>
        <w:pStyle w:val="null3"/>
        <w:outlineLvl w:val="3"/>
      </w:pPr>
      <w:r>
        <w:rPr>
          <w:rFonts w:ascii="仿宋_GB2312" w:hAnsi="仿宋_GB2312" w:cs="仿宋_GB2312" w:eastAsia="仿宋_GB2312"/>
          <w:sz w:val="24"/>
          <w:b/>
        </w:rPr>
        <w:t>2.4.9投标文件的制作、签章和加密（实质性要求）</w:t>
      </w:r>
    </w:p>
    <w:p>
      <w:pPr>
        <w:pStyle w:val="null3"/>
        <w:ind w:firstLine="480"/>
      </w:pPr>
      <w:r>
        <w:rPr>
          <w:rFonts w:ascii="仿宋_GB2312" w:hAnsi="仿宋_GB2312" w:cs="仿宋_GB2312" w:eastAsia="仿宋_GB2312"/>
        </w:rPr>
        <w:t xml:space="preserve"> 一、投标文件应当根据招标文件进行编制，投标人应通过陕西省政府采购网-办事指南-CA及签章服务下载投标（响应）客户端，使用客户端编制投标文件。</w:t>
      </w:r>
    </w:p>
    <w:p>
      <w:pPr>
        <w:pStyle w:val="null3"/>
        <w:ind w:firstLine="480"/>
      </w:pPr>
      <w:r>
        <w:rPr>
          <w:rFonts w:ascii="仿宋_GB2312" w:hAnsi="仿宋_GB2312" w:cs="仿宋_GB2312" w:eastAsia="仿宋_GB2312"/>
        </w:rPr>
        <w:t xml:space="preserve"> 二、投标人应按照客户端操作要求，对应招标文件的每项实质性要求，逐一如实响应；未如实响应或者响应内容不符合招标文件对应项的要求的，其投标文件作无效处理。</w:t>
      </w:r>
    </w:p>
    <w:p>
      <w:pPr>
        <w:pStyle w:val="null3"/>
        <w:ind w:firstLine="480"/>
      </w:pPr>
      <w:r>
        <w:rPr>
          <w:rFonts w:ascii="仿宋_GB2312" w:hAnsi="仿宋_GB2312" w:cs="仿宋_GB2312" w:eastAsia="仿宋_GB2312"/>
        </w:rPr>
        <w:t xml:space="preserve"> 三、投标人完成投标文件编制后，应按照招标文件第一章明确的签章要求，使用互认的证书及签章对投标文件进行电子签章和加密。</w:t>
      </w:r>
    </w:p>
    <w:p>
      <w:pPr>
        <w:pStyle w:val="null3"/>
        <w:ind w:firstLine="480"/>
      </w:pPr>
      <w:r>
        <w:rPr>
          <w:rFonts w:ascii="仿宋_GB2312" w:hAnsi="仿宋_GB2312" w:cs="仿宋_GB2312" w:eastAsia="仿宋_GB2312"/>
        </w:rPr>
        <w:t xml:space="preserve"> 四、招标文件澄清或者修改的内容可能影响投标文件编制的，代理机构将重新发布澄清或者修改后的招标文件，投标人应重新获取澄清或者修改后的招标文件，按照澄清或者修改后的招标文件进行投标文件编制、签章和加密。</w:t>
      </w:r>
    </w:p>
    <w:p>
      <w:pPr>
        <w:pStyle w:val="null3"/>
        <w:outlineLvl w:val="3"/>
      </w:pPr>
      <w:r>
        <w:rPr>
          <w:rFonts w:ascii="仿宋_GB2312" w:hAnsi="仿宋_GB2312" w:cs="仿宋_GB2312" w:eastAsia="仿宋_GB2312"/>
          <w:sz w:val="24"/>
          <w:b/>
        </w:rPr>
        <w:t>2.4.10投标文件的提交</w:t>
      </w:r>
    </w:p>
    <w:p>
      <w:pPr>
        <w:pStyle w:val="null3"/>
        <w:ind w:firstLine="480"/>
      </w:pPr>
      <w:r>
        <w:rPr>
          <w:rFonts w:ascii="仿宋_GB2312" w:hAnsi="仿宋_GB2312" w:cs="仿宋_GB2312" w:eastAsia="仿宋_GB2312"/>
        </w:rPr>
        <w:t>一、（实质性要求）投标人应当在投标文件提交截止时间前，通过项目电子化交易系统完成投标文件提交。</w:t>
      </w:r>
    </w:p>
    <w:p>
      <w:pPr>
        <w:pStyle w:val="null3"/>
        <w:ind w:firstLine="480"/>
      </w:pPr>
      <w:r>
        <w:rPr>
          <w:rFonts w:ascii="仿宋_GB2312" w:hAnsi="仿宋_GB2312" w:cs="仿宋_GB2312" w:eastAsia="仿宋_GB2312"/>
        </w:rPr>
        <w:t xml:space="preserve"> 二、在投标文件提交截止时间后，采购人或者代理机构不再接受投标人提交投标文件。投标人应充分考虑影响投标文件提交的各种因素，确保在投标文件提交截止时间前完成提交。</w:t>
      </w:r>
    </w:p>
    <w:p>
      <w:pPr>
        <w:pStyle w:val="null3"/>
        <w:outlineLvl w:val="3"/>
      </w:pPr>
      <w:r>
        <w:rPr>
          <w:rFonts w:ascii="仿宋_GB2312" w:hAnsi="仿宋_GB2312" w:cs="仿宋_GB2312" w:eastAsia="仿宋_GB2312"/>
          <w:sz w:val="24"/>
          <w:b/>
        </w:rPr>
        <w:t>2.4.11投标文件的补充、修改、撤回（实质性要求）</w:t>
      </w:r>
    </w:p>
    <w:p>
      <w:pPr>
        <w:pStyle w:val="null3"/>
        <w:ind w:firstLine="480"/>
      </w:pPr>
      <w:r>
        <w:rPr>
          <w:rFonts w:ascii="仿宋_GB2312" w:hAnsi="仿宋_GB2312" w:cs="仿宋_GB2312" w:eastAsia="仿宋_GB2312"/>
        </w:rPr>
        <w:t xml:space="preserve"> 投标文件提交截止时间前，投标人可以补充、修改或者撤回已成功提交的投标文件；对投标文件进行补充、修改的，应当先行撤回已提交的投标文件，补充、修改后重新提交。</w:t>
      </w:r>
    </w:p>
    <w:p>
      <w:pPr>
        <w:pStyle w:val="null3"/>
        <w:ind w:firstLine="480"/>
      </w:pPr>
      <w:r>
        <w:rPr>
          <w:rFonts w:ascii="仿宋_GB2312" w:hAnsi="仿宋_GB2312" w:cs="仿宋_GB2312" w:eastAsia="仿宋_GB2312"/>
        </w:rPr>
        <w:t>供应商投标文件撤回后，视为未提交过投标文件。</w:t>
      </w:r>
    </w:p>
    <w:p>
      <w:pPr>
        <w:pStyle w:val="null3"/>
        <w:outlineLvl w:val="2"/>
      </w:pPr>
      <w:r>
        <w:rPr>
          <w:rFonts w:ascii="仿宋_GB2312" w:hAnsi="仿宋_GB2312" w:cs="仿宋_GB2312" w:eastAsia="仿宋_GB2312"/>
          <w:sz w:val="28"/>
          <w:b/>
        </w:rPr>
        <w:t>2.5开标、资格审查、评标和中标</w:t>
      </w:r>
    </w:p>
    <w:p>
      <w:pPr>
        <w:pStyle w:val="null3"/>
        <w:outlineLvl w:val="3"/>
      </w:pPr>
      <w:r>
        <w:rPr>
          <w:rFonts w:ascii="仿宋_GB2312" w:hAnsi="仿宋_GB2312" w:cs="仿宋_GB2312" w:eastAsia="仿宋_GB2312"/>
          <w:sz w:val="24"/>
          <w:b/>
        </w:rPr>
        <w:t>2.5.1开标及开标程序</w:t>
      </w:r>
    </w:p>
    <w:p>
      <w:pPr>
        <w:pStyle w:val="null3"/>
        <w:ind w:firstLine="480"/>
      </w:pPr>
      <w:r>
        <w:rPr>
          <w:rFonts w:ascii="仿宋_GB2312" w:hAnsi="仿宋_GB2312" w:cs="仿宋_GB2312" w:eastAsia="仿宋_GB2312"/>
        </w:rPr>
        <w:t xml:space="preserve"> 一、本项目为网上开标项目。网上开标的开始时间为投标文件提交截止时间。成功提交或解密电子投标文件的投标人不足3家的，不予开标，采购人或代理机构将作废标处理。</w:t>
      </w:r>
    </w:p>
    <w:p>
      <w:pPr>
        <w:pStyle w:val="null3"/>
        <w:ind w:firstLine="480"/>
      </w:pPr>
      <w:r>
        <w:rPr>
          <w:rFonts w:ascii="仿宋_GB2312" w:hAnsi="仿宋_GB2312" w:cs="仿宋_GB2312" w:eastAsia="仿宋_GB2312"/>
        </w:rPr>
        <w:t>二、开标准备工作</w:t>
      </w:r>
    </w:p>
    <w:p>
      <w:pPr>
        <w:pStyle w:val="null3"/>
      </w:pPr>
      <w:r>
        <w:rPr>
          <w:rFonts w:ascii="仿宋_GB2312" w:hAnsi="仿宋_GB2312" w:cs="仿宋_GB2312" w:eastAsia="仿宋_GB2312"/>
        </w:rPr>
        <w:t xml:space="preserve"> 开标/开启前30分钟内，供应商需登录项目电子化交易系统-“供应商开标大厅”-进入开标选择对应项目包组操作签到，签到完成后等待代理机构开标/开启。</w:t>
      </w:r>
    </w:p>
    <w:p>
      <w:pPr>
        <w:pStyle w:val="null3"/>
        <w:ind w:firstLine="480"/>
        <w:jc w:val="left"/>
      </w:pPr>
      <w:r>
        <w:rPr>
          <w:rFonts w:ascii="仿宋_GB2312" w:hAnsi="仿宋_GB2312" w:cs="仿宋_GB2312" w:eastAsia="仿宋_GB2312"/>
        </w:rPr>
        <w:t xml:space="preserve"> 投标文件提交截止时间前30分钟，投标人登录项目电子化交易系统-“开标/开启大厅”参与开标。</w:t>
      </w:r>
    </w:p>
    <w:p>
      <w:pPr>
        <w:pStyle w:val="null3"/>
        <w:ind w:firstLine="480"/>
      </w:pPr>
      <w:r>
        <w:rPr>
          <w:rFonts w:ascii="仿宋_GB2312" w:hAnsi="仿宋_GB2312" w:cs="仿宋_GB2312" w:eastAsia="仿宋_GB2312"/>
        </w:rPr>
        <w:t>三、解密投标文件（实质性要求）</w:t>
      </w:r>
    </w:p>
    <w:p>
      <w:pPr>
        <w:pStyle w:val="null3"/>
        <w:ind w:firstLine="480"/>
      </w:pPr>
      <w:r>
        <w:rPr>
          <w:rFonts w:ascii="仿宋_GB2312" w:hAnsi="仿宋_GB2312" w:cs="仿宋_GB2312" w:eastAsia="仿宋_GB2312"/>
        </w:rPr>
        <w:t xml:space="preserve"> 投标文件提交截止时间后，成功提交投标文件的投标人符合招标文件规定数量的，代理机构将启动投标文件解密程序，解密时间为</w:t>
      </w:r>
      <w:r>
        <w:rPr>
          <w:rFonts w:ascii="仿宋_GB2312" w:hAnsi="仿宋_GB2312" w:cs="仿宋_GB2312" w:eastAsia="仿宋_GB2312"/>
        </w:rPr>
        <w:t>30</w:t>
      </w:r>
      <w:r>
        <w:rPr>
          <w:rFonts w:ascii="仿宋_GB2312" w:hAnsi="仿宋_GB2312" w:cs="仿宋_GB2312" w:eastAsia="仿宋_GB2312"/>
        </w:rPr>
        <w:t>分钟；投标人应在规定的解密时间内，使用互认的证书及签章通过项目电子化交易系统进行投标文件解密。投标人未在规定的解密时间内完成解密的，按无效投标处理。</w:t>
      </w:r>
    </w:p>
    <w:p>
      <w:pPr>
        <w:pStyle w:val="null3"/>
        <w:ind w:firstLine="480"/>
      </w:pPr>
      <w:r>
        <w:rPr>
          <w:rFonts w:ascii="仿宋_GB2312" w:hAnsi="仿宋_GB2312" w:cs="仿宋_GB2312" w:eastAsia="仿宋_GB2312"/>
        </w:rPr>
        <w:t>四、开标</w:t>
      </w:r>
    </w:p>
    <w:p>
      <w:pPr>
        <w:pStyle w:val="null3"/>
        <w:ind w:firstLine="480"/>
      </w:pPr>
      <w:r>
        <w:rPr>
          <w:rFonts w:ascii="仿宋_GB2312" w:hAnsi="仿宋_GB2312" w:cs="仿宋_GB2312" w:eastAsia="仿宋_GB2312"/>
        </w:rPr>
        <w:t xml:space="preserve"> 解密时间截止或者所有投标人投标文件均完成解密后（以发生在先的时间为准），由代理机构通过项目电子化交易系统对投标人名称、投标文件解密情况、投标报价进行展示。</w:t>
      </w:r>
    </w:p>
    <w:p>
      <w:pPr>
        <w:pStyle w:val="null3"/>
        <w:ind w:firstLine="480"/>
      </w:pPr>
      <w:r>
        <w:rPr>
          <w:rFonts w:ascii="仿宋_GB2312" w:hAnsi="仿宋_GB2312" w:cs="仿宋_GB2312" w:eastAsia="仿宋_GB2312"/>
        </w:rPr>
        <w:t xml:space="preserve"> 开标过程中，各方主体均应遵守互联网有关规定，不得发表与采购活动无关的言论。投标人对开标过程和开标记录有疑义，以及认为采购人或代理机构相关工作人员有需要回避的情形的，及时向工作人员提出询问或者回避申请。采购人或代理机构对投标人提出的询问或者回避申请应当及时处理。</w:t>
      </w:r>
    </w:p>
    <w:p>
      <w:pPr>
        <w:pStyle w:val="null3"/>
        <w:ind w:firstLine="480"/>
      </w:pPr>
      <w:r>
        <w:rPr>
          <w:rFonts w:ascii="仿宋_GB2312" w:hAnsi="仿宋_GB2312" w:cs="仿宋_GB2312" w:eastAsia="仿宋_GB2312"/>
        </w:rPr>
        <w:t>投标人完成投标文件解密后，自主决定是否参加网上在线开标，未参加的，视同认可开标结果。</w:t>
      </w:r>
    </w:p>
    <w:p>
      <w:pPr>
        <w:pStyle w:val="null3"/>
        <w:outlineLvl w:val="3"/>
      </w:pPr>
      <w:r>
        <w:rPr>
          <w:rFonts w:ascii="仿宋_GB2312" w:hAnsi="仿宋_GB2312" w:cs="仿宋_GB2312" w:eastAsia="仿宋_GB2312"/>
          <w:sz w:val="24"/>
          <w:b/>
        </w:rPr>
        <w:t>2.5.2查询及使用信用记录</w:t>
      </w:r>
    </w:p>
    <w:p>
      <w:pPr>
        <w:pStyle w:val="null3"/>
        <w:ind w:firstLine="480"/>
      </w:pPr>
      <w:r>
        <w:rPr>
          <w:rFonts w:ascii="仿宋_GB2312" w:hAnsi="仿宋_GB2312" w:cs="仿宋_GB2312" w:eastAsia="仿宋_GB2312"/>
        </w:rPr>
        <w:t xml:space="preserve"> 开标结束后，采购人或代理机构根据《关于在政府采购活动中查询及使用信用记录有关问题的通知》（财库〔2016〕125号）的要求，通过“信用中国”网站（www.creditchina.gov.cn）、“中国政府采购网”网站（www.ccgp.gov.cn）等渠道，查询投标人在投标文件提交截止时间前的信用记录并保存信用记录结果网页截图，拒绝列入失信被执行人名单、重大税收违法案件当事人名单、政府采购严重违法失信行为记录名单中的供应商参加本项目的采购活动。</w:t>
      </w:r>
    </w:p>
    <w:p>
      <w:pPr>
        <w:pStyle w:val="null3"/>
        <w:ind w:firstLine="480"/>
      </w:pPr>
      <w:r>
        <w:rPr>
          <w:rFonts w:ascii="仿宋_GB2312" w:hAnsi="仿宋_GB2312" w:cs="仿宋_GB2312" w:eastAsia="仿宋_GB2312"/>
        </w:rPr>
        <w:t xml:space="preserve"> 两个以上的自然人、法人或者其他组织组成一个联合体，以一个投标人的身份共同参加政府采购活动的，将对所有联合体成员进行信用记录查询，联合体成员存在不良信用记录的，视同联合体存在不良信用记录。</w:t>
      </w:r>
    </w:p>
    <w:p>
      <w:pPr>
        <w:pStyle w:val="null3"/>
        <w:outlineLvl w:val="3"/>
      </w:pPr>
      <w:r>
        <w:rPr>
          <w:rFonts w:ascii="仿宋_GB2312" w:hAnsi="仿宋_GB2312" w:cs="仿宋_GB2312" w:eastAsia="仿宋_GB2312"/>
          <w:sz w:val="24"/>
          <w:b/>
        </w:rPr>
        <w:t>2.5.3资格审查</w:t>
      </w:r>
    </w:p>
    <w:p>
      <w:pPr>
        <w:pStyle w:val="null3"/>
        <w:ind w:firstLine="480"/>
      </w:pPr>
      <w:r>
        <w:rPr>
          <w:rFonts w:ascii="仿宋_GB2312" w:hAnsi="仿宋_GB2312" w:cs="仿宋_GB2312" w:eastAsia="仿宋_GB2312"/>
        </w:rPr>
        <w:t>详见招标文件第四章。</w:t>
      </w:r>
    </w:p>
    <w:p>
      <w:pPr>
        <w:pStyle w:val="null3"/>
        <w:outlineLvl w:val="3"/>
      </w:pPr>
      <w:r>
        <w:rPr>
          <w:rFonts w:ascii="仿宋_GB2312" w:hAnsi="仿宋_GB2312" w:cs="仿宋_GB2312" w:eastAsia="仿宋_GB2312"/>
          <w:sz w:val="24"/>
          <w:b/>
        </w:rPr>
        <w:t>2.5.4评标</w:t>
      </w:r>
    </w:p>
    <w:p>
      <w:pPr>
        <w:pStyle w:val="null3"/>
        <w:ind w:firstLine="480"/>
      </w:pPr>
      <w:r>
        <w:rPr>
          <w:rFonts w:ascii="仿宋_GB2312" w:hAnsi="仿宋_GB2312" w:cs="仿宋_GB2312" w:eastAsia="仿宋_GB2312"/>
        </w:rPr>
        <w:t>详见招标文件第五章。</w:t>
      </w:r>
    </w:p>
    <w:p>
      <w:pPr>
        <w:pStyle w:val="null3"/>
        <w:outlineLvl w:val="3"/>
      </w:pPr>
      <w:r>
        <w:rPr>
          <w:rFonts w:ascii="仿宋_GB2312" w:hAnsi="仿宋_GB2312" w:cs="仿宋_GB2312" w:eastAsia="仿宋_GB2312"/>
          <w:sz w:val="24"/>
          <w:b/>
        </w:rPr>
        <w:t>2.5.5中标通知书</w:t>
      </w:r>
    </w:p>
    <w:p>
      <w:pPr>
        <w:pStyle w:val="null3"/>
        <w:ind w:firstLine="480"/>
      </w:pPr>
      <w:r>
        <w:rPr>
          <w:rFonts w:ascii="仿宋_GB2312" w:hAnsi="仿宋_GB2312" w:cs="仿宋_GB2312" w:eastAsia="仿宋_GB2312"/>
        </w:rPr>
        <w:t xml:space="preserve"> 一、采购人或者评标委员会确认中标供应商后，代理机构在陕西省政府采购网发布中标结果公告、通过项目电子化交易系统发出中标通知书，中标供应商通过项目电子化交易系统获取中标通知书。</w:t>
      </w:r>
    </w:p>
    <w:p>
      <w:pPr>
        <w:pStyle w:val="null3"/>
        <w:ind w:firstLine="480"/>
      </w:pPr>
      <w:r>
        <w:rPr>
          <w:rFonts w:ascii="仿宋_GB2312" w:hAnsi="仿宋_GB2312" w:cs="仿宋_GB2312" w:eastAsia="仿宋_GB2312"/>
        </w:rPr>
        <w:t xml:space="preserve"> 二、中标通知书是采购人和中标供应商签订政府采购合同的依据，是合同的有效组成部分。如果出现政府采购法律法规、规章制度规定的中标无效情形的，将以公告形式宣布发出的中标通知书无效，中标通知书将自动失效，并依法重新确定中标供应商或者重新开展采购活动。</w:t>
      </w:r>
    </w:p>
    <w:p>
      <w:pPr>
        <w:pStyle w:val="null3"/>
        <w:ind w:firstLine="480"/>
      </w:pPr>
      <w:r>
        <w:rPr>
          <w:rFonts w:ascii="仿宋_GB2312" w:hAnsi="仿宋_GB2312" w:cs="仿宋_GB2312" w:eastAsia="仿宋_GB2312"/>
        </w:rPr>
        <w:t>三、中标通知书对采购人和中标供应商均具有法律效力。</w:t>
      </w:r>
    </w:p>
    <w:p>
      <w:pPr>
        <w:pStyle w:val="null3"/>
        <w:outlineLvl w:val="2"/>
      </w:pPr>
      <w:r>
        <w:rPr>
          <w:rFonts w:ascii="仿宋_GB2312" w:hAnsi="仿宋_GB2312" w:cs="仿宋_GB2312" w:eastAsia="仿宋_GB2312"/>
          <w:sz w:val="28"/>
          <w:b/>
        </w:rPr>
        <w:t>2.6签订及履行合同和验收</w:t>
      </w:r>
    </w:p>
    <w:p>
      <w:pPr>
        <w:pStyle w:val="null3"/>
        <w:outlineLvl w:val="3"/>
      </w:pPr>
      <w:r>
        <w:rPr>
          <w:rFonts w:ascii="仿宋_GB2312" w:hAnsi="仿宋_GB2312" w:cs="仿宋_GB2312" w:eastAsia="仿宋_GB2312"/>
          <w:sz w:val="24"/>
          <w:b/>
        </w:rPr>
        <w:t>2.6.1签订合同</w:t>
      </w:r>
    </w:p>
    <w:p>
      <w:pPr>
        <w:pStyle w:val="null3"/>
        <w:ind w:firstLine="480"/>
      </w:pPr>
      <w:r>
        <w:rPr>
          <w:rFonts w:ascii="仿宋_GB2312" w:hAnsi="仿宋_GB2312" w:cs="仿宋_GB2312" w:eastAsia="仿宋_GB2312"/>
        </w:rPr>
        <w:t>一、采购人应在中标通知书发出之日起三十日内与中标人签订采购合同。</w:t>
      </w:r>
    </w:p>
    <w:p>
      <w:pPr>
        <w:pStyle w:val="null3"/>
        <w:ind w:firstLine="480"/>
      </w:pPr>
      <w:r>
        <w:rPr>
          <w:rFonts w:ascii="仿宋_GB2312" w:hAnsi="仿宋_GB2312" w:cs="仿宋_GB2312" w:eastAsia="仿宋_GB2312"/>
        </w:rPr>
        <w:t>二、采购人和中标人签订的采购合同不得对招标文件确定的事项以及中标人的投标文件作实质性修改。</w:t>
      </w:r>
    </w:p>
    <w:p>
      <w:pPr>
        <w:pStyle w:val="null3"/>
        <w:outlineLvl w:val="3"/>
      </w:pPr>
      <w:r>
        <w:rPr>
          <w:rFonts w:ascii="仿宋_GB2312" w:hAnsi="仿宋_GB2312" w:cs="仿宋_GB2312" w:eastAsia="仿宋_GB2312"/>
          <w:sz w:val="24"/>
          <w:b/>
        </w:rPr>
        <w:t>2.6.2合同分包和转包（实质性要求）</w:t>
      </w:r>
    </w:p>
    <w:p>
      <w:pPr>
        <w:pStyle w:val="null3"/>
        <w:outlineLvl w:val="3"/>
      </w:pPr>
      <w:r>
        <w:rPr>
          <w:rFonts w:ascii="仿宋_GB2312" w:hAnsi="仿宋_GB2312" w:cs="仿宋_GB2312" w:eastAsia="仿宋_GB2312"/>
          <w:sz w:val="24"/>
          <w:b/>
        </w:rPr>
        <w:t>2.6.2.1合同分包</w:t>
      </w:r>
    </w:p>
    <w:p>
      <w:pPr>
        <w:pStyle w:val="null3"/>
        <w:ind w:firstLine="480"/>
      </w:pPr>
      <w:r>
        <w:rPr>
          <w:rFonts w:ascii="仿宋_GB2312" w:hAnsi="仿宋_GB2312" w:cs="仿宋_GB2312" w:eastAsia="仿宋_GB2312"/>
        </w:rPr>
        <w:t xml:space="preserve"> 一、投标人根据招标文件的规定和采购项目的实际情况，拟在中标后将中标项目的非主体、非关键性工作分包的，应当在投标文件中载明分包承担主体，分包承担主体应当具备相应资质条件且不得再次分包。</w:t>
      </w:r>
    </w:p>
    <w:p>
      <w:pPr>
        <w:pStyle w:val="null3"/>
        <w:ind w:firstLine="480"/>
      </w:pPr>
      <w:r>
        <w:rPr>
          <w:rFonts w:ascii="仿宋_GB2312" w:hAnsi="仿宋_GB2312" w:cs="仿宋_GB2312" w:eastAsia="仿宋_GB2312"/>
        </w:rPr>
        <w:t>二、分包履行合同的部分应当为采购项目的非主体、非关键性工作，不属于中标人的主要合同义务。</w:t>
      </w:r>
    </w:p>
    <w:p>
      <w:pPr>
        <w:pStyle w:val="null3"/>
        <w:ind w:firstLine="480"/>
      </w:pPr>
      <w:r>
        <w:rPr>
          <w:rFonts w:ascii="仿宋_GB2312" w:hAnsi="仿宋_GB2312" w:cs="仿宋_GB2312" w:eastAsia="仿宋_GB2312"/>
        </w:rPr>
        <w:t>三、采购合同实行分包履行的，中标人就采购项目和分包项目向采购人负责，分包供应商就分包项目承担责任。</w:t>
      </w:r>
    </w:p>
    <w:p>
      <w:pPr>
        <w:pStyle w:val="null3"/>
        <w:ind w:firstLine="480"/>
      </w:pPr>
      <w:r>
        <w:rPr>
          <w:rFonts w:ascii="仿宋_GB2312" w:hAnsi="仿宋_GB2312" w:cs="仿宋_GB2312" w:eastAsia="仿宋_GB2312"/>
        </w:rPr>
        <w:t xml:space="preserve"> 四、中小企业依据《政府采购促进中小企业发展管理办法》（财库〔2020〕46号）规定的政策获取政府采购合同后，小型、微型企业不得将合同分包或转包给大型、中型企业，中型企业不得将合同分包或转包给大型企业。</w:t>
      </w:r>
    </w:p>
    <w:p>
      <w:pPr>
        <w:pStyle w:val="null3"/>
      </w:pPr>
      <w:r>
        <w:rPr>
          <w:rFonts w:ascii="仿宋_GB2312" w:hAnsi="仿宋_GB2312" w:cs="仿宋_GB2312" w:eastAsia="仿宋_GB2312"/>
        </w:rPr>
        <w:t>采购包1：不允许合同分包。</w:t>
      </w:r>
    </w:p>
    <w:p>
      <w:pPr>
        <w:pStyle w:val="null3"/>
      </w:pPr>
      <w:r>
        <w:rPr>
          <w:rFonts w:ascii="仿宋_GB2312" w:hAnsi="仿宋_GB2312" w:cs="仿宋_GB2312" w:eastAsia="仿宋_GB2312"/>
        </w:rPr>
        <w:t>采购包2：不允许合同分包。</w:t>
      </w:r>
    </w:p>
    <w:p>
      <w:pPr>
        <w:pStyle w:val="null3"/>
        <w:outlineLvl w:val="3"/>
      </w:pPr>
      <w:r>
        <w:rPr>
          <w:rFonts w:ascii="仿宋_GB2312" w:hAnsi="仿宋_GB2312" w:cs="仿宋_GB2312" w:eastAsia="仿宋_GB2312"/>
          <w:sz w:val="24"/>
          <w:b/>
        </w:rPr>
        <w:t>2.6.2.2合同转包</w:t>
      </w:r>
    </w:p>
    <w:p>
      <w:pPr>
        <w:pStyle w:val="null3"/>
        <w:ind w:firstLine="480"/>
      </w:pPr>
      <w:r>
        <w:rPr>
          <w:rFonts w:ascii="仿宋_GB2312" w:hAnsi="仿宋_GB2312" w:cs="仿宋_GB2312" w:eastAsia="仿宋_GB2312"/>
        </w:rPr>
        <w:t xml:space="preserve"> 一、严禁中标供应商将本项目转包。本项目所称转包，是指将本项目转给他人或者将本项目全部肢解以后以分包的名义分别转给他人的行为。</w:t>
      </w:r>
    </w:p>
    <w:p>
      <w:pPr>
        <w:pStyle w:val="null3"/>
        <w:ind w:firstLine="480"/>
      </w:pPr>
      <w:r>
        <w:rPr>
          <w:rFonts w:ascii="仿宋_GB2312" w:hAnsi="仿宋_GB2312" w:cs="仿宋_GB2312" w:eastAsia="仿宋_GB2312"/>
        </w:rPr>
        <w:t>二、中标供应商转包的，视同拒绝履行政府采购合同，将依法追究法律责任。</w:t>
      </w:r>
    </w:p>
    <w:p>
      <w:pPr>
        <w:pStyle w:val="null3"/>
        <w:outlineLvl w:val="3"/>
      </w:pPr>
      <w:r>
        <w:rPr>
          <w:rFonts w:ascii="仿宋_GB2312" w:hAnsi="仿宋_GB2312" w:cs="仿宋_GB2312" w:eastAsia="仿宋_GB2312"/>
          <w:sz w:val="24"/>
          <w:b/>
        </w:rPr>
        <w:t>2.6.3采购人增加合同标的的权利</w:t>
      </w:r>
    </w:p>
    <w:p>
      <w:pPr>
        <w:pStyle w:val="null3"/>
        <w:ind w:firstLine="480"/>
      </w:pPr>
      <w:r>
        <w:rPr>
          <w:rFonts w:ascii="仿宋_GB2312" w:hAnsi="仿宋_GB2312" w:cs="仿宋_GB2312" w:eastAsia="仿宋_GB2312"/>
        </w:rPr>
        <w:t xml:space="preserve"> 采购合同履行过程中，采购人需要追加与合同标的相同的货物或者服务的，在不改变合同其他条款的前提下，可以与中标人协商签订补充合同，但所有补充合同的采购金额不得超过原合同采购金额的百分之十。</w:t>
      </w:r>
    </w:p>
    <w:p>
      <w:pPr>
        <w:pStyle w:val="null3"/>
        <w:outlineLvl w:val="3"/>
      </w:pPr>
      <w:r>
        <w:rPr>
          <w:rFonts w:ascii="仿宋_GB2312" w:hAnsi="仿宋_GB2312" w:cs="仿宋_GB2312" w:eastAsia="仿宋_GB2312"/>
          <w:sz w:val="24"/>
          <w:b/>
        </w:rPr>
        <w:t>2.6.4履行合同</w:t>
      </w:r>
    </w:p>
    <w:p>
      <w:pPr>
        <w:pStyle w:val="null3"/>
        <w:ind w:firstLine="480"/>
      </w:pPr>
      <w:r>
        <w:rPr>
          <w:rFonts w:ascii="仿宋_GB2312" w:hAnsi="仿宋_GB2312" w:cs="仿宋_GB2312" w:eastAsia="仿宋_GB2312"/>
        </w:rPr>
        <w:t>一、合同一经签订，双方应严格履行合同规定的义务。</w:t>
      </w:r>
    </w:p>
    <w:p>
      <w:pPr>
        <w:pStyle w:val="null3"/>
        <w:ind w:firstLine="480"/>
      </w:pPr>
      <w:r>
        <w:rPr>
          <w:rFonts w:ascii="仿宋_GB2312" w:hAnsi="仿宋_GB2312" w:cs="仿宋_GB2312" w:eastAsia="仿宋_GB2312"/>
        </w:rPr>
        <w:t>二、在合同履行过程中，如发生合同纠纷，合同双方应按照《中华人民共和国民法典》规定及合同条款约定进行处理。</w:t>
      </w:r>
    </w:p>
    <w:p>
      <w:pPr>
        <w:pStyle w:val="null3"/>
        <w:outlineLvl w:val="3"/>
      </w:pPr>
      <w:r>
        <w:rPr>
          <w:rFonts w:ascii="仿宋_GB2312" w:hAnsi="仿宋_GB2312" w:cs="仿宋_GB2312" w:eastAsia="仿宋_GB2312"/>
          <w:sz w:val="24"/>
          <w:b/>
        </w:rPr>
        <w:t>2.6.5履约验收方案</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按照招标文件以及合同要求</w:t>
      </w:r>
    </w:p>
    <w:p>
      <w:pPr>
        <w:pStyle w:val="null3"/>
      </w:pPr>
      <w:r>
        <w:rPr>
          <w:rFonts w:ascii="仿宋_GB2312" w:hAnsi="仿宋_GB2312" w:cs="仿宋_GB2312" w:eastAsia="仿宋_GB2312"/>
        </w:rPr>
        <w:t>采购包2：</w:t>
      </w:r>
    </w:p>
    <w:p>
      <w:pPr>
        <w:pStyle w:val="null3"/>
      </w:pPr>
      <w:r>
        <w:rPr>
          <w:rFonts w:ascii="仿宋_GB2312" w:hAnsi="仿宋_GB2312" w:cs="仿宋_GB2312" w:eastAsia="仿宋_GB2312"/>
        </w:rPr>
        <w:t>按照招标文件以及合同要求</w:t>
      </w:r>
    </w:p>
    <w:p>
      <w:pPr>
        <w:pStyle w:val="null3"/>
        <w:outlineLvl w:val="3"/>
      </w:pPr>
      <w:r>
        <w:rPr>
          <w:rFonts w:ascii="仿宋_GB2312" w:hAnsi="仿宋_GB2312" w:cs="仿宋_GB2312" w:eastAsia="仿宋_GB2312"/>
          <w:sz w:val="24"/>
          <w:b/>
        </w:rPr>
        <w:t>2.6.6资金支付</w:t>
      </w:r>
    </w:p>
    <w:p>
      <w:pPr>
        <w:pStyle w:val="null3"/>
        <w:ind w:firstLine="480"/>
      </w:pPr>
      <w:r>
        <w:rPr>
          <w:rFonts w:ascii="仿宋_GB2312" w:hAnsi="仿宋_GB2312" w:cs="仿宋_GB2312" w:eastAsia="仿宋_GB2312"/>
        </w:rPr>
        <w:t>采购人按财政部门的相关规定及采购合同的约定进行支付。</w:t>
      </w:r>
    </w:p>
    <w:p>
      <w:pPr>
        <w:pStyle w:val="null3"/>
        <w:outlineLvl w:val="2"/>
      </w:pPr>
      <w:r>
        <w:rPr>
          <w:rFonts w:ascii="仿宋_GB2312" w:hAnsi="仿宋_GB2312" w:cs="仿宋_GB2312" w:eastAsia="仿宋_GB2312"/>
          <w:sz w:val="28"/>
          <w:b/>
        </w:rPr>
        <w:t>2.7纪律要求</w:t>
      </w:r>
    </w:p>
    <w:p>
      <w:pPr>
        <w:pStyle w:val="null3"/>
        <w:outlineLvl w:val="3"/>
      </w:pPr>
      <w:r>
        <w:rPr>
          <w:rFonts w:ascii="仿宋_GB2312" w:hAnsi="仿宋_GB2312" w:cs="仿宋_GB2312" w:eastAsia="仿宋_GB2312"/>
          <w:sz w:val="24"/>
          <w:b/>
        </w:rPr>
        <w:t>2.7.1评标活动纪律要求</w:t>
      </w:r>
    </w:p>
    <w:p>
      <w:pPr>
        <w:pStyle w:val="null3"/>
        <w:ind w:firstLine="480"/>
      </w:pPr>
      <w:r>
        <w:rPr>
          <w:rFonts w:ascii="仿宋_GB2312" w:hAnsi="仿宋_GB2312" w:cs="仿宋_GB2312" w:eastAsia="仿宋_GB2312"/>
        </w:rPr>
        <w:t xml:space="preserve"> 采购人、代理机构应保证评标活动在严格保密的情况下进行，采购人、代理机构、投标人和评标委员会成员应当严格遵守政府采购法律法规规章制度和本项目招标文件以及代理机构现场管理规定，接受采购人委派的监督人员的监督，任何单位和个人不得非法干预和影响评标过程和结果。</w:t>
      </w:r>
    </w:p>
    <w:p>
      <w:pPr>
        <w:pStyle w:val="null3"/>
        <w:ind w:firstLine="480"/>
      </w:pPr>
      <w:r>
        <w:rPr>
          <w:rFonts w:ascii="仿宋_GB2312" w:hAnsi="仿宋_GB2312" w:cs="仿宋_GB2312" w:eastAsia="仿宋_GB2312"/>
        </w:rPr>
        <w:t>对各投标人的商业秘密，评标委员会成员应予以保密，不得泄露给其他投标人。</w:t>
      </w:r>
    </w:p>
    <w:p>
      <w:pPr>
        <w:pStyle w:val="null3"/>
        <w:outlineLvl w:val="3"/>
      </w:pPr>
      <w:r>
        <w:rPr>
          <w:rFonts w:ascii="仿宋_GB2312" w:hAnsi="仿宋_GB2312" w:cs="仿宋_GB2312" w:eastAsia="仿宋_GB2312"/>
          <w:sz w:val="24"/>
          <w:b/>
        </w:rPr>
        <w:t>2.7.2投标人不得具有的情形（实质性要求）</w:t>
      </w:r>
    </w:p>
    <w:p>
      <w:pPr>
        <w:pStyle w:val="null3"/>
        <w:ind w:firstLine="480"/>
      </w:pPr>
      <w:r>
        <w:rPr>
          <w:rFonts w:ascii="仿宋_GB2312" w:hAnsi="仿宋_GB2312" w:cs="仿宋_GB2312" w:eastAsia="仿宋_GB2312"/>
        </w:rPr>
        <w:t>投标人参加投标不得有下列情形：</w:t>
      </w:r>
    </w:p>
    <w:p>
      <w:pPr>
        <w:pStyle w:val="null3"/>
        <w:ind w:firstLine="480"/>
      </w:pPr>
      <w:r>
        <w:rPr>
          <w:rFonts w:ascii="仿宋_GB2312" w:hAnsi="仿宋_GB2312" w:cs="仿宋_GB2312" w:eastAsia="仿宋_GB2312"/>
        </w:rPr>
        <w:t>一、有下列情形之一的，视为投标人串通投标：</w:t>
      </w:r>
    </w:p>
    <w:p>
      <w:pPr>
        <w:pStyle w:val="null3"/>
        <w:ind w:firstLine="480"/>
      </w:pPr>
      <w:r>
        <w:rPr>
          <w:rFonts w:ascii="仿宋_GB2312" w:hAnsi="仿宋_GB2312" w:cs="仿宋_GB2312" w:eastAsia="仿宋_GB2312"/>
        </w:rPr>
        <w:t>（一）不同投标人的投标文件由同一单位或者个人编制；</w:t>
      </w:r>
    </w:p>
    <w:p>
      <w:pPr>
        <w:pStyle w:val="null3"/>
        <w:ind w:firstLine="480"/>
      </w:pPr>
      <w:r>
        <w:rPr>
          <w:rFonts w:ascii="仿宋_GB2312" w:hAnsi="仿宋_GB2312" w:cs="仿宋_GB2312" w:eastAsia="仿宋_GB2312"/>
        </w:rPr>
        <w:t>（二）不同投标人委托同一单位或者个人办理投标事宜；</w:t>
      </w:r>
    </w:p>
    <w:p>
      <w:pPr>
        <w:pStyle w:val="null3"/>
        <w:ind w:firstLine="480"/>
      </w:pPr>
      <w:r>
        <w:rPr>
          <w:rFonts w:ascii="仿宋_GB2312" w:hAnsi="仿宋_GB2312" w:cs="仿宋_GB2312" w:eastAsia="仿宋_GB2312"/>
        </w:rPr>
        <w:t>（三）不同投标人的投标文件载明的项目管理成员或者联系人员为同一人；</w:t>
      </w:r>
    </w:p>
    <w:p>
      <w:pPr>
        <w:pStyle w:val="null3"/>
        <w:ind w:firstLine="480"/>
      </w:pPr>
      <w:r>
        <w:rPr>
          <w:rFonts w:ascii="仿宋_GB2312" w:hAnsi="仿宋_GB2312" w:cs="仿宋_GB2312" w:eastAsia="仿宋_GB2312"/>
        </w:rPr>
        <w:t>（四）不同投标人的投标文件异常一致或者投标报价呈规律性差异；</w:t>
      </w:r>
    </w:p>
    <w:p>
      <w:pPr>
        <w:pStyle w:val="null3"/>
        <w:ind w:firstLine="480"/>
      </w:pPr>
      <w:r>
        <w:rPr>
          <w:rFonts w:ascii="仿宋_GB2312" w:hAnsi="仿宋_GB2312" w:cs="仿宋_GB2312" w:eastAsia="仿宋_GB2312"/>
        </w:rPr>
        <w:t>（五）不同投标人的投标文件相互混装；</w:t>
      </w:r>
    </w:p>
    <w:p>
      <w:pPr>
        <w:pStyle w:val="null3"/>
        <w:ind w:firstLine="480"/>
      </w:pPr>
      <w:r>
        <w:rPr>
          <w:rFonts w:ascii="仿宋_GB2312" w:hAnsi="仿宋_GB2312" w:cs="仿宋_GB2312" w:eastAsia="仿宋_GB2312"/>
        </w:rPr>
        <w:t>二、提供虚假材料谋取中标；</w:t>
      </w:r>
    </w:p>
    <w:p>
      <w:pPr>
        <w:pStyle w:val="null3"/>
        <w:ind w:firstLine="480"/>
      </w:pPr>
      <w:r>
        <w:rPr>
          <w:rFonts w:ascii="仿宋_GB2312" w:hAnsi="仿宋_GB2312" w:cs="仿宋_GB2312" w:eastAsia="仿宋_GB2312"/>
        </w:rPr>
        <w:t>三、采取不正当手段诋毁、排挤其他投标人；</w:t>
      </w:r>
    </w:p>
    <w:p>
      <w:pPr>
        <w:pStyle w:val="null3"/>
        <w:ind w:firstLine="480"/>
      </w:pPr>
      <w:r>
        <w:rPr>
          <w:rFonts w:ascii="仿宋_GB2312" w:hAnsi="仿宋_GB2312" w:cs="仿宋_GB2312" w:eastAsia="仿宋_GB2312"/>
        </w:rPr>
        <w:t>四、与采购人或代理机构、其他投标人恶意串通；</w:t>
      </w:r>
    </w:p>
    <w:p>
      <w:pPr>
        <w:pStyle w:val="null3"/>
        <w:ind w:firstLine="480"/>
      </w:pPr>
      <w:r>
        <w:rPr>
          <w:rFonts w:ascii="仿宋_GB2312" w:hAnsi="仿宋_GB2312" w:cs="仿宋_GB2312" w:eastAsia="仿宋_GB2312"/>
        </w:rPr>
        <w:t>五、向采购人或代理机构、评标委员会成员行贿或者提供其他不正当利益；</w:t>
      </w:r>
    </w:p>
    <w:p>
      <w:pPr>
        <w:pStyle w:val="null3"/>
        <w:ind w:firstLine="480"/>
      </w:pPr>
      <w:r>
        <w:rPr>
          <w:rFonts w:ascii="仿宋_GB2312" w:hAnsi="仿宋_GB2312" w:cs="仿宋_GB2312" w:eastAsia="仿宋_GB2312"/>
        </w:rPr>
        <w:t>六、在招标过程中与采购人或代理机构进行协商谈判；</w:t>
      </w:r>
    </w:p>
    <w:p>
      <w:pPr>
        <w:pStyle w:val="null3"/>
        <w:ind w:firstLine="480"/>
      </w:pPr>
      <w:r>
        <w:rPr>
          <w:rFonts w:ascii="仿宋_GB2312" w:hAnsi="仿宋_GB2312" w:cs="仿宋_GB2312" w:eastAsia="仿宋_GB2312"/>
        </w:rPr>
        <w:t>七、中标后无正当理由拒不与采购人签订政府采购合同；</w:t>
      </w:r>
    </w:p>
    <w:p>
      <w:pPr>
        <w:pStyle w:val="null3"/>
        <w:ind w:firstLine="480"/>
      </w:pPr>
      <w:r>
        <w:rPr>
          <w:rFonts w:ascii="仿宋_GB2312" w:hAnsi="仿宋_GB2312" w:cs="仿宋_GB2312" w:eastAsia="仿宋_GB2312"/>
        </w:rPr>
        <w:t>八、未按照招标文件确定的事项签订政府采购合同；</w:t>
      </w:r>
    </w:p>
    <w:p>
      <w:pPr>
        <w:pStyle w:val="null3"/>
        <w:ind w:firstLine="480"/>
      </w:pPr>
      <w:r>
        <w:rPr>
          <w:rFonts w:ascii="仿宋_GB2312" w:hAnsi="仿宋_GB2312" w:cs="仿宋_GB2312" w:eastAsia="仿宋_GB2312"/>
        </w:rPr>
        <w:t>九、将政府采购合同转包或者违规分包；</w:t>
      </w:r>
    </w:p>
    <w:p>
      <w:pPr>
        <w:pStyle w:val="null3"/>
        <w:ind w:firstLine="480"/>
      </w:pPr>
      <w:r>
        <w:rPr>
          <w:rFonts w:ascii="仿宋_GB2312" w:hAnsi="仿宋_GB2312" w:cs="仿宋_GB2312" w:eastAsia="仿宋_GB2312"/>
        </w:rPr>
        <w:t>十、提供假冒伪劣产品；</w:t>
      </w:r>
    </w:p>
    <w:p>
      <w:pPr>
        <w:pStyle w:val="null3"/>
        <w:ind w:firstLine="480"/>
      </w:pPr>
      <w:r>
        <w:rPr>
          <w:rFonts w:ascii="仿宋_GB2312" w:hAnsi="仿宋_GB2312" w:cs="仿宋_GB2312" w:eastAsia="仿宋_GB2312"/>
        </w:rPr>
        <w:t>十一、擅自变更、中止或者终止政府采购合同；</w:t>
      </w:r>
    </w:p>
    <w:p>
      <w:pPr>
        <w:pStyle w:val="null3"/>
        <w:ind w:firstLine="480"/>
      </w:pPr>
      <w:r>
        <w:rPr>
          <w:rFonts w:ascii="仿宋_GB2312" w:hAnsi="仿宋_GB2312" w:cs="仿宋_GB2312" w:eastAsia="仿宋_GB2312"/>
        </w:rPr>
        <w:t>十二、拒绝有关部门的监督检查或者向监督检查部门提供虚假情况；</w:t>
      </w:r>
    </w:p>
    <w:p>
      <w:pPr>
        <w:pStyle w:val="null3"/>
        <w:ind w:firstLine="480"/>
      </w:pPr>
      <w:r>
        <w:rPr>
          <w:rFonts w:ascii="仿宋_GB2312" w:hAnsi="仿宋_GB2312" w:cs="仿宋_GB2312" w:eastAsia="仿宋_GB2312"/>
        </w:rPr>
        <w:t>十三、法律法规规定的其他禁止情形。</w:t>
      </w:r>
    </w:p>
    <w:p>
      <w:pPr>
        <w:pStyle w:val="null3"/>
        <w:ind w:firstLine="480"/>
      </w:pPr>
      <w:r>
        <w:rPr>
          <w:rFonts w:ascii="仿宋_GB2312" w:hAnsi="仿宋_GB2312" w:cs="仿宋_GB2312" w:eastAsia="仿宋_GB2312"/>
        </w:rPr>
        <w:t xml:space="preserve"> 投标人有上述情形的，按照规定追究法律责任，具有前述一至十三条情形之一的，其投标文件无效，或取消被确认为中标供应商的资格或认定中标无效。</w:t>
      </w:r>
    </w:p>
    <w:p>
      <w:pPr>
        <w:pStyle w:val="null3"/>
        <w:outlineLvl w:val="3"/>
      </w:pPr>
      <w:r>
        <w:rPr>
          <w:rFonts w:ascii="仿宋_GB2312" w:hAnsi="仿宋_GB2312" w:cs="仿宋_GB2312" w:eastAsia="仿宋_GB2312"/>
          <w:sz w:val="24"/>
          <w:b/>
        </w:rPr>
        <w:t>2.7.3采购人员及相关人员回避要求</w:t>
      </w:r>
    </w:p>
    <w:p>
      <w:pPr>
        <w:pStyle w:val="null3"/>
        <w:ind w:firstLine="480"/>
      </w:pPr>
      <w:r>
        <w:rPr>
          <w:rFonts w:ascii="仿宋_GB2312" w:hAnsi="仿宋_GB2312" w:cs="仿宋_GB2312" w:eastAsia="仿宋_GB2312"/>
        </w:rPr>
        <w:t>政府采购活动中，采购人员及相关人员与投标人有下列利害关系之一的，应当回避：</w:t>
      </w:r>
    </w:p>
    <w:p>
      <w:pPr>
        <w:pStyle w:val="null3"/>
        <w:ind w:firstLine="480"/>
      </w:pPr>
      <w:r>
        <w:rPr>
          <w:rFonts w:ascii="仿宋_GB2312" w:hAnsi="仿宋_GB2312" w:cs="仿宋_GB2312" w:eastAsia="仿宋_GB2312"/>
        </w:rPr>
        <w:t>（1）参加采购活动前3年内与投标人存在劳动关系；</w:t>
      </w:r>
    </w:p>
    <w:p>
      <w:pPr>
        <w:pStyle w:val="null3"/>
        <w:ind w:firstLine="480"/>
      </w:pPr>
      <w:r>
        <w:rPr>
          <w:rFonts w:ascii="仿宋_GB2312" w:hAnsi="仿宋_GB2312" w:cs="仿宋_GB2312" w:eastAsia="仿宋_GB2312"/>
        </w:rPr>
        <w:t>（2）参加采购活动前3年内担任投标人的董事、监事；</w:t>
      </w:r>
    </w:p>
    <w:p>
      <w:pPr>
        <w:pStyle w:val="null3"/>
        <w:ind w:firstLine="480"/>
      </w:pPr>
      <w:r>
        <w:rPr>
          <w:rFonts w:ascii="仿宋_GB2312" w:hAnsi="仿宋_GB2312" w:cs="仿宋_GB2312" w:eastAsia="仿宋_GB2312"/>
        </w:rPr>
        <w:t>（3）参加采购活动前3年内是投标人的控股股东或者实际控制人；</w:t>
      </w:r>
    </w:p>
    <w:p>
      <w:pPr>
        <w:pStyle w:val="null3"/>
        <w:ind w:firstLine="480"/>
      </w:pPr>
      <w:r>
        <w:rPr>
          <w:rFonts w:ascii="仿宋_GB2312" w:hAnsi="仿宋_GB2312" w:cs="仿宋_GB2312" w:eastAsia="仿宋_GB2312"/>
        </w:rPr>
        <w:t>（4）与投标人的法定代表人或者负责人有夫妻、直系血亲、三代以内旁系血亲或者近姻亲关系；</w:t>
      </w:r>
    </w:p>
    <w:p>
      <w:pPr>
        <w:pStyle w:val="null3"/>
        <w:ind w:firstLine="480"/>
      </w:pPr>
      <w:r>
        <w:rPr>
          <w:rFonts w:ascii="仿宋_GB2312" w:hAnsi="仿宋_GB2312" w:cs="仿宋_GB2312" w:eastAsia="仿宋_GB2312"/>
        </w:rPr>
        <w:t>（5）与投标人有其他可能影响政府采购活动公平、公正进行的关系。</w:t>
      </w:r>
    </w:p>
    <w:p>
      <w:pPr>
        <w:pStyle w:val="null3"/>
        <w:ind w:firstLine="480"/>
      </w:pPr>
      <w:r>
        <w:rPr>
          <w:rFonts w:ascii="仿宋_GB2312" w:hAnsi="仿宋_GB2312" w:cs="仿宋_GB2312" w:eastAsia="仿宋_GB2312"/>
        </w:rPr>
        <w:t xml:space="preserve"> 投标人认为采购人员及相关人员与其他投标人有利害关系的，可以向代理机构书面提出回避申请，并说明理由。代理机构将及时询问被申请回避人员，有利害关系的被申请回避人员应当回避。</w:t>
      </w:r>
    </w:p>
    <w:p>
      <w:pPr>
        <w:pStyle w:val="null3"/>
        <w:outlineLvl w:val="2"/>
      </w:pPr>
      <w:r>
        <w:rPr>
          <w:rFonts w:ascii="仿宋_GB2312" w:hAnsi="仿宋_GB2312" w:cs="仿宋_GB2312" w:eastAsia="仿宋_GB2312"/>
          <w:sz w:val="28"/>
          <w:b/>
        </w:rPr>
        <w:t>2.8询问、质疑和投诉</w:t>
      </w:r>
    </w:p>
    <w:p>
      <w:pPr>
        <w:pStyle w:val="null3"/>
        <w:ind w:firstLine="480"/>
      </w:pPr>
      <w:r>
        <w:rPr>
          <w:rFonts w:ascii="仿宋_GB2312" w:hAnsi="仿宋_GB2312" w:cs="仿宋_GB2312" w:eastAsia="仿宋_GB2312"/>
        </w:rPr>
        <w:t xml:space="preserve"> 一、询问、质疑、投诉的接收和处理严格按照《中华人民共和国政府采购法》《中华人民共和国政府采购法实施条例》《政府采购质疑和投诉办法》等规定办理。</w:t>
      </w:r>
    </w:p>
    <w:p>
      <w:pPr>
        <w:pStyle w:val="null3"/>
        <w:ind w:firstLine="480"/>
      </w:pPr>
      <w:r>
        <w:rPr>
          <w:rFonts w:ascii="仿宋_GB2312" w:hAnsi="仿宋_GB2312" w:cs="仿宋_GB2312" w:eastAsia="仿宋_GB2312"/>
        </w:rPr>
        <w:t>二、供应商询问、质疑的答复主体：</w:t>
      </w:r>
    </w:p>
    <w:p>
      <w:pPr>
        <w:pStyle w:val="null3"/>
        <w:ind w:firstLine="480"/>
      </w:pPr>
      <w:r>
        <w:rPr>
          <w:rFonts w:ascii="仿宋_GB2312" w:hAnsi="仿宋_GB2312" w:cs="仿宋_GB2312" w:eastAsia="仿宋_GB2312"/>
        </w:rPr>
        <w:t xml:space="preserve"> 根据委托代理协议约定，供应商对招标文件中采购需求的询问、质疑由 </w:t>
      </w:r>
      <w:r>
        <w:rPr>
          <w:rFonts w:ascii="仿宋_GB2312" w:hAnsi="仿宋_GB2312" w:cs="仿宋_GB2312" w:eastAsia="仿宋_GB2312"/>
        </w:rPr>
        <w:t>陕西正信招标有限公司</w:t>
      </w:r>
      <w:r>
        <w:rPr>
          <w:rFonts w:ascii="仿宋_GB2312" w:hAnsi="仿宋_GB2312" w:cs="仿宋_GB2312" w:eastAsia="仿宋_GB2312"/>
        </w:rPr>
        <w:t xml:space="preserve"> 负责答复；供应商对除采购需求外的采购文件的询问、质疑由</w:t>
      </w:r>
      <w:r>
        <w:rPr>
          <w:rFonts w:ascii="仿宋_GB2312" w:hAnsi="仿宋_GB2312" w:cs="仿宋_GB2312" w:eastAsia="仿宋_GB2312"/>
        </w:rPr>
        <w:t>陕西正信招标有限公司</w:t>
      </w:r>
      <w:r>
        <w:rPr>
          <w:rFonts w:ascii="仿宋_GB2312" w:hAnsi="仿宋_GB2312" w:cs="仿宋_GB2312" w:eastAsia="仿宋_GB2312"/>
        </w:rPr>
        <w:t xml:space="preserve"> 负责答复；供应商对采购过程、采购结果的询问、质疑由 </w:t>
      </w:r>
      <w:r>
        <w:rPr>
          <w:rFonts w:ascii="仿宋_GB2312" w:hAnsi="仿宋_GB2312" w:cs="仿宋_GB2312" w:eastAsia="仿宋_GB2312"/>
        </w:rPr>
        <w:t>陕西正信招标有限公司</w:t>
      </w:r>
      <w:r>
        <w:rPr>
          <w:rFonts w:ascii="仿宋_GB2312" w:hAnsi="仿宋_GB2312" w:cs="仿宋_GB2312" w:eastAsia="仿宋_GB2312"/>
        </w:rPr>
        <w:t xml:space="preserve"> 负责答复。</w:t>
      </w:r>
    </w:p>
    <w:p>
      <w:pPr>
        <w:pStyle w:val="null3"/>
        <w:ind w:firstLine="480"/>
      </w:pPr>
      <w:r>
        <w:rPr>
          <w:rFonts w:ascii="仿宋_GB2312" w:hAnsi="仿宋_GB2312" w:cs="仿宋_GB2312" w:eastAsia="仿宋_GB2312"/>
        </w:rPr>
        <w:t>三、供应商提出的询问，应当明确询问事项，如以书面形式提出的，应由供应商签字并加盖公章。</w:t>
      </w:r>
    </w:p>
    <w:p>
      <w:pPr>
        <w:pStyle w:val="null3"/>
        <w:ind w:firstLine="480"/>
      </w:pPr>
      <w:r>
        <w:rPr>
          <w:rFonts w:ascii="仿宋_GB2312" w:hAnsi="仿宋_GB2312" w:cs="仿宋_GB2312" w:eastAsia="仿宋_GB2312"/>
        </w:rPr>
        <w:t xml:space="preserve"> 为提高采购效率，降低社会成本，鼓励询问主体对于不损害国家及社会利益或自身合法权益的问题或情形采用询问方式处理解决（包含但不限于文字错误、标点符号、不影响投标文件的编制的情形）。</w:t>
      </w:r>
    </w:p>
    <w:p>
      <w:pPr>
        <w:pStyle w:val="null3"/>
        <w:ind w:firstLine="480"/>
      </w:pPr>
      <w:r>
        <w:rPr>
          <w:rFonts w:ascii="仿宋_GB2312" w:hAnsi="仿宋_GB2312" w:cs="仿宋_GB2312" w:eastAsia="仿宋_GB2312"/>
        </w:rPr>
        <w:t xml:space="preserve"> 四、供应商认为采购文件、采购过程、中标或者成交结果使自己的权益受到损害的，可以在知道或者应知其权益受到损害之日起7个工作日内，以书面形式向采购人、代理机构提出质疑。供应商应在法定质疑期内一次性提出针对同一采购程序环节的质疑。供应商应知其权益受到损害之日，是指： （一）对可以质疑的采购文件提出质疑的，为收到采购文件之日或者采购文件公告期限届满之日； （二）对采购过程提出质疑的，为各采购程序环节结束之日； （三）对中标或者成交结果提出质疑的，为中标或者成交结果公告期限届满之日。</w:t>
      </w:r>
    </w:p>
    <w:p>
      <w:pPr>
        <w:pStyle w:val="null3"/>
        <w:ind w:firstLine="480"/>
      </w:pPr>
      <w:r>
        <w:rPr>
          <w:rFonts w:ascii="仿宋_GB2312" w:hAnsi="仿宋_GB2312" w:cs="仿宋_GB2312" w:eastAsia="仿宋_GB2312"/>
        </w:rPr>
        <w:t>五、本项目不接受在线提交质疑，供应商通过书面形式线下向采购人或代理机构提交质疑资料。</w:t>
      </w:r>
    </w:p>
    <w:p>
      <w:pPr>
        <w:pStyle w:val="null3"/>
        <w:ind w:firstLine="480"/>
      </w:pPr>
      <w:r>
        <w:rPr>
          <w:rFonts w:ascii="仿宋_GB2312" w:hAnsi="仿宋_GB2312" w:cs="仿宋_GB2312" w:eastAsia="仿宋_GB2312"/>
        </w:rPr>
        <w:t>六、供应商提出质疑时应当准备的资料</w:t>
      </w:r>
    </w:p>
    <w:p>
      <w:pPr>
        <w:pStyle w:val="null3"/>
        <w:ind w:firstLine="480"/>
      </w:pPr>
      <w:r>
        <w:rPr>
          <w:rFonts w:ascii="仿宋_GB2312" w:hAnsi="仿宋_GB2312" w:cs="仿宋_GB2312" w:eastAsia="仿宋_GB2312"/>
        </w:rPr>
        <w:t>（一）质疑函正本1份；（政府采购供应商质疑函范本详见附件一）</w:t>
      </w:r>
    </w:p>
    <w:p>
      <w:pPr>
        <w:pStyle w:val="null3"/>
        <w:ind w:firstLine="480"/>
      </w:pPr>
      <w:r>
        <w:rPr>
          <w:rFonts w:ascii="仿宋_GB2312" w:hAnsi="仿宋_GB2312" w:cs="仿宋_GB2312" w:eastAsia="仿宋_GB2312"/>
        </w:rPr>
        <w:t>（二）法定代表人或主要负责人授权委托书1份（委托代理人办理质疑事宜的需提供）；</w:t>
      </w:r>
    </w:p>
    <w:p>
      <w:pPr>
        <w:pStyle w:val="null3"/>
        <w:ind w:firstLine="480"/>
      </w:pPr>
      <w:r>
        <w:rPr>
          <w:rFonts w:ascii="仿宋_GB2312" w:hAnsi="仿宋_GB2312" w:cs="仿宋_GB2312" w:eastAsia="仿宋_GB2312"/>
        </w:rPr>
        <w:t>（三）法定代表人或主要负责人身份证复印件1份；</w:t>
      </w:r>
    </w:p>
    <w:p>
      <w:pPr>
        <w:pStyle w:val="null3"/>
        <w:ind w:firstLine="480"/>
      </w:pPr>
      <w:r>
        <w:rPr>
          <w:rFonts w:ascii="仿宋_GB2312" w:hAnsi="仿宋_GB2312" w:cs="仿宋_GB2312" w:eastAsia="仿宋_GB2312"/>
        </w:rPr>
        <w:t>（四）委托代理人身份证复印件1份（委托代理人办理质疑事宜的需提供）；</w:t>
      </w:r>
    </w:p>
    <w:p>
      <w:pPr>
        <w:pStyle w:val="null3"/>
        <w:ind w:firstLine="480"/>
      </w:pPr>
      <w:r>
        <w:rPr>
          <w:rFonts w:ascii="仿宋_GB2312" w:hAnsi="仿宋_GB2312" w:cs="仿宋_GB2312" w:eastAsia="仿宋_GB2312"/>
        </w:rPr>
        <w:t>（五）针对质疑事项必要的证明材料（针对招标文件提出的质疑，需提交从项目电子化交易系统获取的招标文件回执单）。</w:t>
      </w:r>
    </w:p>
    <w:p>
      <w:pPr>
        <w:pStyle w:val="null3"/>
      </w:pPr>
      <w:r>
        <w:rPr>
          <w:rFonts w:ascii="仿宋_GB2312" w:hAnsi="仿宋_GB2312" w:cs="仿宋_GB2312" w:eastAsia="仿宋_GB2312"/>
        </w:rPr>
        <w:t>答复主体：代理机构</w:t>
      </w:r>
    </w:p>
    <w:p>
      <w:pPr>
        <w:pStyle w:val="null3"/>
      </w:pPr>
      <w:r>
        <w:rPr>
          <w:rFonts w:ascii="仿宋_GB2312" w:hAnsi="仿宋_GB2312" w:cs="仿宋_GB2312" w:eastAsia="仿宋_GB2312"/>
        </w:rPr>
        <w:t>联系人：崔文、胡怡洁</w:t>
      </w:r>
    </w:p>
    <w:p>
      <w:pPr>
        <w:pStyle w:val="null3"/>
      </w:pPr>
      <w:r>
        <w:rPr>
          <w:rFonts w:ascii="仿宋_GB2312" w:hAnsi="仿宋_GB2312" w:cs="仿宋_GB2312" w:eastAsia="仿宋_GB2312"/>
        </w:rPr>
        <w:t>联系电话：029-88110800转8030（453963218@qq.com）</w:t>
      </w:r>
    </w:p>
    <w:p>
      <w:pPr>
        <w:pStyle w:val="null3"/>
      </w:pPr>
      <w:r>
        <w:rPr>
          <w:rFonts w:ascii="仿宋_GB2312" w:hAnsi="仿宋_GB2312" w:cs="仿宋_GB2312" w:eastAsia="仿宋_GB2312"/>
        </w:rPr>
        <w:t>地址：西安市莲湖区环城西路南段元晟合中心6层</w:t>
      </w:r>
    </w:p>
    <w:p>
      <w:pPr>
        <w:pStyle w:val="null3"/>
      </w:pPr>
      <w:r>
        <w:rPr>
          <w:rFonts w:ascii="仿宋_GB2312" w:hAnsi="仿宋_GB2312" w:cs="仿宋_GB2312" w:eastAsia="仿宋_GB2312"/>
        </w:rPr>
        <w:t>邮编：710082</w:t>
      </w:r>
    </w:p>
    <w:p>
      <w:pPr>
        <w:pStyle w:val="null3"/>
        <w:ind w:firstLine="480"/>
      </w:pPr>
      <w:r>
        <w:rPr>
          <w:rFonts w:ascii="仿宋_GB2312" w:hAnsi="仿宋_GB2312" w:cs="仿宋_GB2312" w:eastAsia="仿宋_GB2312"/>
        </w:rPr>
        <w:t>注：根据《中华人民共和国政府采购法》的规定，供应商质疑不得超出招标文件、采购过程、采购结果的范围。</w:t>
      </w:r>
    </w:p>
    <w:p>
      <w:pPr>
        <w:pStyle w:val="null3"/>
        <w:ind w:firstLine="480"/>
      </w:pPr>
      <w:r>
        <w:rPr>
          <w:rFonts w:ascii="仿宋_GB2312" w:hAnsi="仿宋_GB2312" w:cs="仿宋_GB2312" w:eastAsia="仿宋_GB2312"/>
        </w:rPr>
        <w:t xml:space="preserve"> 七、供应商对采购人或代理机构的质疑答复不满意，或者采购人或代理机构未在规定期限内作出答复的，供应商可以在答复期满后15个工作日内向同级财政部门提起投诉。</w:t>
      </w:r>
    </w:p>
    <w:p>
      <w:pPr>
        <w:pStyle w:val="null3"/>
        <w:ind w:firstLine="480"/>
      </w:pPr>
      <w:r>
        <w:rPr>
          <w:rFonts w:ascii="仿宋_GB2312" w:hAnsi="仿宋_GB2312" w:cs="仿宋_GB2312" w:eastAsia="仿宋_GB2312"/>
        </w:rPr>
        <w:t>投诉受理单位：本采购项目同级财政部门。（政府采购供应商投诉书范本详见附件二）</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第三章 招标项目技术、服务、商务及其他要求</w:t>
      </w:r>
    </w:p>
    <w:p>
      <w:pPr>
        <w:pStyle w:val="null3"/>
        <w:ind w:firstLine="480"/>
      </w:pPr>
      <w:r>
        <w:rPr>
          <w:rFonts w:ascii="仿宋_GB2312" w:hAnsi="仿宋_GB2312" w:cs="仿宋_GB2312" w:eastAsia="仿宋_GB2312"/>
        </w:rPr>
        <w:t xml:space="preserve"> （注：带“★”的参数需求为实质性要求，供应商必须响应并满足的参数需求，采购人、采购代理机构应当根据项目实际需求合理设定，并明确具体要求。带“▲”号条款为允许负偏离的参数需求，若未响应或者不满足，将在综合评审中予以扣分处理。）</w:t>
      </w:r>
    </w:p>
    <w:p>
      <w:pPr>
        <w:pStyle w:val="null3"/>
        <w:outlineLvl w:val="2"/>
      </w:pPr>
      <w:r>
        <w:rPr>
          <w:rFonts w:ascii="仿宋_GB2312" w:hAnsi="仿宋_GB2312" w:cs="仿宋_GB2312" w:eastAsia="仿宋_GB2312"/>
          <w:sz w:val="28"/>
          <w:b/>
        </w:rPr>
        <w:t>3.1采购项目概况</w:t>
      </w:r>
    </w:p>
    <w:p>
      <w:pPr>
        <w:pStyle w:val="null3"/>
        <w:ind w:firstLine="480"/>
      </w:pPr>
      <w:r>
        <w:rPr>
          <w:rFonts w:ascii="仿宋_GB2312" w:hAnsi="仿宋_GB2312" w:cs="仿宋_GB2312" w:eastAsia="仿宋_GB2312"/>
        </w:rPr>
        <w:t>本项目为热敏票采购项目，一批，共分为2个采购包。</w:t>
      </w:r>
    </w:p>
    <w:p>
      <w:pPr>
        <w:pStyle w:val="null3"/>
        <w:outlineLvl w:val="2"/>
      </w:pPr>
      <w:r>
        <w:rPr>
          <w:rFonts w:ascii="仿宋_GB2312" w:hAnsi="仿宋_GB2312" w:cs="仿宋_GB2312" w:eastAsia="仿宋_GB2312"/>
          <w:sz w:val="28"/>
          <w:b/>
        </w:rPr>
        <w:t>3.2服务内容及服务要求</w:t>
      </w:r>
    </w:p>
    <w:p>
      <w:pPr>
        <w:pStyle w:val="null3"/>
        <w:outlineLvl w:val="3"/>
      </w:pPr>
      <w:r>
        <w:rPr>
          <w:rFonts w:ascii="仿宋_GB2312" w:hAnsi="仿宋_GB2312" w:cs="仿宋_GB2312" w:eastAsia="仿宋_GB2312"/>
          <w:sz w:val="24"/>
          <w:b/>
        </w:rPr>
        <w:t>3.2.1服务内容</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采购包预算金额（元）: 5,750,000.00</w:t>
      </w:r>
    </w:p>
    <w:p>
      <w:pPr>
        <w:pStyle w:val="null3"/>
      </w:pPr>
      <w:r>
        <w:rPr>
          <w:rFonts w:ascii="仿宋_GB2312" w:hAnsi="仿宋_GB2312" w:cs="仿宋_GB2312" w:eastAsia="仿宋_GB2312"/>
        </w:rPr>
        <w:t>采购包最高限价（元）: 5,750,000.00</w:t>
      </w:r>
    </w:p>
    <w:p>
      <w:pPr>
        <w:pStyle w:val="null3"/>
      </w:pPr>
      <w:r>
        <w:rPr>
          <w:rFonts w:ascii="仿宋_GB2312" w:hAnsi="仿宋_GB2312" w:cs="仿宋_GB2312" w:eastAsia="仿宋_GB2312"/>
        </w:rPr>
        <w:t>供应商报价不允许超过标的金额</w:t>
      </w:r>
    </w:p>
    <w:p>
      <w:pPr>
        <w:pStyle w:val="null3"/>
      </w:pPr>
      <w:r>
        <w:rPr>
          <w:rFonts w:ascii="仿宋_GB2312" w:hAnsi="仿宋_GB2312" w:cs="仿宋_GB2312" w:eastAsia="仿宋_GB2312"/>
        </w:rPr>
        <w:t>（招单价的）供应商报价不允许超过标的单价</w:t>
      </w:r>
    </w:p>
    <w:tbl>
      <w:tblPr>
        <w:tblW w:w="0" w:type="auto"/>
        <w:tblBorders>
          <w:top w:val="single"/>
          <w:left w:val="single"/>
          <w:bottom w:val="single"/>
          <w:right w:val="single"/>
          <w:insideH w:val="single"/>
          <w:insideV w:val="single"/>
        </w:tblBorders>
      </w:tblPr>
      <w:tblGrid>
        <w:gridCol w:w="831"/>
        <w:gridCol w:w="831"/>
        <w:gridCol w:w="831"/>
        <w:gridCol w:w="831"/>
        <w:gridCol w:w="831"/>
        <w:gridCol w:w="831"/>
        <w:gridCol w:w="831"/>
        <w:gridCol w:w="831"/>
        <w:gridCol w:w="831"/>
        <w:gridCol w:w="831"/>
      </w:tblGrid>
      <w:tr>
        <w:tc>
          <w:tcPr>
            <w:tcW w:type="dxa" w:w="831"/>
          </w:tcPr>
          <w:p>
            <w:pPr>
              <w:pStyle w:val="null3"/>
            </w:pPr>
            <w:r>
              <w:rPr>
                <w:rFonts w:ascii="仿宋_GB2312" w:hAnsi="仿宋_GB2312" w:cs="仿宋_GB2312" w:eastAsia="仿宋_GB2312"/>
              </w:rPr>
              <w:t>序号</w:t>
            </w:r>
          </w:p>
        </w:tc>
        <w:tc>
          <w:tcPr>
            <w:tcW w:type="dxa" w:w="831"/>
          </w:tcPr>
          <w:p>
            <w:pPr>
              <w:pStyle w:val="null3"/>
            </w:pPr>
            <w:r>
              <w:rPr>
                <w:rFonts w:ascii="仿宋_GB2312" w:hAnsi="仿宋_GB2312" w:cs="仿宋_GB2312" w:eastAsia="仿宋_GB2312"/>
              </w:rPr>
              <w:t>标的名称</w:t>
            </w:r>
          </w:p>
        </w:tc>
        <w:tc>
          <w:tcPr>
            <w:tcW w:type="dxa" w:w="831"/>
          </w:tcPr>
          <w:p>
            <w:pPr>
              <w:pStyle w:val="null3"/>
            </w:pPr>
            <w:r>
              <w:rPr>
                <w:rFonts w:ascii="仿宋_GB2312" w:hAnsi="仿宋_GB2312" w:cs="仿宋_GB2312" w:eastAsia="仿宋_GB2312"/>
              </w:rPr>
              <w:t>数量</w:t>
            </w:r>
          </w:p>
        </w:tc>
        <w:tc>
          <w:tcPr>
            <w:tcW w:type="dxa" w:w="831"/>
          </w:tcPr>
          <w:p>
            <w:pPr>
              <w:pStyle w:val="null3"/>
            </w:pPr>
            <w:r>
              <w:rPr>
                <w:rFonts w:ascii="仿宋_GB2312" w:hAnsi="仿宋_GB2312" w:cs="仿宋_GB2312" w:eastAsia="仿宋_GB2312"/>
              </w:rPr>
              <w:t>标的金额 （元）</w:t>
            </w:r>
          </w:p>
        </w:tc>
        <w:tc>
          <w:tcPr>
            <w:tcW w:type="dxa" w:w="831"/>
          </w:tcPr>
          <w:p>
            <w:pPr>
              <w:pStyle w:val="null3"/>
            </w:pPr>
            <w:r>
              <w:rPr>
                <w:rFonts w:ascii="仿宋_GB2312" w:hAnsi="仿宋_GB2312" w:cs="仿宋_GB2312" w:eastAsia="仿宋_GB2312"/>
              </w:rPr>
              <w:t>计量单位</w:t>
            </w:r>
          </w:p>
        </w:tc>
        <w:tc>
          <w:tcPr>
            <w:tcW w:type="dxa" w:w="831"/>
          </w:tcPr>
          <w:p>
            <w:pPr>
              <w:pStyle w:val="null3"/>
            </w:pPr>
            <w:r>
              <w:rPr>
                <w:rFonts w:ascii="仿宋_GB2312" w:hAnsi="仿宋_GB2312" w:cs="仿宋_GB2312" w:eastAsia="仿宋_GB2312"/>
              </w:rPr>
              <w:t>所属行业</w:t>
            </w:r>
          </w:p>
        </w:tc>
        <w:tc>
          <w:tcPr>
            <w:tcW w:type="dxa" w:w="831"/>
          </w:tcPr>
          <w:p>
            <w:pPr>
              <w:pStyle w:val="null3"/>
            </w:pPr>
            <w:r>
              <w:rPr>
                <w:rFonts w:ascii="仿宋_GB2312" w:hAnsi="仿宋_GB2312" w:cs="仿宋_GB2312" w:eastAsia="仿宋_GB2312"/>
              </w:rPr>
              <w:t>是否核心产品</w:t>
            </w:r>
          </w:p>
        </w:tc>
        <w:tc>
          <w:tcPr>
            <w:tcW w:type="dxa" w:w="831"/>
          </w:tcPr>
          <w:p>
            <w:pPr>
              <w:pStyle w:val="null3"/>
            </w:pPr>
            <w:r>
              <w:rPr>
                <w:rFonts w:ascii="仿宋_GB2312" w:hAnsi="仿宋_GB2312" w:cs="仿宋_GB2312" w:eastAsia="仿宋_GB2312"/>
              </w:rPr>
              <w:t>是否允许进口产品</w:t>
            </w:r>
          </w:p>
        </w:tc>
        <w:tc>
          <w:tcPr>
            <w:tcW w:type="dxa" w:w="831"/>
          </w:tcPr>
          <w:p>
            <w:pPr>
              <w:pStyle w:val="null3"/>
            </w:pPr>
            <w:r>
              <w:rPr>
                <w:rFonts w:ascii="仿宋_GB2312" w:hAnsi="仿宋_GB2312" w:cs="仿宋_GB2312" w:eastAsia="仿宋_GB2312"/>
              </w:rPr>
              <w:t>是否属于节能产品</w:t>
            </w:r>
          </w:p>
        </w:tc>
        <w:tc>
          <w:tcPr>
            <w:tcW w:type="dxa" w:w="831"/>
          </w:tcPr>
          <w:p>
            <w:pPr>
              <w:pStyle w:val="null3"/>
            </w:pPr>
            <w:r>
              <w:rPr>
                <w:rFonts w:ascii="仿宋_GB2312" w:hAnsi="仿宋_GB2312" w:cs="仿宋_GB2312" w:eastAsia="仿宋_GB2312"/>
              </w:rPr>
              <w:t>是否属于环境标志产品</w:t>
            </w:r>
          </w:p>
        </w:tc>
      </w:tr>
      <w:tr>
        <w:tc>
          <w:tcPr>
            <w:tcW w:type="dxa" w:w="831"/>
          </w:tcPr>
          <w:p>
            <w:pPr>
              <w:pStyle w:val="null3"/>
            </w:pPr>
            <w:r>
              <w:rPr>
                <w:rFonts w:ascii="仿宋_GB2312" w:hAnsi="仿宋_GB2312" w:cs="仿宋_GB2312" w:eastAsia="仿宋_GB2312"/>
              </w:rPr>
              <w:t>1</w:t>
            </w:r>
          </w:p>
        </w:tc>
        <w:tc>
          <w:tcPr>
            <w:tcW w:type="dxa" w:w="831"/>
          </w:tcPr>
          <w:p>
            <w:pPr>
              <w:pStyle w:val="null3"/>
            </w:pPr>
            <w:r>
              <w:rPr>
                <w:rFonts w:ascii="仿宋_GB2312" w:hAnsi="仿宋_GB2312" w:cs="仿宋_GB2312" w:eastAsia="仿宋_GB2312"/>
              </w:rPr>
              <w:t>热敏票采购</w:t>
            </w:r>
          </w:p>
        </w:tc>
        <w:tc>
          <w:tcPr>
            <w:tcW w:type="dxa" w:w="831"/>
          </w:tcPr>
          <w:p>
            <w:pPr>
              <w:pStyle w:val="null3"/>
              <w:jc w:val="right"/>
            </w:pPr>
            <w:r>
              <w:rPr>
                <w:rFonts w:ascii="仿宋_GB2312" w:hAnsi="仿宋_GB2312" w:cs="仿宋_GB2312" w:eastAsia="仿宋_GB2312"/>
              </w:rPr>
              <w:t>25,000.00</w:t>
            </w:r>
          </w:p>
        </w:tc>
        <w:tc>
          <w:tcPr>
            <w:tcW w:type="dxa" w:w="831"/>
          </w:tcPr>
          <w:p>
            <w:pPr>
              <w:pStyle w:val="null3"/>
              <w:jc w:val="right"/>
            </w:pPr>
            <w:r>
              <w:rPr>
                <w:rFonts w:ascii="仿宋_GB2312" w:hAnsi="仿宋_GB2312" w:cs="仿宋_GB2312" w:eastAsia="仿宋_GB2312"/>
              </w:rPr>
              <w:t>5,750,000.00</w:t>
            </w:r>
          </w:p>
        </w:tc>
        <w:tc>
          <w:tcPr>
            <w:tcW w:type="dxa" w:w="831"/>
          </w:tcPr>
          <w:p>
            <w:pPr>
              <w:pStyle w:val="null3"/>
            </w:pPr>
            <w:r>
              <w:rPr>
                <w:rFonts w:ascii="仿宋_GB2312" w:hAnsi="仿宋_GB2312" w:cs="仿宋_GB2312" w:eastAsia="仿宋_GB2312"/>
              </w:rPr>
              <w:t>箱</w:t>
            </w:r>
          </w:p>
        </w:tc>
        <w:tc>
          <w:tcPr>
            <w:tcW w:type="dxa" w:w="831"/>
          </w:tcPr>
          <w:p>
            <w:pPr>
              <w:pStyle w:val="null3"/>
            </w:pPr>
            <w:r>
              <w:rPr>
                <w:rFonts w:ascii="仿宋_GB2312" w:hAnsi="仿宋_GB2312" w:cs="仿宋_GB2312" w:eastAsia="仿宋_GB2312"/>
              </w:rPr>
              <w:t>工业</w:t>
            </w:r>
          </w:p>
        </w:tc>
        <w:tc>
          <w:tcPr>
            <w:tcW w:type="dxa" w:w="831"/>
          </w:tcPr>
          <w:p>
            <w:pPr>
              <w:pStyle w:val="null3"/>
            </w:pPr>
            <w:r>
              <w:rPr>
                <w:rFonts w:ascii="仿宋_GB2312" w:hAnsi="仿宋_GB2312" w:cs="仿宋_GB2312" w:eastAsia="仿宋_GB2312"/>
              </w:rPr>
              <w:t>否</w:t>
            </w:r>
          </w:p>
        </w:tc>
        <w:tc>
          <w:tcPr>
            <w:tcW w:type="dxa" w:w="831"/>
          </w:tcPr>
          <w:p>
            <w:pPr>
              <w:pStyle w:val="null3"/>
            </w:pPr>
            <w:r>
              <w:rPr>
                <w:rFonts w:ascii="仿宋_GB2312" w:hAnsi="仿宋_GB2312" w:cs="仿宋_GB2312" w:eastAsia="仿宋_GB2312"/>
              </w:rPr>
              <w:t>否</w:t>
            </w:r>
          </w:p>
        </w:tc>
        <w:tc>
          <w:tcPr>
            <w:tcW w:type="dxa" w:w="831"/>
          </w:tcPr>
          <w:p>
            <w:pPr>
              <w:pStyle w:val="null3"/>
            </w:pPr>
            <w:r>
              <w:rPr>
                <w:rFonts w:ascii="仿宋_GB2312" w:hAnsi="仿宋_GB2312" w:cs="仿宋_GB2312" w:eastAsia="仿宋_GB2312"/>
              </w:rPr>
              <w:t>否</w:t>
            </w:r>
          </w:p>
        </w:tc>
        <w:tc>
          <w:tcPr>
            <w:tcW w:type="dxa" w:w="831"/>
          </w:tcPr>
          <w:p>
            <w:pPr>
              <w:pStyle w:val="null3"/>
            </w:pPr>
            <w:r>
              <w:rPr>
                <w:rFonts w:ascii="仿宋_GB2312" w:hAnsi="仿宋_GB2312" w:cs="仿宋_GB2312" w:eastAsia="仿宋_GB2312"/>
              </w:rPr>
              <w:t>否</w:t>
            </w:r>
          </w:p>
        </w:tc>
      </w:tr>
    </w:tbl>
    <w:p>
      <w:pPr>
        <w:pStyle w:val="null3"/>
      </w:pPr>
      <w:r>
        <w:rPr>
          <w:rFonts w:ascii="仿宋_GB2312" w:hAnsi="仿宋_GB2312" w:cs="仿宋_GB2312" w:eastAsia="仿宋_GB2312"/>
        </w:rPr>
        <w:t>采购包2：</w:t>
      </w:r>
    </w:p>
    <w:p>
      <w:pPr>
        <w:pStyle w:val="null3"/>
      </w:pPr>
      <w:r>
        <w:rPr>
          <w:rFonts w:ascii="仿宋_GB2312" w:hAnsi="仿宋_GB2312" w:cs="仿宋_GB2312" w:eastAsia="仿宋_GB2312"/>
        </w:rPr>
        <w:t>采购包预算金额（元）: 3,450,000.00</w:t>
      </w:r>
    </w:p>
    <w:p>
      <w:pPr>
        <w:pStyle w:val="null3"/>
      </w:pPr>
      <w:r>
        <w:rPr>
          <w:rFonts w:ascii="仿宋_GB2312" w:hAnsi="仿宋_GB2312" w:cs="仿宋_GB2312" w:eastAsia="仿宋_GB2312"/>
        </w:rPr>
        <w:t>采购包最高限价（元）: 3,450,000.00</w:t>
      </w:r>
    </w:p>
    <w:p>
      <w:pPr>
        <w:pStyle w:val="null3"/>
      </w:pPr>
      <w:r>
        <w:rPr>
          <w:rFonts w:ascii="仿宋_GB2312" w:hAnsi="仿宋_GB2312" w:cs="仿宋_GB2312" w:eastAsia="仿宋_GB2312"/>
        </w:rPr>
        <w:t>供应商报价不允许超过标的金额</w:t>
      </w:r>
    </w:p>
    <w:p>
      <w:pPr>
        <w:pStyle w:val="null3"/>
      </w:pPr>
      <w:r>
        <w:rPr>
          <w:rFonts w:ascii="仿宋_GB2312" w:hAnsi="仿宋_GB2312" w:cs="仿宋_GB2312" w:eastAsia="仿宋_GB2312"/>
        </w:rPr>
        <w:t>（招单价的）供应商报价不允许超过标的单价</w:t>
      </w:r>
    </w:p>
    <w:tbl>
      <w:tblPr>
        <w:tblW w:w="0" w:type="auto"/>
        <w:tblBorders>
          <w:top w:val="single"/>
          <w:left w:val="single"/>
          <w:bottom w:val="single"/>
          <w:right w:val="single"/>
          <w:insideH w:val="single"/>
          <w:insideV w:val="single"/>
        </w:tblBorders>
      </w:tblPr>
      <w:tblGrid>
        <w:gridCol w:w="831"/>
        <w:gridCol w:w="831"/>
        <w:gridCol w:w="831"/>
        <w:gridCol w:w="831"/>
        <w:gridCol w:w="831"/>
        <w:gridCol w:w="831"/>
        <w:gridCol w:w="831"/>
        <w:gridCol w:w="831"/>
        <w:gridCol w:w="831"/>
        <w:gridCol w:w="831"/>
      </w:tblGrid>
      <w:tr>
        <w:tc>
          <w:tcPr>
            <w:tcW w:type="dxa" w:w="831"/>
          </w:tcPr>
          <w:p>
            <w:pPr>
              <w:pStyle w:val="null3"/>
            </w:pPr>
            <w:r>
              <w:rPr>
                <w:rFonts w:ascii="仿宋_GB2312" w:hAnsi="仿宋_GB2312" w:cs="仿宋_GB2312" w:eastAsia="仿宋_GB2312"/>
              </w:rPr>
              <w:t>序号</w:t>
            </w:r>
          </w:p>
        </w:tc>
        <w:tc>
          <w:tcPr>
            <w:tcW w:type="dxa" w:w="831"/>
          </w:tcPr>
          <w:p>
            <w:pPr>
              <w:pStyle w:val="null3"/>
            </w:pPr>
            <w:r>
              <w:rPr>
                <w:rFonts w:ascii="仿宋_GB2312" w:hAnsi="仿宋_GB2312" w:cs="仿宋_GB2312" w:eastAsia="仿宋_GB2312"/>
              </w:rPr>
              <w:t>标的名称</w:t>
            </w:r>
          </w:p>
        </w:tc>
        <w:tc>
          <w:tcPr>
            <w:tcW w:type="dxa" w:w="831"/>
          </w:tcPr>
          <w:p>
            <w:pPr>
              <w:pStyle w:val="null3"/>
            </w:pPr>
            <w:r>
              <w:rPr>
                <w:rFonts w:ascii="仿宋_GB2312" w:hAnsi="仿宋_GB2312" w:cs="仿宋_GB2312" w:eastAsia="仿宋_GB2312"/>
              </w:rPr>
              <w:t>数量</w:t>
            </w:r>
          </w:p>
        </w:tc>
        <w:tc>
          <w:tcPr>
            <w:tcW w:type="dxa" w:w="831"/>
          </w:tcPr>
          <w:p>
            <w:pPr>
              <w:pStyle w:val="null3"/>
            </w:pPr>
            <w:r>
              <w:rPr>
                <w:rFonts w:ascii="仿宋_GB2312" w:hAnsi="仿宋_GB2312" w:cs="仿宋_GB2312" w:eastAsia="仿宋_GB2312"/>
              </w:rPr>
              <w:t>标的金额 （元）</w:t>
            </w:r>
          </w:p>
        </w:tc>
        <w:tc>
          <w:tcPr>
            <w:tcW w:type="dxa" w:w="831"/>
          </w:tcPr>
          <w:p>
            <w:pPr>
              <w:pStyle w:val="null3"/>
            </w:pPr>
            <w:r>
              <w:rPr>
                <w:rFonts w:ascii="仿宋_GB2312" w:hAnsi="仿宋_GB2312" w:cs="仿宋_GB2312" w:eastAsia="仿宋_GB2312"/>
              </w:rPr>
              <w:t>计量单位</w:t>
            </w:r>
          </w:p>
        </w:tc>
        <w:tc>
          <w:tcPr>
            <w:tcW w:type="dxa" w:w="831"/>
          </w:tcPr>
          <w:p>
            <w:pPr>
              <w:pStyle w:val="null3"/>
            </w:pPr>
            <w:r>
              <w:rPr>
                <w:rFonts w:ascii="仿宋_GB2312" w:hAnsi="仿宋_GB2312" w:cs="仿宋_GB2312" w:eastAsia="仿宋_GB2312"/>
              </w:rPr>
              <w:t>所属行业</w:t>
            </w:r>
          </w:p>
        </w:tc>
        <w:tc>
          <w:tcPr>
            <w:tcW w:type="dxa" w:w="831"/>
          </w:tcPr>
          <w:p>
            <w:pPr>
              <w:pStyle w:val="null3"/>
            </w:pPr>
            <w:r>
              <w:rPr>
                <w:rFonts w:ascii="仿宋_GB2312" w:hAnsi="仿宋_GB2312" w:cs="仿宋_GB2312" w:eastAsia="仿宋_GB2312"/>
              </w:rPr>
              <w:t>是否核心产品</w:t>
            </w:r>
          </w:p>
        </w:tc>
        <w:tc>
          <w:tcPr>
            <w:tcW w:type="dxa" w:w="831"/>
          </w:tcPr>
          <w:p>
            <w:pPr>
              <w:pStyle w:val="null3"/>
            </w:pPr>
            <w:r>
              <w:rPr>
                <w:rFonts w:ascii="仿宋_GB2312" w:hAnsi="仿宋_GB2312" w:cs="仿宋_GB2312" w:eastAsia="仿宋_GB2312"/>
              </w:rPr>
              <w:t>是否允许进口产品</w:t>
            </w:r>
          </w:p>
        </w:tc>
        <w:tc>
          <w:tcPr>
            <w:tcW w:type="dxa" w:w="831"/>
          </w:tcPr>
          <w:p>
            <w:pPr>
              <w:pStyle w:val="null3"/>
            </w:pPr>
            <w:r>
              <w:rPr>
                <w:rFonts w:ascii="仿宋_GB2312" w:hAnsi="仿宋_GB2312" w:cs="仿宋_GB2312" w:eastAsia="仿宋_GB2312"/>
              </w:rPr>
              <w:t>是否属于节能产品</w:t>
            </w:r>
          </w:p>
        </w:tc>
        <w:tc>
          <w:tcPr>
            <w:tcW w:type="dxa" w:w="831"/>
          </w:tcPr>
          <w:p>
            <w:pPr>
              <w:pStyle w:val="null3"/>
            </w:pPr>
            <w:r>
              <w:rPr>
                <w:rFonts w:ascii="仿宋_GB2312" w:hAnsi="仿宋_GB2312" w:cs="仿宋_GB2312" w:eastAsia="仿宋_GB2312"/>
              </w:rPr>
              <w:t>是否属于环境标志产品</w:t>
            </w:r>
          </w:p>
        </w:tc>
      </w:tr>
      <w:tr>
        <w:tc>
          <w:tcPr>
            <w:tcW w:type="dxa" w:w="831"/>
          </w:tcPr>
          <w:p>
            <w:pPr>
              <w:pStyle w:val="null3"/>
            </w:pPr>
            <w:r>
              <w:rPr>
                <w:rFonts w:ascii="仿宋_GB2312" w:hAnsi="仿宋_GB2312" w:cs="仿宋_GB2312" w:eastAsia="仿宋_GB2312"/>
              </w:rPr>
              <w:t>1</w:t>
            </w:r>
          </w:p>
        </w:tc>
        <w:tc>
          <w:tcPr>
            <w:tcW w:type="dxa" w:w="831"/>
          </w:tcPr>
          <w:p>
            <w:pPr>
              <w:pStyle w:val="null3"/>
            </w:pPr>
            <w:r>
              <w:rPr>
                <w:rFonts w:ascii="仿宋_GB2312" w:hAnsi="仿宋_GB2312" w:cs="仿宋_GB2312" w:eastAsia="仿宋_GB2312"/>
              </w:rPr>
              <w:t>热敏票采购</w:t>
            </w:r>
          </w:p>
        </w:tc>
        <w:tc>
          <w:tcPr>
            <w:tcW w:type="dxa" w:w="831"/>
          </w:tcPr>
          <w:p>
            <w:pPr>
              <w:pStyle w:val="null3"/>
              <w:jc w:val="right"/>
            </w:pPr>
            <w:r>
              <w:rPr>
                <w:rFonts w:ascii="仿宋_GB2312" w:hAnsi="仿宋_GB2312" w:cs="仿宋_GB2312" w:eastAsia="仿宋_GB2312"/>
              </w:rPr>
              <w:t>15,000.00</w:t>
            </w:r>
          </w:p>
        </w:tc>
        <w:tc>
          <w:tcPr>
            <w:tcW w:type="dxa" w:w="831"/>
          </w:tcPr>
          <w:p>
            <w:pPr>
              <w:pStyle w:val="null3"/>
              <w:jc w:val="right"/>
            </w:pPr>
            <w:r>
              <w:rPr>
                <w:rFonts w:ascii="仿宋_GB2312" w:hAnsi="仿宋_GB2312" w:cs="仿宋_GB2312" w:eastAsia="仿宋_GB2312"/>
              </w:rPr>
              <w:t>3,450,000.00</w:t>
            </w:r>
          </w:p>
        </w:tc>
        <w:tc>
          <w:tcPr>
            <w:tcW w:type="dxa" w:w="831"/>
          </w:tcPr>
          <w:p>
            <w:pPr>
              <w:pStyle w:val="null3"/>
            </w:pPr>
            <w:r>
              <w:rPr>
                <w:rFonts w:ascii="仿宋_GB2312" w:hAnsi="仿宋_GB2312" w:cs="仿宋_GB2312" w:eastAsia="仿宋_GB2312"/>
              </w:rPr>
              <w:t>箱</w:t>
            </w:r>
          </w:p>
        </w:tc>
        <w:tc>
          <w:tcPr>
            <w:tcW w:type="dxa" w:w="831"/>
          </w:tcPr>
          <w:p>
            <w:pPr>
              <w:pStyle w:val="null3"/>
            </w:pPr>
            <w:r>
              <w:rPr>
                <w:rFonts w:ascii="仿宋_GB2312" w:hAnsi="仿宋_GB2312" w:cs="仿宋_GB2312" w:eastAsia="仿宋_GB2312"/>
              </w:rPr>
              <w:t>工业</w:t>
            </w:r>
          </w:p>
        </w:tc>
        <w:tc>
          <w:tcPr>
            <w:tcW w:type="dxa" w:w="831"/>
          </w:tcPr>
          <w:p>
            <w:pPr>
              <w:pStyle w:val="null3"/>
            </w:pPr>
            <w:r>
              <w:rPr>
                <w:rFonts w:ascii="仿宋_GB2312" w:hAnsi="仿宋_GB2312" w:cs="仿宋_GB2312" w:eastAsia="仿宋_GB2312"/>
              </w:rPr>
              <w:t>否</w:t>
            </w:r>
          </w:p>
        </w:tc>
        <w:tc>
          <w:tcPr>
            <w:tcW w:type="dxa" w:w="831"/>
          </w:tcPr>
          <w:p>
            <w:pPr>
              <w:pStyle w:val="null3"/>
            </w:pPr>
            <w:r>
              <w:rPr>
                <w:rFonts w:ascii="仿宋_GB2312" w:hAnsi="仿宋_GB2312" w:cs="仿宋_GB2312" w:eastAsia="仿宋_GB2312"/>
              </w:rPr>
              <w:t>否</w:t>
            </w:r>
          </w:p>
        </w:tc>
        <w:tc>
          <w:tcPr>
            <w:tcW w:type="dxa" w:w="831"/>
          </w:tcPr>
          <w:p>
            <w:pPr>
              <w:pStyle w:val="null3"/>
            </w:pPr>
            <w:r>
              <w:rPr>
                <w:rFonts w:ascii="仿宋_GB2312" w:hAnsi="仿宋_GB2312" w:cs="仿宋_GB2312" w:eastAsia="仿宋_GB2312"/>
              </w:rPr>
              <w:t>否</w:t>
            </w:r>
          </w:p>
        </w:tc>
        <w:tc>
          <w:tcPr>
            <w:tcW w:type="dxa" w:w="831"/>
          </w:tcPr>
          <w:p>
            <w:pPr>
              <w:pStyle w:val="null3"/>
            </w:pPr>
            <w:r>
              <w:rPr>
                <w:rFonts w:ascii="仿宋_GB2312" w:hAnsi="仿宋_GB2312" w:cs="仿宋_GB2312" w:eastAsia="仿宋_GB2312"/>
              </w:rPr>
              <w:t>否</w:t>
            </w:r>
          </w:p>
        </w:tc>
      </w:tr>
    </w:tbl>
    <w:p>
      <w:pPr>
        <w:pStyle w:val="null3"/>
        <w:outlineLvl w:val="3"/>
      </w:pPr>
      <w:r>
        <w:rPr>
          <w:rFonts w:ascii="仿宋_GB2312" w:hAnsi="仿宋_GB2312" w:cs="仿宋_GB2312" w:eastAsia="仿宋_GB2312"/>
          <w:sz w:val="24"/>
          <w:b/>
        </w:rPr>
        <w:t>3.2.2服务要求</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供应商报价不允许超过标的金额</w:t>
      </w:r>
    </w:p>
    <w:p>
      <w:pPr>
        <w:pStyle w:val="null3"/>
      </w:pPr>
      <w:r>
        <w:rPr>
          <w:rFonts w:ascii="仿宋_GB2312" w:hAnsi="仿宋_GB2312" w:cs="仿宋_GB2312" w:eastAsia="仿宋_GB2312"/>
        </w:rPr>
        <w:t>（招单价的）供应商报价不允许超过标的单价</w:t>
      </w:r>
    </w:p>
    <w:p>
      <w:pPr>
        <w:pStyle w:val="null3"/>
      </w:pPr>
      <w:r>
        <w:rPr>
          <w:rFonts w:ascii="仿宋_GB2312" w:hAnsi="仿宋_GB2312" w:cs="仿宋_GB2312" w:eastAsia="仿宋_GB2312"/>
        </w:rPr>
        <w:t>标的名称：热敏票采购</w:t>
      </w:r>
    </w:p>
    <w:tbl>
      <w:tblPr>
        <w:tblW w:w="0" w:type="auto"/>
        <w:tblBorders>
          <w:top w:val="single"/>
          <w:left w:val="single"/>
          <w:bottom w:val="single"/>
          <w:right w:val="single"/>
          <w:insideH w:val="single"/>
          <w:insideV w:val="single"/>
        </w:tblBorders>
      </w:tblPr>
      <w:tblGrid>
        <w:gridCol w:w="2076"/>
        <w:gridCol w:w="2076"/>
        <w:gridCol w:w="2076"/>
        <w:gridCol w:w="2076"/>
      </w:tblGrid>
      <w:tr>
        <w:tc>
          <w:tcPr>
            <w:tcW w:type="dxa" w:w="2076"/>
          </w:tcPr>
          <w:p>
            <w:pPr>
              <w:pStyle w:val="null3"/>
            </w:pPr>
            <w:r>
              <w:rPr>
                <w:rFonts w:ascii="仿宋_GB2312" w:hAnsi="仿宋_GB2312" w:cs="仿宋_GB2312" w:eastAsia="仿宋_GB2312"/>
              </w:rPr>
              <w:t xml:space="preserve"> 参数性质</w:t>
            </w:r>
          </w:p>
        </w:tc>
        <w:tc>
          <w:tcPr>
            <w:tcW w:type="dxa" w:w="2076"/>
          </w:tcPr>
          <w:p>
            <w:pPr>
              <w:pStyle w:val="null3"/>
            </w:pPr>
            <w:r>
              <w:rPr>
                <w:rFonts w:ascii="仿宋_GB2312" w:hAnsi="仿宋_GB2312" w:cs="仿宋_GB2312" w:eastAsia="仿宋_GB2312"/>
              </w:rPr>
              <w:t xml:space="preserve"> 序号</w:t>
            </w:r>
          </w:p>
        </w:tc>
        <w:tc>
          <w:tcPr>
            <w:tcW w:type="dxa" w:w="2076"/>
          </w:tcPr>
          <w:p>
            <w:pPr>
              <w:pStyle w:val="null3"/>
            </w:pPr>
            <w:r>
              <w:rPr>
                <w:rFonts w:ascii="仿宋_GB2312" w:hAnsi="仿宋_GB2312" w:cs="仿宋_GB2312" w:eastAsia="仿宋_GB2312"/>
              </w:rPr>
              <w:t xml:space="preserve"> 技术要求名称</w:t>
            </w:r>
          </w:p>
        </w:tc>
        <w:tc>
          <w:tcPr>
            <w:tcW w:type="dxa" w:w="2076"/>
          </w:tcPr>
          <w:p>
            <w:pPr>
              <w:pStyle w:val="null3"/>
            </w:pPr>
            <w:r>
              <w:rPr>
                <w:rFonts w:ascii="仿宋_GB2312" w:hAnsi="仿宋_GB2312" w:cs="仿宋_GB2312" w:eastAsia="仿宋_GB2312"/>
              </w:rPr>
              <w:t xml:space="preserve"> 技术参数与性能指标</w:t>
            </w:r>
          </w:p>
        </w:tc>
      </w:tr>
      <w:tr>
        <w:tc>
          <w:tcPr>
            <w:tcW w:type="dxa" w:w="2076"/>
          </w:tcPr>
          <w:p/>
        </w:tc>
        <w:tc>
          <w:tcPr>
            <w:tcW w:type="dxa" w:w="2076"/>
          </w:tcPr>
          <w:p>
            <w:pPr>
              <w:pStyle w:val="null3"/>
            </w:pPr>
            <w:r>
              <w:rPr>
                <w:rFonts w:ascii="仿宋_GB2312" w:hAnsi="仿宋_GB2312" w:cs="仿宋_GB2312" w:eastAsia="仿宋_GB2312"/>
              </w:rPr>
              <w:t>1</w:t>
            </w:r>
          </w:p>
        </w:tc>
        <w:tc>
          <w:tcPr>
            <w:tcW w:type="dxa" w:w="2076"/>
          </w:tcPr>
          <w:p>
            <w:pPr>
              <w:pStyle w:val="null3"/>
            </w:pPr>
            <w:r>
              <w:rPr>
                <w:rFonts w:ascii="仿宋_GB2312" w:hAnsi="仿宋_GB2312" w:cs="仿宋_GB2312" w:eastAsia="仿宋_GB2312"/>
              </w:rPr>
              <w:t>热敏票采购</w:t>
            </w:r>
          </w:p>
        </w:tc>
        <w:tc>
          <w:tcPr>
            <w:tcW w:type="dxa" w:w="2076"/>
          </w:tcPr>
          <w:p>
            <w:pPr>
              <w:pStyle w:val="null3"/>
            </w:pPr>
            <w:r>
              <w:rPr>
                <w:rFonts w:ascii="仿宋_GB2312" w:hAnsi="仿宋_GB2312" w:cs="仿宋_GB2312" w:eastAsia="仿宋_GB2312"/>
              </w:rPr>
              <w:t>一、项目概况</w:t>
            </w:r>
          </w:p>
          <w:p>
            <w:pPr>
              <w:pStyle w:val="null3"/>
            </w:pPr>
            <w:r>
              <w:rPr>
                <w:rFonts w:ascii="仿宋_GB2312" w:hAnsi="仿宋_GB2312" w:cs="仿宋_GB2312" w:eastAsia="仿宋_GB2312"/>
              </w:rPr>
              <w:t>本项目采购内容为陕西省体彩管理中心热敏票印制、供货及后期服务。</w:t>
            </w:r>
          </w:p>
          <w:tbl>
            <w:tblPr>
              <w:tblBorders>
                <w:top w:val="single"/>
                <w:left w:val="single"/>
                <w:bottom w:val="single"/>
                <w:right w:val="single"/>
                <w:insideH w:val="single"/>
                <w:insideV w:val="single"/>
              </w:tblBorders>
            </w:tblPr>
            <w:tblGrid>
              <w:gridCol w:w="465"/>
              <w:gridCol w:w="465"/>
              <w:gridCol w:w="465"/>
              <w:gridCol w:w="465"/>
            </w:tblGrid>
            <w:tr>
              <w:tc>
                <w:tcPr>
                  <w:tcW w:type="dxa" w:w="465"/>
                </w:tcPr>
                <w:p>
                  <w:pPr>
                    <w:pStyle w:val="null3"/>
                  </w:pPr>
                  <w:r>
                    <w:rPr>
                      <w:rFonts w:ascii="仿宋_GB2312" w:hAnsi="仿宋_GB2312" w:cs="仿宋_GB2312" w:eastAsia="仿宋_GB2312"/>
                    </w:rPr>
                    <w:t>产品名称</w:t>
                  </w:r>
                </w:p>
              </w:tc>
              <w:tc>
                <w:tcPr>
                  <w:tcW w:type="dxa" w:w="465"/>
                </w:tcPr>
                <w:p>
                  <w:pPr>
                    <w:pStyle w:val="null3"/>
                  </w:pPr>
                  <w:r>
                    <w:rPr>
                      <w:rFonts w:ascii="仿宋_GB2312" w:hAnsi="仿宋_GB2312" w:cs="仿宋_GB2312" w:eastAsia="仿宋_GB2312"/>
                    </w:rPr>
                    <w:t>单价限价（元）</w:t>
                  </w:r>
                </w:p>
              </w:tc>
              <w:tc>
                <w:tcPr>
                  <w:tcW w:type="dxa" w:w="465"/>
                </w:tcPr>
                <w:p>
                  <w:pPr>
                    <w:pStyle w:val="null3"/>
                  </w:pPr>
                  <w:r>
                    <w:rPr>
                      <w:rFonts w:ascii="仿宋_GB2312" w:hAnsi="仿宋_GB2312" w:cs="仿宋_GB2312" w:eastAsia="仿宋_GB2312"/>
                    </w:rPr>
                    <w:t>数量（箱）</w:t>
                  </w:r>
                </w:p>
              </w:tc>
              <w:tc>
                <w:tcPr>
                  <w:tcW w:type="dxa" w:w="465"/>
                </w:tcPr>
                <w:p>
                  <w:pPr>
                    <w:pStyle w:val="null3"/>
                  </w:pPr>
                  <w:r>
                    <w:rPr>
                      <w:rFonts w:ascii="仿宋_GB2312" w:hAnsi="仿宋_GB2312" w:cs="仿宋_GB2312" w:eastAsia="仿宋_GB2312"/>
                    </w:rPr>
                    <w:t>备注</w:t>
                  </w:r>
                </w:p>
              </w:tc>
            </w:tr>
            <w:tr>
              <w:tc>
                <w:tcPr>
                  <w:tcW w:type="dxa" w:w="465"/>
                </w:tcPr>
                <w:p>
                  <w:pPr>
                    <w:pStyle w:val="null3"/>
                  </w:pPr>
                  <w:r>
                    <w:rPr>
                      <w:rFonts w:ascii="仿宋_GB2312" w:hAnsi="仿宋_GB2312" w:cs="仿宋_GB2312" w:eastAsia="仿宋_GB2312"/>
                    </w:rPr>
                    <w:t>热敏票</w:t>
                  </w:r>
                </w:p>
              </w:tc>
              <w:tc>
                <w:tcPr>
                  <w:tcW w:type="dxa" w:w="465"/>
                </w:tcPr>
                <w:p>
                  <w:pPr>
                    <w:pStyle w:val="null3"/>
                  </w:pPr>
                  <w:r>
                    <w:rPr>
                      <w:rFonts w:ascii="仿宋_GB2312" w:hAnsi="仿宋_GB2312" w:cs="仿宋_GB2312" w:eastAsia="仿宋_GB2312"/>
                    </w:rPr>
                    <w:t>230.00</w:t>
                  </w:r>
                </w:p>
              </w:tc>
              <w:tc>
                <w:tcPr>
                  <w:tcW w:type="dxa" w:w="465"/>
                </w:tcPr>
                <w:p>
                  <w:pPr>
                    <w:pStyle w:val="null3"/>
                  </w:pPr>
                  <w:r>
                    <w:rPr>
                      <w:rFonts w:ascii="仿宋_GB2312" w:hAnsi="仿宋_GB2312" w:cs="仿宋_GB2312" w:eastAsia="仿宋_GB2312"/>
                    </w:rPr>
                    <w:t>不少于25000</w:t>
                  </w:r>
                </w:p>
              </w:tc>
              <w:tc>
                <w:tcPr>
                  <w:tcW w:type="dxa" w:w="465"/>
                </w:tcPr>
                <w:p>
                  <w:pPr>
                    <w:pStyle w:val="null3"/>
                  </w:pPr>
                  <w:r>
                    <w:rPr>
                      <w:rFonts w:ascii="仿宋_GB2312" w:hAnsi="仿宋_GB2312" w:cs="仿宋_GB2312" w:eastAsia="仿宋_GB2312"/>
                    </w:rPr>
                    <w:t>本项目招单价，投标人须以单价报价，采购数量以实际采购需求为准</w:t>
                  </w:r>
                </w:p>
              </w:tc>
            </w:tr>
          </w:tbl>
          <w:p>
            <w:pPr>
              <w:pStyle w:val="null3"/>
            </w:pPr>
            <w:r>
              <w:rPr>
                <w:rFonts w:ascii="仿宋_GB2312" w:hAnsi="仿宋_GB2312" w:cs="仿宋_GB2312" w:eastAsia="仿宋_GB2312"/>
              </w:rPr>
              <w:t>二、质量标准及要求</w:t>
            </w:r>
          </w:p>
          <w:p>
            <w:pPr>
              <w:pStyle w:val="null3"/>
            </w:pPr>
            <w:r>
              <w:rPr>
                <w:rFonts w:ascii="仿宋_GB2312" w:hAnsi="仿宋_GB2312" w:cs="仿宋_GB2312" w:eastAsia="仿宋_GB2312"/>
              </w:rPr>
              <w:t>1.符合国家体育总局体育彩票管理中心制定的《体育彩票专用热敏票技术要求及检验方法》（TY/T 3902-2019），同时能满足陕西省电脑彩票投注机机型的要求。</w:t>
            </w:r>
          </w:p>
          <w:p>
            <w:pPr>
              <w:pStyle w:val="null3"/>
            </w:pPr>
            <w:r>
              <w:rPr>
                <w:rFonts w:ascii="仿宋_GB2312" w:hAnsi="仿宋_GB2312" w:cs="仿宋_GB2312" w:eastAsia="仿宋_GB2312"/>
              </w:rPr>
              <w:t>2. 技术要求</w:t>
            </w:r>
          </w:p>
          <w:p>
            <w:pPr>
              <w:pStyle w:val="null3"/>
            </w:pPr>
            <w:r>
              <w:rPr>
                <w:rFonts w:ascii="仿宋_GB2312" w:hAnsi="仿宋_GB2312" w:cs="仿宋_GB2312" w:eastAsia="仿宋_GB2312"/>
              </w:rPr>
              <w:t>2.1 纸张性能 热敏纸张性能应符合表1要求：</w:t>
            </w:r>
          </w:p>
          <w:p>
            <w:pPr>
              <w:pStyle w:val="null3"/>
            </w:pPr>
            <w:r>
              <w:rPr>
                <w:rFonts w:ascii="仿宋_GB2312" w:hAnsi="仿宋_GB2312" w:cs="仿宋_GB2312" w:eastAsia="仿宋_GB2312"/>
              </w:rPr>
              <w:t>表1体育彩票专用热敏纸性能要求</w:t>
            </w:r>
          </w:p>
          <w:tbl>
            <w:tblPr>
              <w:tblBorders>
                <w:top w:val="single"/>
                <w:left w:val="single"/>
                <w:bottom w:val="single"/>
                <w:right w:val="single"/>
                <w:insideH w:val="single"/>
                <w:insideV w:val="single"/>
              </w:tblBorders>
            </w:tblPr>
            <w:tblGrid>
              <w:gridCol w:w="310"/>
              <w:gridCol w:w="310"/>
              <w:gridCol w:w="310"/>
              <w:gridCol w:w="310"/>
              <w:gridCol w:w="310"/>
              <w:gridCol w:w="310"/>
            </w:tblGrid>
            <w:tr>
              <w:tc>
                <w:tcPr>
                  <w:tcW w:type="dxa" w:w="310"/>
                </w:tcPr>
                <w:p>
                  <w:pPr>
                    <w:pStyle w:val="null3"/>
                  </w:pPr>
                  <w:r>
                    <w:rPr>
                      <w:rFonts w:ascii="仿宋_GB2312" w:hAnsi="仿宋_GB2312" w:cs="仿宋_GB2312" w:eastAsia="仿宋_GB2312"/>
                    </w:rPr>
                    <w:t>序号</w:t>
                  </w:r>
                </w:p>
              </w:tc>
              <w:tc>
                <w:tcPr>
                  <w:tcW w:type="dxa" w:w="930"/>
                  <w:gridSpan w:val="3"/>
                </w:tcPr>
                <w:p>
                  <w:pPr>
                    <w:pStyle w:val="null3"/>
                  </w:pPr>
                  <w:r>
                    <w:rPr>
                      <w:rFonts w:ascii="仿宋_GB2312" w:hAnsi="仿宋_GB2312" w:cs="仿宋_GB2312" w:eastAsia="仿宋_GB2312"/>
                    </w:rPr>
                    <w:t>指标名称</w:t>
                  </w:r>
                </w:p>
              </w:tc>
              <w:tc>
                <w:tcPr>
                  <w:tcW w:type="dxa" w:w="310"/>
                </w:tcPr>
                <w:p>
                  <w:pPr>
                    <w:pStyle w:val="null3"/>
                  </w:pPr>
                  <w:r>
                    <w:rPr>
                      <w:rFonts w:ascii="仿宋_GB2312" w:hAnsi="仿宋_GB2312" w:cs="仿宋_GB2312" w:eastAsia="仿宋_GB2312"/>
                    </w:rPr>
                    <w:t>单位</w:t>
                  </w:r>
                </w:p>
              </w:tc>
              <w:tc>
                <w:tcPr>
                  <w:tcW w:type="dxa" w:w="310"/>
                </w:tcPr>
                <w:p>
                  <w:pPr>
                    <w:pStyle w:val="null3"/>
                  </w:pPr>
                  <w:r>
                    <w:rPr>
                      <w:rFonts w:ascii="仿宋_GB2312" w:hAnsi="仿宋_GB2312" w:cs="仿宋_GB2312" w:eastAsia="仿宋_GB2312"/>
                    </w:rPr>
                    <w:t>技术要求</w:t>
                  </w:r>
                </w:p>
              </w:tc>
            </w:tr>
            <w:tr>
              <w:tc>
                <w:tcPr>
                  <w:tcW w:type="dxa" w:w="310"/>
                </w:tcPr>
                <w:p>
                  <w:pPr>
                    <w:pStyle w:val="null3"/>
                  </w:pPr>
                  <w:r>
                    <w:rPr>
                      <w:rFonts w:ascii="仿宋_GB2312" w:hAnsi="仿宋_GB2312" w:cs="仿宋_GB2312" w:eastAsia="仿宋_GB2312"/>
                    </w:rPr>
                    <w:t>1</w:t>
                  </w:r>
                </w:p>
              </w:tc>
              <w:tc>
                <w:tcPr>
                  <w:tcW w:type="dxa" w:w="310"/>
                  <w:vMerge w:val="restart"/>
                </w:tcPr>
                <w:p>
                  <w:pPr>
                    <w:pStyle w:val="null3"/>
                  </w:pPr>
                  <w:r>
                    <w:rPr>
                      <w:rFonts w:ascii="仿宋_GB2312" w:hAnsi="仿宋_GB2312" w:cs="仿宋_GB2312" w:eastAsia="仿宋_GB2312"/>
                    </w:rPr>
                    <w:t>物理</w:t>
                  </w:r>
                </w:p>
                <w:p>
                  <w:pPr>
                    <w:pStyle w:val="null3"/>
                  </w:pPr>
                  <w:r>
                    <w:rPr>
                      <w:rFonts w:ascii="仿宋_GB2312" w:hAnsi="仿宋_GB2312" w:cs="仿宋_GB2312" w:eastAsia="仿宋_GB2312"/>
                    </w:rPr>
                    <w:t>性能</w:t>
                  </w:r>
                </w:p>
              </w:tc>
              <w:tc>
                <w:tcPr>
                  <w:tcW w:type="dxa" w:w="620"/>
                  <w:gridSpan w:val="2"/>
                </w:tcPr>
                <w:p>
                  <w:pPr>
                    <w:pStyle w:val="null3"/>
                  </w:pPr>
                  <w:r>
                    <w:rPr>
                      <w:rFonts w:ascii="仿宋_GB2312" w:hAnsi="仿宋_GB2312" w:cs="仿宋_GB2312" w:eastAsia="仿宋_GB2312"/>
                    </w:rPr>
                    <w:t>定量</w:t>
                  </w:r>
                </w:p>
              </w:tc>
              <w:tc>
                <w:tcPr>
                  <w:tcW w:type="dxa" w:w="310"/>
                </w:tcPr>
                <w:p>
                  <w:pPr>
                    <w:pStyle w:val="null3"/>
                  </w:pPr>
                  <w:r>
                    <w:rPr>
                      <w:rFonts w:ascii="仿宋_GB2312" w:hAnsi="仿宋_GB2312" w:cs="仿宋_GB2312" w:eastAsia="仿宋_GB2312"/>
                    </w:rPr>
                    <w:t>g/㎡</w:t>
                  </w:r>
                </w:p>
              </w:tc>
              <w:tc>
                <w:tcPr>
                  <w:tcW w:type="dxa" w:w="310"/>
                </w:tcPr>
                <w:p>
                  <w:pPr>
                    <w:pStyle w:val="null3"/>
                  </w:pPr>
                  <w:r>
                    <w:rPr>
                      <w:rFonts w:ascii="仿宋_GB2312" w:hAnsi="仿宋_GB2312" w:cs="仿宋_GB2312" w:eastAsia="仿宋_GB2312"/>
                    </w:rPr>
                    <w:t>75.0× (1±5%)</w:t>
                  </w:r>
                </w:p>
              </w:tc>
            </w:tr>
            <w:tr>
              <w:tc>
                <w:tcPr>
                  <w:tcW w:type="dxa" w:w="310"/>
                </w:tcPr>
                <w:p>
                  <w:pPr>
                    <w:pStyle w:val="null3"/>
                  </w:pPr>
                  <w:r>
                    <w:rPr>
                      <w:rFonts w:ascii="仿宋_GB2312" w:hAnsi="仿宋_GB2312" w:cs="仿宋_GB2312" w:eastAsia="仿宋_GB2312"/>
                    </w:rPr>
                    <w:t>2</w:t>
                  </w:r>
                </w:p>
              </w:tc>
              <w:tc>
                <w:tcPr>
                  <w:tcW w:type="dxa" w:w="310"/>
                  <w:vMerge/>
                </w:tcPr>
                <w:p/>
              </w:tc>
              <w:tc>
                <w:tcPr>
                  <w:tcW w:type="dxa" w:w="620"/>
                  <w:gridSpan w:val="2"/>
                </w:tcPr>
                <w:p>
                  <w:pPr>
                    <w:pStyle w:val="null3"/>
                  </w:pPr>
                  <w:r>
                    <w:rPr>
                      <w:rFonts w:ascii="仿宋_GB2312" w:hAnsi="仿宋_GB2312" w:cs="仿宋_GB2312" w:eastAsia="仿宋_GB2312"/>
                    </w:rPr>
                    <w:t>厚度</w:t>
                  </w:r>
                </w:p>
              </w:tc>
              <w:tc>
                <w:tcPr>
                  <w:tcW w:type="dxa" w:w="310"/>
                </w:tcPr>
                <w:p>
                  <w:pPr>
                    <w:pStyle w:val="null3"/>
                  </w:pPr>
                  <w:r>
                    <w:rPr>
                      <w:rFonts w:ascii="仿宋_GB2312" w:hAnsi="仿宋_GB2312" w:cs="仿宋_GB2312" w:eastAsia="仿宋_GB2312"/>
                    </w:rPr>
                    <w:t>um</w:t>
                  </w:r>
                </w:p>
              </w:tc>
              <w:tc>
                <w:tcPr>
                  <w:tcW w:type="dxa" w:w="310"/>
                </w:tcPr>
                <w:p>
                  <w:pPr>
                    <w:pStyle w:val="null3"/>
                  </w:pPr>
                  <w:r>
                    <w:rPr>
                      <w:rFonts w:ascii="仿宋_GB2312" w:hAnsi="仿宋_GB2312" w:cs="仿宋_GB2312" w:eastAsia="仿宋_GB2312"/>
                    </w:rPr>
                    <w:t>80±3</w:t>
                  </w:r>
                </w:p>
              </w:tc>
            </w:tr>
            <w:tr>
              <w:tc>
                <w:tcPr>
                  <w:tcW w:type="dxa" w:w="310"/>
                </w:tcPr>
                <w:p>
                  <w:pPr>
                    <w:pStyle w:val="null3"/>
                  </w:pPr>
                  <w:r>
                    <w:rPr>
                      <w:rFonts w:ascii="仿宋_GB2312" w:hAnsi="仿宋_GB2312" w:cs="仿宋_GB2312" w:eastAsia="仿宋_GB2312"/>
                    </w:rPr>
                    <w:t>3</w:t>
                  </w:r>
                </w:p>
              </w:tc>
              <w:tc>
                <w:tcPr>
                  <w:tcW w:type="dxa" w:w="310"/>
                  <w:vMerge/>
                </w:tcPr>
                <w:p/>
              </w:tc>
              <w:tc>
                <w:tcPr>
                  <w:tcW w:type="dxa" w:w="620"/>
                  <w:gridSpan w:val="2"/>
                </w:tcPr>
                <w:p>
                  <w:pPr>
                    <w:pStyle w:val="null3"/>
                  </w:pPr>
                  <w:r>
                    <w:rPr>
                      <w:rFonts w:ascii="仿宋_GB2312" w:hAnsi="仿宋_GB2312" w:cs="仿宋_GB2312" w:eastAsia="仿宋_GB2312"/>
                    </w:rPr>
                    <w:t>白度</w:t>
                  </w:r>
                </w:p>
              </w:tc>
              <w:tc>
                <w:tcPr>
                  <w:tcW w:type="dxa" w:w="310"/>
                </w:tcPr>
                <w:p>
                  <w:pPr>
                    <w:pStyle w:val="null3"/>
                  </w:pPr>
                  <w:r>
                    <w:rPr>
                      <w:rFonts w:ascii="仿宋_GB2312" w:hAnsi="仿宋_GB2312" w:cs="仿宋_GB2312" w:eastAsia="仿宋_GB2312"/>
                    </w:rPr>
                    <w:t>%</w:t>
                  </w:r>
                </w:p>
              </w:tc>
              <w:tc>
                <w:tcPr>
                  <w:tcW w:type="dxa" w:w="310"/>
                </w:tcPr>
                <w:p>
                  <w:pPr>
                    <w:pStyle w:val="null3"/>
                  </w:pPr>
                  <w:r>
                    <w:rPr>
                      <w:rFonts w:ascii="仿宋_GB2312" w:hAnsi="仿宋_GB2312" w:cs="仿宋_GB2312" w:eastAsia="仿宋_GB2312"/>
                    </w:rPr>
                    <w:t>85±5</w:t>
                  </w:r>
                </w:p>
              </w:tc>
            </w:tr>
            <w:tr>
              <w:tc>
                <w:tcPr>
                  <w:tcW w:type="dxa" w:w="310"/>
                </w:tcPr>
                <w:p>
                  <w:pPr>
                    <w:pStyle w:val="null3"/>
                  </w:pPr>
                  <w:r>
                    <w:rPr>
                      <w:rFonts w:ascii="仿宋_GB2312" w:hAnsi="仿宋_GB2312" w:cs="仿宋_GB2312" w:eastAsia="仿宋_GB2312"/>
                    </w:rPr>
                    <w:t>4</w:t>
                  </w:r>
                </w:p>
              </w:tc>
              <w:tc>
                <w:tcPr>
                  <w:tcW w:type="dxa" w:w="310"/>
                  <w:vMerge/>
                </w:tcPr>
                <w:p/>
              </w:tc>
              <w:tc>
                <w:tcPr>
                  <w:tcW w:type="dxa" w:w="620"/>
                  <w:gridSpan w:val="2"/>
                </w:tcPr>
                <w:p>
                  <w:pPr>
                    <w:pStyle w:val="null3"/>
                  </w:pPr>
                  <w:r>
                    <w:rPr>
                      <w:rFonts w:ascii="仿宋_GB2312" w:hAnsi="仿宋_GB2312" w:cs="仿宋_GB2312" w:eastAsia="仿宋_GB2312"/>
                    </w:rPr>
                    <w:t>平滑度</w:t>
                  </w:r>
                </w:p>
              </w:tc>
              <w:tc>
                <w:tcPr>
                  <w:tcW w:type="dxa" w:w="310"/>
                </w:tcPr>
                <w:p>
                  <w:pPr>
                    <w:pStyle w:val="null3"/>
                  </w:pPr>
                  <w:r>
                    <w:rPr>
                      <w:rFonts w:ascii="仿宋_GB2312" w:hAnsi="仿宋_GB2312" w:cs="仿宋_GB2312" w:eastAsia="仿宋_GB2312"/>
                    </w:rPr>
                    <w:t>s</w:t>
                  </w:r>
                </w:p>
              </w:tc>
              <w:tc>
                <w:tcPr>
                  <w:tcW w:type="dxa" w:w="310"/>
                </w:tcPr>
                <w:p>
                  <w:pPr>
                    <w:pStyle w:val="null3"/>
                  </w:pPr>
                  <w:r>
                    <w:rPr>
                      <w:rFonts w:ascii="仿宋_GB2312" w:hAnsi="仿宋_GB2312" w:cs="仿宋_GB2312" w:eastAsia="仿宋_GB2312"/>
                    </w:rPr>
                    <w:t>﹥800</w:t>
                  </w:r>
                </w:p>
              </w:tc>
            </w:tr>
            <w:tr>
              <w:tc>
                <w:tcPr>
                  <w:tcW w:type="dxa" w:w="310"/>
                </w:tcPr>
                <w:p>
                  <w:pPr>
                    <w:pStyle w:val="null3"/>
                  </w:pPr>
                  <w:r>
                    <w:rPr>
                      <w:rFonts w:ascii="仿宋_GB2312" w:hAnsi="仿宋_GB2312" w:cs="仿宋_GB2312" w:eastAsia="仿宋_GB2312"/>
                    </w:rPr>
                    <w:t>5</w:t>
                  </w:r>
                </w:p>
              </w:tc>
              <w:tc>
                <w:tcPr>
                  <w:tcW w:type="dxa" w:w="310"/>
                  <w:vMerge w:val="restart"/>
                </w:tcPr>
                <w:p>
                  <w:pPr>
                    <w:pStyle w:val="null3"/>
                  </w:pPr>
                  <w:r>
                    <w:rPr>
                      <w:rFonts w:ascii="仿宋_GB2312" w:hAnsi="仿宋_GB2312" w:cs="仿宋_GB2312" w:eastAsia="仿宋_GB2312"/>
                    </w:rPr>
                    <w:t>发色</w:t>
                  </w:r>
                </w:p>
                <w:p>
                  <w:pPr>
                    <w:pStyle w:val="null3"/>
                  </w:pPr>
                  <w:r>
                    <w:rPr>
                      <w:rFonts w:ascii="仿宋_GB2312" w:hAnsi="仿宋_GB2312" w:cs="仿宋_GB2312" w:eastAsia="仿宋_GB2312"/>
                    </w:rPr>
                    <w:t>性能</w:t>
                  </w:r>
                </w:p>
              </w:tc>
              <w:tc>
                <w:tcPr>
                  <w:tcW w:type="dxa" w:w="620"/>
                  <w:gridSpan w:val="2"/>
                </w:tcPr>
                <w:p>
                  <w:pPr>
                    <w:pStyle w:val="null3"/>
                  </w:pPr>
                  <w:r>
                    <w:rPr>
                      <w:rFonts w:ascii="仿宋_GB2312" w:hAnsi="仿宋_GB2312" w:cs="仿宋_GB2312" w:eastAsia="仿宋_GB2312"/>
                    </w:rPr>
                    <w:t>70ºC 发色光密度值</w:t>
                  </w:r>
                </w:p>
              </w:tc>
              <w:tc>
                <w:tcPr>
                  <w:tcW w:type="dxa" w:w="310"/>
                </w:tcPr>
                <w:p>
                  <w:pPr>
                    <w:pStyle w:val="null3"/>
                  </w:pPr>
                  <w:r>
                    <w:rPr>
                      <w:rFonts w:ascii="仿宋_GB2312" w:hAnsi="仿宋_GB2312" w:cs="仿宋_GB2312" w:eastAsia="仿宋_GB2312"/>
                    </w:rPr>
                    <w:t>--</w:t>
                  </w:r>
                </w:p>
              </w:tc>
              <w:tc>
                <w:tcPr>
                  <w:tcW w:type="dxa" w:w="310"/>
                </w:tcPr>
                <w:p>
                  <w:pPr>
                    <w:pStyle w:val="null3"/>
                  </w:pPr>
                  <w:r>
                    <w:rPr>
                      <w:rFonts w:ascii="仿宋_GB2312" w:hAnsi="仿宋_GB2312" w:cs="仿宋_GB2312" w:eastAsia="仿宋_GB2312"/>
                    </w:rPr>
                    <w:t>≤0.25</w:t>
                  </w:r>
                </w:p>
              </w:tc>
            </w:tr>
            <w:tr>
              <w:tc>
                <w:tcPr>
                  <w:tcW w:type="dxa" w:w="310"/>
                </w:tcPr>
                <w:p>
                  <w:pPr>
                    <w:pStyle w:val="null3"/>
                  </w:pPr>
                  <w:r>
                    <w:rPr>
                      <w:rFonts w:ascii="仿宋_GB2312" w:hAnsi="仿宋_GB2312" w:cs="仿宋_GB2312" w:eastAsia="仿宋_GB2312"/>
                    </w:rPr>
                    <w:t>6</w:t>
                  </w:r>
                </w:p>
              </w:tc>
              <w:tc>
                <w:tcPr>
                  <w:tcW w:type="dxa" w:w="310"/>
                  <w:vMerge/>
                </w:tcPr>
                <w:p/>
              </w:tc>
              <w:tc>
                <w:tcPr>
                  <w:tcW w:type="dxa" w:w="620"/>
                  <w:gridSpan w:val="2"/>
                </w:tcPr>
                <w:p>
                  <w:pPr>
                    <w:pStyle w:val="null3"/>
                  </w:pPr>
                  <w:r>
                    <w:rPr>
                      <w:rFonts w:ascii="仿宋_GB2312" w:hAnsi="仿宋_GB2312" w:cs="仿宋_GB2312" w:eastAsia="仿宋_GB2312"/>
                    </w:rPr>
                    <w:t>饱和发色 光密度值</w:t>
                  </w:r>
                </w:p>
              </w:tc>
              <w:tc>
                <w:tcPr>
                  <w:tcW w:type="dxa" w:w="310"/>
                </w:tcPr>
                <w:p>
                  <w:pPr>
                    <w:pStyle w:val="null3"/>
                  </w:pPr>
                  <w:r>
                    <w:rPr>
                      <w:rFonts w:ascii="仿宋_GB2312" w:hAnsi="仿宋_GB2312" w:cs="仿宋_GB2312" w:eastAsia="仿宋_GB2312"/>
                    </w:rPr>
                    <w:t>--</w:t>
                  </w:r>
                </w:p>
              </w:tc>
              <w:tc>
                <w:tcPr>
                  <w:tcW w:type="dxa" w:w="310"/>
                </w:tcPr>
                <w:p>
                  <w:pPr>
                    <w:pStyle w:val="null3"/>
                  </w:pPr>
                  <w:r>
                    <w:rPr>
                      <w:rFonts w:ascii="仿宋_GB2312" w:hAnsi="仿宋_GB2312" w:cs="仿宋_GB2312" w:eastAsia="仿宋_GB2312"/>
                    </w:rPr>
                    <w:t>≥1.10</w:t>
                  </w:r>
                </w:p>
              </w:tc>
            </w:tr>
            <w:tr>
              <w:tc>
                <w:tcPr>
                  <w:tcW w:type="dxa" w:w="310"/>
                </w:tcPr>
                <w:p>
                  <w:pPr>
                    <w:pStyle w:val="null3"/>
                  </w:pPr>
                  <w:r>
                    <w:rPr>
                      <w:rFonts w:ascii="仿宋_GB2312" w:hAnsi="仿宋_GB2312" w:cs="仿宋_GB2312" w:eastAsia="仿宋_GB2312"/>
                    </w:rPr>
                    <w:t>7</w:t>
                  </w:r>
                </w:p>
              </w:tc>
              <w:tc>
                <w:tcPr>
                  <w:tcW w:type="dxa" w:w="310"/>
                  <w:vMerge w:val="restart"/>
                </w:tcPr>
                <w:p>
                  <w:pPr>
                    <w:pStyle w:val="null3"/>
                  </w:pPr>
                  <w:r>
                    <w:rPr>
                      <w:rFonts w:ascii="仿宋_GB2312" w:hAnsi="仿宋_GB2312" w:cs="仿宋_GB2312" w:eastAsia="仿宋_GB2312"/>
                    </w:rPr>
                    <w:t>图像</w:t>
                  </w:r>
                </w:p>
                <w:p>
                  <w:pPr>
                    <w:pStyle w:val="null3"/>
                  </w:pPr>
                  <w:r>
                    <w:rPr>
                      <w:rFonts w:ascii="仿宋_GB2312" w:hAnsi="仿宋_GB2312" w:cs="仿宋_GB2312" w:eastAsia="仿宋_GB2312"/>
                    </w:rPr>
                    <w:t>保存</w:t>
                  </w:r>
                </w:p>
                <w:p>
                  <w:pPr>
                    <w:pStyle w:val="null3"/>
                  </w:pPr>
                  <w:r>
                    <w:rPr>
                      <w:rFonts w:ascii="仿宋_GB2312" w:hAnsi="仿宋_GB2312" w:cs="仿宋_GB2312" w:eastAsia="仿宋_GB2312"/>
                    </w:rPr>
                    <w:t>性能</w:t>
                  </w:r>
                </w:p>
              </w:tc>
              <w:tc>
                <w:tcPr>
                  <w:tcW w:type="dxa" w:w="310"/>
                  <w:vMerge w:val="restart"/>
                </w:tcPr>
                <w:p>
                  <w:pPr>
                    <w:pStyle w:val="null3"/>
                  </w:pPr>
                  <w:r>
                    <w:rPr>
                      <w:rFonts w:ascii="仿宋_GB2312" w:hAnsi="仿宋_GB2312" w:cs="仿宋_GB2312" w:eastAsia="仿宋_GB2312"/>
                    </w:rPr>
                    <w:t xml:space="preserve"> </w:t>
                  </w:r>
                </w:p>
                <w:p>
                  <w:pPr>
                    <w:pStyle w:val="null3"/>
                  </w:pPr>
                  <w:r>
                    <w:rPr>
                      <w:rFonts w:ascii="仿宋_GB2312" w:hAnsi="仿宋_GB2312" w:cs="仿宋_GB2312" w:eastAsia="仿宋_GB2312"/>
                    </w:rPr>
                    <w:t>耐光</w:t>
                  </w:r>
                </w:p>
                <w:p>
                  <w:pPr>
                    <w:pStyle w:val="null3"/>
                  </w:pPr>
                  <w:r>
                    <w:rPr>
                      <w:rFonts w:ascii="仿宋_GB2312" w:hAnsi="仿宋_GB2312" w:cs="仿宋_GB2312" w:eastAsia="仿宋_GB2312"/>
                    </w:rPr>
                    <w:t>性能</w:t>
                  </w:r>
                </w:p>
              </w:tc>
              <w:tc>
                <w:tcPr>
                  <w:tcW w:type="dxa" w:w="310"/>
                </w:tcPr>
                <w:p>
                  <w:pPr>
                    <w:pStyle w:val="null3"/>
                  </w:pPr>
                  <w:r>
                    <w:rPr>
                      <w:rFonts w:ascii="仿宋_GB2312" w:hAnsi="仿宋_GB2312" w:cs="仿宋_GB2312" w:eastAsia="仿宋_GB2312"/>
                    </w:rPr>
                    <w:t>空白部分密度值</w:t>
                  </w:r>
                </w:p>
              </w:tc>
              <w:tc>
                <w:tcPr>
                  <w:tcW w:type="dxa" w:w="310"/>
                </w:tcPr>
                <w:p>
                  <w:pPr>
                    <w:pStyle w:val="null3"/>
                  </w:pPr>
                  <w:r>
                    <w:rPr>
                      <w:rFonts w:ascii="仿宋_GB2312" w:hAnsi="仿宋_GB2312" w:cs="仿宋_GB2312" w:eastAsia="仿宋_GB2312"/>
                    </w:rPr>
                    <w:t>--</w:t>
                  </w:r>
                </w:p>
              </w:tc>
              <w:tc>
                <w:tcPr>
                  <w:tcW w:type="dxa" w:w="310"/>
                </w:tcPr>
                <w:p>
                  <w:pPr>
                    <w:pStyle w:val="null3"/>
                  </w:pPr>
                  <w:r>
                    <w:rPr>
                      <w:rFonts w:ascii="仿宋_GB2312" w:hAnsi="仿宋_GB2312" w:cs="仿宋_GB2312" w:eastAsia="仿宋_GB2312"/>
                    </w:rPr>
                    <w:t>≤0.25</w:t>
                  </w:r>
                </w:p>
              </w:tc>
            </w:tr>
            <w:tr>
              <w:tc>
                <w:tcPr>
                  <w:tcW w:type="dxa" w:w="310"/>
                </w:tcPr>
                <w:p>
                  <w:pPr>
                    <w:pStyle w:val="null3"/>
                  </w:pPr>
                  <w:r>
                    <w:rPr>
                      <w:rFonts w:ascii="仿宋_GB2312" w:hAnsi="仿宋_GB2312" w:cs="仿宋_GB2312" w:eastAsia="仿宋_GB2312"/>
                    </w:rPr>
                    <w:t>8</w:t>
                  </w:r>
                </w:p>
              </w:tc>
              <w:tc>
                <w:tcPr>
                  <w:tcW w:type="dxa" w:w="310"/>
                  <w:vMerge/>
                </w:tcPr>
                <w:p/>
              </w:tc>
              <w:tc>
                <w:tcPr>
                  <w:tcW w:type="dxa" w:w="310"/>
                  <w:vMerge/>
                </w:tcPr>
                <w:p/>
              </w:tc>
              <w:tc>
                <w:tcPr>
                  <w:tcW w:type="dxa" w:w="310"/>
                </w:tcPr>
                <w:p>
                  <w:pPr>
                    <w:pStyle w:val="null3"/>
                  </w:pPr>
                  <w:r>
                    <w:rPr>
                      <w:rFonts w:ascii="仿宋_GB2312" w:hAnsi="仿宋_GB2312" w:cs="仿宋_GB2312" w:eastAsia="仿宋_GB2312"/>
                    </w:rPr>
                    <w:t>显色部分密度值</w:t>
                  </w:r>
                </w:p>
              </w:tc>
              <w:tc>
                <w:tcPr>
                  <w:tcW w:type="dxa" w:w="310"/>
                </w:tcPr>
                <w:p>
                  <w:pPr>
                    <w:pStyle w:val="null3"/>
                  </w:pPr>
                  <w:r>
                    <w:rPr>
                      <w:rFonts w:ascii="仿宋_GB2312" w:hAnsi="仿宋_GB2312" w:cs="仿宋_GB2312" w:eastAsia="仿宋_GB2312"/>
                    </w:rPr>
                    <w:t>--</w:t>
                  </w:r>
                </w:p>
              </w:tc>
              <w:tc>
                <w:tcPr>
                  <w:tcW w:type="dxa" w:w="310"/>
                </w:tcPr>
                <w:p>
                  <w:pPr>
                    <w:pStyle w:val="null3"/>
                  </w:pPr>
                  <w:r>
                    <w:rPr>
                      <w:rFonts w:ascii="仿宋_GB2312" w:hAnsi="仿宋_GB2312" w:cs="仿宋_GB2312" w:eastAsia="仿宋_GB2312"/>
                    </w:rPr>
                    <w:t>≥1.0</w:t>
                  </w:r>
                </w:p>
              </w:tc>
            </w:tr>
            <w:tr>
              <w:tc>
                <w:tcPr>
                  <w:tcW w:type="dxa" w:w="310"/>
                </w:tcPr>
                <w:p>
                  <w:pPr>
                    <w:pStyle w:val="null3"/>
                  </w:pPr>
                  <w:r>
                    <w:rPr>
                      <w:rFonts w:ascii="仿宋_GB2312" w:hAnsi="仿宋_GB2312" w:cs="仿宋_GB2312" w:eastAsia="仿宋_GB2312"/>
                    </w:rPr>
                    <w:t>9</w:t>
                  </w:r>
                </w:p>
              </w:tc>
              <w:tc>
                <w:tcPr>
                  <w:tcW w:type="dxa" w:w="310"/>
                  <w:vMerge/>
                </w:tcPr>
                <w:p/>
              </w:tc>
              <w:tc>
                <w:tcPr>
                  <w:tcW w:type="dxa" w:w="310"/>
                  <w:vMerge w:val="restart"/>
                </w:tcPr>
                <w:p>
                  <w:pPr>
                    <w:pStyle w:val="null3"/>
                  </w:pPr>
                  <w:r>
                    <w:rPr>
                      <w:rFonts w:ascii="仿宋_GB2312" w:hAnsi="仿宋_GB2312" w:cs="仿宋_GB2312" w:eastAsia="仿宋_GB2312"/>
                    </w:rPr>
                    <w:t>耐热</w:t>
                  </w:r>
                </w:p>
                <w:p>
                  <w:pPr>
                    <w:pStyle w:val="null3"/>
                  </w:pPr>
                  <w:r>
                    <w:rPr>
                      <w:rFonts w:ascii="仿宋_GB2312" w:hAnsi="仿宋_GB2312" w:cs="仿宋_GB2312" w:eastAsia="仿宋_GB2312"/>
                    </w:rPr>
                    <w:t>性能</w:t>
                  </w:r>
                </w:p>
              </w:tc>
              <w:tc>
                <w:tcPr>
                  <w:tcW w:type="dxa" w:w="310"/>
                </w:tcPr>
                <w:p>
                  <w:pPr>
                    <w:pStyle w:val="null3"/>
                  </w:pPr>
                  <w:r>
                    <w:rPr>
                      <w:rFonts w:ascii="仿宋_GB2312" w:hAnsi="仿宋_GB2312" w:cs="仿宋_GB2312" w:eastAsia="仿宋_GB2312"/>
                    </w:rPr>
                    <w:t>空白部分密度值</w:t>
                  </w:r>
                </w:p>
              </w:tc>
              <w:tc>
                <w:tcPr>
                  <w:tcW w:type="dxa" w:w="310"/>
                </w:tcPr>
                <w:p>
                  <w:pPr>
                    <w:pStyle w:val="null3"/>
                  </w:pPr>
                  <w:r>
                    <w:rPr>
                      <w:rFonts w:ascii="仿宋_GB2312" w:hAnsi="仿宋_GB2312" w:cs="仿宋_GB2312" w:eastAsia="仿宋_GB2312"/>
                    </w:rPr>
                    <w:t xml:space="preserve"> </w:t>
                  </w:r>
                </w:p>
                <w:p>
                  <w:pPr>
                    <w:pStyle w:val="null3"/>
                  </w:pPr>
                  <w:r>
                    <w:rPr>
                      <w:rFonts w:ascii="仿宋_GB2312" w:hAnsi="仿宋_GB2312" w:cs="仿宋_GB2312" w:eastAsia="仿宋_GB2312"/>
                    </w:rPr>
                    <w:t>--</w:t>
                  </w:r>
                </w:p>
              </w:tc>
              <w:tc>
                <w:tcPr>
                  <w:tcW w:type="dxa" w:w="310"/>
                </w:tcPr>
                <w:p>
                  <w:pPr>
                    <w:pStyle w:val="null3"/>
                  </w:pPr>
                  <w:r>
                    <w:rPr>
                      <w:rFonts w:ascii="仿宋_GB2312" w:hAnsi="仿宋_GB2312" w:cs="仿宋_GB2312" w:eastAsia="仿宋_GB2312"/>
                    </w:rPr>
                    <w:t>≤0.25</w:t>
                  </w:r>
                </w:p>
              </w:tc>
            </w:tr>
            <w:tr>
              <w:tc>
                <w:tcPr>
                  <w:tcW w:type="dxa" w:w="310"/>
                </w:tcPr>
                <w:p>
                  <w:pPr>
                    <w:pStyle w:val="null3"/>
                  </w:pPr>
                  <w:r>
                    <w:rPr>
                      <w:rFonts w:ascii="仿宋_GB2312" w:hAnsi="仿宋_GB2312" w:cs="仿宋_GB2312" w:eastAsia="仿宋_GB2312"/>
                    </w:rPr>
                    <w:t>10</w:t>
                  </w:r>
                </w:p>
              </w:tc>
              <w:tc>
                <w:tcPr>
                  <w:tcW w:type="dxa" w:w="310"/>
                  <w:vMerge/>
                </w:tcPr>
                <w:p/>
              </w:tc>
              <w:tc>
                <w:tcPr>
                  <w:tcW w:type="dxa" w:w="310"/>
                  <w:vMerge/>
                </w:tcPr>
                <w:p/>
              </w:tc>
              <w:tc>
                <w:tcPr>
                  <w:tcW w:type="dxa" w:w="310"/>
                </w:tcPr>
                <w:p>
                  <w:pPr>
                    <w:pStyle w:val="null3"/>
                  </w:pPr>
                  <w:r>
                    <w:rPr>
                      <w:rFonts w:ascii="仿宋_GB2312" w:hAnsi="仿宋_GB2312" w:cs="仿宋_GB2312" w:eastAsia="仿宋_GB2312"/>
                    </w:rPr>
                    <w:t>显色部分密度值</w:t>
                  </w:r>
                </w:p>
              </w:tc>
              <w:tc>
                <w:tcPr>
                  <w:tcW w:type="dxa" w:w="310"/>
                </w:tcPr>
                <w:p>
                  <w:pPr>
                    <w:pStyle w:val="null3"/>
                  </w:pPr>
                  <w:r>
                    <w:rPr>
                      <w:rFonts w:ascii="仿宋_GB2312" w:hAnsi="仿宋_GB2312" w:cs="仿宋_GB2312" w:eastAsia="仿宋_GB2312"/>
                    </w:rPr>
                    <w:t xml:space="preserve"> </w:t>
                  </w:r>
                </w:p>
                <w:p>
                  <w:pPr>
                    <w:pStyle w:val="null3"/>
                  </w:pPr>
                  <w:r>
                    <w:rPr>
                      <w:rFonts w:ascii="仿宋_GB2312" w:hAnsi="仿宋_GB2312" w:cs="仿宋_GB2312" w:eastAsia="仿宋_GB2312"/>
                    </w:rPr>
                    <w:t>--</w:t>
                  </w:r>
                </w:p>
              </w:tc>
              <w:tc>
                <w:tcPr>
                  <w:tcW w:type="dxa" w:w="310"/>
                </w:tcPr>
                <w:p>
                  <w:pPr>
                    <w:pStyle w:val="null3"/>
                  </w:pPr>
                  <w:r>
                    <w:rPr>
                      <w:rFonts w:ascii="仿宋_GB2312" w:hAnsi="仿宋_GB2312" w:cs="仿宋_GB2312" w:eastAsia="仿宋_GB2312"/>
                    </w:rPr>
                    <w:t>≥1.0</w:t>
                  </w:r>
                </w:p>
              </w:tc>
            </w:tr>
            <w:tr>
              <w:tc>
                <w:tcPr>
                  <w:tcW w:type="dxa" w:w="310"/>
                </w:tcPr>
                <w:p>
                  <w:pPr>
                    <w:pStyle w:val="null3"/>
                  </w:pPr>
                  <w:r>
                    <w:rPr>
                      <w:rFonts w:ascii="仿宋_GB2312" w:hAnsi="仿宋_GB2312" w:cs="仿宋_GB2312" w:eastAsia="仿宋_GB2312"/>
                    </w:rPr>
                    <w:t>11</w:t>
                  </w:r>
                </w:p>
              </w:tc>
              <w:tc>
                <w:tcPr>
                  <w:tcW w:type="dxa" w:w="310"/>
                  <w:vMerge w:val="restart"/>
                </w:tcPr>
                <w:p>
                  <w:pPr>
                    <w:pStyle w:val="null3"/>
                  </w:pPr>
                  <w:r>
                    <w:rPr>
                      <w:rFonts w:ascii="仿宋_GB2312" w:hAnsi="仿宋_GB2312" w:cs="仿宋_GB2312" w:eastAsia="仿宋_GB2312"/>
                    </w:rPr>
                    <w:t>图像</w:t>
                  </w:r>
                </w:p>
                <w:p>
                  <w:pPr>
                    <w:pStyle w:val="null3"/>
                  </w:pPr>
                  <w:r>
                    <w:rPr>
                      <w:rFonts w:ascii="仿宋_GB2312" w:hAnsi="仿宋_GB2312" w:cs="仿宋_GB2312" w:eastAsia="仿宋_GB2312"/>
                    </w:rPr>
                    <w:t>防护</w:t>
                  </w:r>
                </w:p>
                <w:p>
                  <w:pPr>
                    <w:pStyle w:val="null3"/>
                  </w:pPr>
                  <w:r>
                    <w:rPr>
                      <w:rFonts w:ascii="仿宋_GB2312" w:hAnsi="仿宋_GB2312" w:cs="仿宋_GB2312" w:eastAsia="仿宋_GB2312"/>
                    </w:rPr>
                    <w:t>性能</w:t>
                  </w:r>
                </w:p>
              </w:tc>
              <w:tc>
                <w:tcPr>
                  <w:tcW w:type="dxa" w:w="310"/>
                </w:tcPr>
                <w:p>
                  <w:pPr>
                    <w:pStyle w:val="null3"/>
                  </w:pPr>
                  <w:r>
                    <w:rPr>
                      <w:rFonts w:ascii="仿宋_GB2312" w:hAnsi="仿宋_GB2312" w:cs="仿宋_GB2312" w:eastAsia="仿宋_GB2312"/>
                    </w:rPr>
                    <w:t>防水性能</w:t>
                  </w:r>
                </w:p>
              </w:tc>
              <w:tc>
                <w:tcPr>
                  <w:tcW w:type="dxa" w:w="310"/>
                </w:tcPr>
                <w:p>
                  <w:pPr>
                    <w:pStyle w:val="null3"/>
                  </w:pPr>
                  <w:r>
                    <w:rPr>
                      <w:rFonts w:ascii="仿宋_GB2312" w:hAnsi="仿宋_GB2312" w:cs="仿宋_GB2312" w:eastAsia="仿宋_GB2312"/>
                    </w:rPr>
                    <w:t>图像保留率</w:t>
                  </w:r>
                </w:p>
              </w:tc>
              <w:tc>
                <w:tcPr>
                  <w:tcW w:type="dxa" w:w="310"/>
                </w:tcPr>
                <w:p>
                  <w:pPr>
                    <w:pStyle w:val="null3"/>
                  </w:pPr>
                  <w:r>
                    <w:rPr>
                      <w:rFonts w:ascii="仿宋_GB2312" w:hAnsi="仿宋_GB2312" w:cs="仿宋_GB2312" w:eastAsia="仿宋_GB2312"/>
                    </w:rPr>
                    <w:t>%</w:t>
                  </w:r>
                </w:p>
              </w:tc>
              <w:tc>
                <w:tcPr>
                  <w:tcW w:type="dxa" w:w="310"/>
                </w:tcPr>
                <w:p>
                  <w:pPr>
                    <w:pStyle w:val="null3"/>
                  </w:pPr>
                  <w:r>
                    <w:rPr>
                      <w:rFonts w:ascii="仿宋_GB2312" w:hAnsi="仿宋_GB2312" w:cs="仿宋_GB2312" w:eastAsia="仿宋_GB2312"/>
                    </w:rPr>
                    <w:t>≥85</w:t>
                  </w:r>
                </w:p>
              </w:tc>
            </w:tr>
            <w:tr>
              <w:tc>
                <w:tcPr>
                  <w:tcW w:type="dxa" w:w="310"/>
                </w:tcPr>
                <w:p>
                  <w:pPr>
                    <w:pStyle w:val="null3"/>
                  </w:pPr>
                  <w:r>
                    <w:rPr>
                      <w:rFonts w:ascii="仿宋_GB2312" w:hAnsi="仿宋_GB2312" w:cs="仿宋_GB2312" w:eastAsia="仿宋_GB2312"/>
                    </w:rPr>
                    <w:t>12</w:t>
                  </w:r>
                </w:p>
              </w:tc>
              <w:tc>
                <w:tcPr>
                  <w:tcW w:type="dxa" w:w="310"/>
                  <w:vMerge/>
                </w:tcPr>
                <w:p/>
              </w:tc>
              <w:tc>
                <w:tcPr>
                  <w:tcW w:type="dxa" w:w="310"/>
                </w:tcPr>
                <w:p>
                  <w:pPr>
                    <w:pStyle w:val="null3"/>
                  </w:pPr>
                  <w:r>
                    <w:rPr>
                      <w:rFonts w:ascii="仿宋_GB2312" w:hAnsi="仿宋_GB2312" w:cs="仿宋_GB2312" w:eastAsia="仿宋_GB2312"/>
                    </w:rPr>
                    <w:t>防油性能</w:t>
                  </w:r>
                </w:p>
              </w:tc>
              <w:tc>
                <w:tcPr>
                  <w:tcW w:type="dxa" w:w="310"/>
                </w:tcPr>
                <w:p>
                  <w:pPr>
                    <w:pStyle w:val="null3"/>
                  </w:pPr>
                  <w:r>
                    <w:rPr>
                      <w:rFonts w:ascii="仿宋_GB2312" w:hAnsi="仿宋_GB2312" w:cs="仿宋_GB2312" w:eastAsia="仿宋_GB2312"/>
                    </w:rPr>
                    <w:t>图像保留率</w:t>
                  </w:r>
                </w:p>
              </w:tc>
              <w:tc>
                <w:tcPr>
                  <w:tcW w:type="dxa" w:w="310"/>
                </w:tcPr>
                <w:p>
                  <w:pPr>
                    <w:pStyle w:val="null3"/>
                  </w:pPr>
                  <w:r>
                    <w:rPr>
                      <w:rFonts w:ascii="仿宋_GB2312" w:hAnsi="仿宋_GB2312" w:cs="仿宋_GB2312" w:eastAsia="仿宋_GB2312"/>
                    </w:rPr>
                    <w:t>%</w:t>
                  </w:r>
                </w:p>
              </w:tc>
              <w:tc>
                <w:tcPr>
                  <w:tcW w:type="dxa" w:w="310"/>
                </w:tcPr>
                <w:p>
                  <w:pPr>
                    <w:pStyle w:val="null3"/>
                  </w:pPr>
                  <w:r>
                    <w:rPr>
                      <w:rFonts w:ascii="仿宋_GB2312" w:hAnsi="仿宋_GB2312" w:cs="仿宋_GB2312" w:eastAsia="仿宋_GB2312"/>
                    </w:rPr>
                    <w:t>≥85</w:t>
                  </w:r>
                </w:p>
              </w:tc>
            </w:tr>
            <w:tr>
              <w:tc>
                <w:tcPr>
                  <w:tcW w:type="dxa" w:w="310"/>
                </w:tcPr>
                <w:p>
                  <w:pPr>
                    <w:pStyle w:val="null3"/>
                  </w:pPr>
                  <w:r>
                    <w:rPr>
                      <w:rFonts w:ascii="仿宋_GB2312" w:hAnsi="仿宋_GB2312" w:cs="仿宋_GB2312" w:eastAsia="仿宋_GB2312"/>
                    </w:rPr>
                    <w:t>13</w:t>
                  </w:r>
                </w:p>
              </w:tc>
              <w:tc>
                <w:tcPr>
                  <w:tcW w:type="dxa" w:w="310"/>
                  <w:vMerge/>
                </w:tcPr>
                <w:p/>
              </w:tc>
              <w:tc>
                <w:tcPr>
                  <w:tcW w:type="dxa" w:w="310"/>
                </w:tcPr>
                <w:p>
                  <w:pPr>
                    <w:pStyle w:val="null3"/>
                  </w:pPr>
                  <w:r>
                    <w:rPr>
                      <w:rFonts w:ascii="仿宋_GB2312" w:hAnsi="仿宋_GB2312" w:cs="仿宋_GB2312" w:eastAsia="仿宋_GB2312"/>
                    </w:rPr>
                    <w:t>防乙醇性能</w:t>
                  </w:r>
                </w:p>
              </w:tc>
              <w:tc>
                <w:tcPr>
                  <w:tcW w:type="dxa" w:w="310"/>
                </w:tcPr>
                <w:p>
                  <w:pPr>
                    <w:pStyle w:val="null3"/>
                  </w:pPr>
                  <w:r>
                    <w:rPr>
                      <w:rFonts w:ascii="仿宋_GB2312" w:hAnsi="仿宋_GB2312" w:cs="仿宋_GB2312" w:eastAsia="仿宋_GB2312"/>
                    </w:rPr>
                    <w:t>图像保留率</w:t>
                  </w:r>
                </w:p>
              </w:tc>
              <w:tc>
                <w:tcPr>
                  <w:tcW w:type="dxa" w:w="310"/>
                </w:tcPr>
                <w:p>
                  <w:pPr>
                    <w:pStyle w:val="null3"/>
                  </w:pPr>
                  <w:r>
                    <w:rPr>
                      <w:rFonts w:ascii="仿宋_GB2312" w:hAnsi="仿宋_GB2312" w:cs="仿宋_GB2312" w:eastAsia="仿宋_GB2312"/>
                    </w:rPr>
                    <w:t>%</w:t>
                  </w:r>
                </w:p>
              </w:tc>
              <w:tc>
                <w:tcPr>
                  <w:tcW w:type="dxa" w:w="310"/>
                </w:tcPr>
                <w:p>
                  <w:pPr>
                    <w:pStyle w:val="null3"/>
                  </w:pPr>
                  <w:r>
                    <w:rPr>
                      <w:rFonts w:ascii="仿宋_GB2312" w:hAnsi="仿宋_GB2312" w:cs="仿宋_GB2312" w:eastAsia="仿宋_GB2312"/>
                    </w:rPr>
                    <w:t>≥60</w:t>
                  </w:r>
                </w:p>
              </w:tc>
            </w:tr>
          </w:tbl>
          <w:p>
            <w:pPr>
              <w:pStyle w:val="null3"/>
            </w:pPr>
            <w:r>
              <w:rPr>
                <w:rFonts w:ascii="仿宋_GB2312" w:hAnsi="仿宋_GB2312" w:cs="仿宋_GB2312" w:eastAsia="仿宋_GB2312"/>
              </w:rPr>
              <w:t>2.2 热敏涂层面印刷</w:t>
            </w:r>
          </w:p>
          <w:p>
            <w:pPr>
              <w:pStyle w:val="null3"/>
            </w:pPr>
            <w:r>
              <w:rPr>
                <w:rFonts w:ascii="仿宋_GB2312" w:hAnsi="仿宋_GB2312" w:cs="仿宋_GB2312" w:eastAsia="仿宋_GB2312"/>
              </w:rPr>
              <w:t>2.2.1 单张热敏票印刷图案分为两款.</w:t>
            </w:r>
          </w:p>
          <w:p>
            <w:pPr>
              <w:pStyle w:val="null3"/>
            </w:pPr>
            <w:r>
              <w:rPr>
                <w:rFonts w:ascii="仿宋_GB2312" w:hAnsi="仿宋_GB2312" w:cs="仿宋_GB2312" w:eastAsia="仿宋_GB2312"/>
              </w:rPr>
              <w:t>——版面图案 A：体育彩票标志规格为 40.0mm (宽) ×38.0 mm (高) ，规格偏差≤0.1 mm，裁切后单张票面有 2 个完整标志图形且居中排列，相邻标志间隔为 50.8 mm+0.1 mm,示例图详见图 A.1；</w:t>
            </w:r>
          </w:p>
          <w:p>
            <w:pPr>
              <w:pStyle w:val="null3"/>
            </w:pPr>
            <w:r>
              <w:rPr>
                <w:rFonts w:ascii="仿宋_GB2312" w:hAnsi="仿宋_GB2312" w:cs="仿宋_GB2312" w:eastAsia="仿宋_GB2312"/>
              </w:rPr>
              <w:t>——版面图案 B：体育彩票标志规格为 8.5 mm (宽) ×8.1 mm (高) ，规格偏差≤0.1 mm.，裁切后单张票面有反白处理的6行标志图形且等距排列，相邻2行标志横向间距为8.5mm+ 0.1mm, 均匀排列，示例图详见图 A.2</w:t>
            </w:r>
          </w:p>
          <w:p>
            <w:pPr>
              <w:pStyle w:val="null3"/>
            </w:pPr>
            <w:r>
              <w:drawing>
                <wp:inline distT="0" distR="0" distB="0" distL="0">
                  <wp:extent cx="1181100" cy="1167712"/>
                  <wp:docPr id="1" name="Drawing 1" descr="img"/>
                  <a:graphic xmlns:a="http://schemas.openxmlformats.org/drawingml/2006/main">
                    <a:graphicData uri="http://schemas.openxmlformats.org/drawingml/2006/picture">
                      <pic:pic xmlns:pic="http://schemas.openxmlformats.org/drawingml/2006/picture">
                        <pic:nvPicPr>
                          <pic:cNvPr id="0" name="Picture 1" descr="img"/>
                          <pic:cNvPicPr>
                            <a:picLocks noChangeAspect="true"/>
                          </pic:cNvPicPr>
                        </pic:nvPicPr>
                        <pic:blipFill>
                          <a:blip r:embed="rId6"/>
                          <a:stretch>
                            <a:fillRect/>
                          </a:stretch>
                        </pic:blipFill>
                        <pic:spPr>
                          <a:xfrm>
                            <a:off x="0" y="0"/>
                            <a:ext cx="1181100" cy="1167712"/>
                          </a:xfrm>
                          <a:prstGeom prst="rect">
                            <a:avLst/>
                          </a:prstGeom>
                        </pic:spPr>
                      </pic:pic>
                    </a:graphicData>
                  </a:graphic>
                </wp:inline>
              </w:drawing>
            </w:r>
          </w:p>
          <w:p>
            <w:pPr>
              <w:pStyle w:val="null3"/>
            </w:pPr>
            <w:r>
              <w:rPr>
                <w:rFonts w:ascii="仿宋_GB2312" w:hAnsi="仿宋_GB2312" w:cs="仿宋_GB2312" w:eastAsia="仿宋_GB2312"/>
              </w:rPr>
              <w:t>2.2.2 边条内印刷体育彩票标志和竖版“中国体育彩票”字样，边条宽度为4.0mm±0.1mmm。</w:t>
            </w:r>
          </w:p>
          <w:p>
            <w:pPr>
              <w:pStyle w:val="null3"/>
            </w:pPr>
            <w:r>
              <w:rPr>
                <w:rFonts w:ascii="仿宋_GB2312" w:hAnsi="仿宋_GB2312" w:cs="仿宋_GB2312" w:eastAsia="仿宋_GB2312"/>
              </w:rPr>
              <w:t>2.2.3 印刷底色及边条等图案信息应完整、连续、一致，且不影响后续投注信息的打印和正确识读；印刷油墨干燥充分，版面干净、无污渍、无划痕、不粘脏；热敏涂层面印刷 颜色控制范围应符合表2 要求。</w:t>
            </w:r>
          </w:p>
          <w:p>
            <w:pPr>
              <w:pStyle w:val="null3"/>
            </w:pPr>
            <w:r>
              <w:rPr>
                <w:rFonts w:ascii="仿宋_GB2312" w:hAnsi="仿宋_GB2312" w:cs="仿宋_GB2312" w:eastAsia="仿宋_GB2312"/>
              </w:rPr>
              <w:t>表 2 热敏涂层面印刷颜色控制范围</w:t>
            </w:r>
          </w:p>
          <w:tbl>
            <w:tblPr>
              <w:tblBorders>
                <w:top w:val="single"/>
                <w:left w:val="single"/>
                <w:bottom w:val="single"/>
                <w:right w:val="single"/>
                <w:insideH w:val="single"/>
                <w:insideV w:val="single"/>
              </w:tblBorders>
            </w:tblPr>
            <w:tblGrid>
              <w:gridCol w:w="372"/>
              <w:gridCol w:w="372"/>
              <w:gridCol w:w="372"/>
              <w:gridCol w:w="372"/>
              <w:gridCol w:w="372"/>
            </w:tblGrid>
            <w:tr>
              <w:tc>
                <w:tcPr>
                  <w:tcW w:type="dxa" w:w="372"/>
                  <w:vMerge w:val="restart"/>
                </w:tcPr>
                <w:p>
                  <w:pPr>
                    <w:pStyle w:val="null3"/>
                  </w:pPr>
                  <w:r>
                    <w:rPr>
                      <w:rFonts w:ascii="仿宋_GB2312" w:hAnsi="仿宋_GB2312" w:cs="仿宋_GB2312" w:eastAsia="仿宋_GB2312"/>
                    </w:rPr>
                    <w:t xml:space="preserve"> </w:t>
                  </w:r>
                </w:p>
              </w:tc>
              <w:tc>
                <w:tcPr>
                  <w:tcW w:type="dxa" w:w="1116"/>
                  <w:gridSpan w:val="3"/>
                </w:tcPr>
                <w:p>
                  <w:pPr>
                    <w:pStyle w:val="null3"/>
                  </w:pPr>
                  <w:r>
                    <w:rPr>
                      <w:rFonts w:ascii="仿宋_GB2312" w:hAnsi="仿宋_GB2312" w:cs="仿宋_GB2312" w:eastAsia="仿宋_GB2312"/>
                    </w:rPr>
                    <w:t>版面颜色标准要求</w:t>
                  </w:r>
                </w:p>
              </w:tc>
              <w:tc>
                <w:tcPr>
                  <w:tcW w:type="dxa" w:w="372"/>
                </w:tcPr>
                <w:p>
                  <w:pPr>
                    <w:pStyle w:val="null3"/>
                  </w:pPr>
                  <w:r>
                    <w:rPr>
                      <w:rFonts w:ascii="仿宋_GB2312" w:hAnsi="仿宋_GB2312" w:cs="仿宋_GB2312" w:eastAsia="仿宋_GB2312"/>
                    </w:rPr>
                    <w:t>版面色差控制范围</w:t>
                  </w:r>
                </w:p>
              </w:tc>
            </w:tr>
            <w:tr>
              <w:tc>
                <w:tcPr>
                  <w:tcW w:type="dxa" w:w="372"/>
                  <w:vMerge/>
                </w:tcPr>
                <w:p/>
              </w:tc>
              <w:tc>
                <w:tcPr>
                  <w:tcW w:type="dxa" w:w="372"/>
                </w:tcPr>
                <w:p>
                  <w:pPr>
                    <w:pStyle w:val="null3"/>
                  </w:pPr>
                  <w:r>
                    <w:rPr>
                      <w:rFonts w:ascii="仿宋_GB2312" w:hAnsi="仿宋_GB2312" w:cs="仿宋_GB2312" w:eastAsia="仿宋_GB2312"/>
                    </w:rPr>
                    <w:t>L</w:t>
                  </w:r>
                </w:p>
              </w:tc>
              <w:tc>
                <w:tcPr>
                  <w:tcW w:type="dxa" w:w="372"/>
                </w:tcPr>
                <w:p>
                  <w:pPr>
                    <w:pStyle w:val="null3"/>
                  </w:pPr>
                  <w:r>
                    <w:rPr>
                      <w:rFonts w:ascii="仿宋_GB2312" w:hAnsi="仿宋_GB2312" w:cs="仿宋_GB2312" w:eastAsia="仿宋_GB2312"/>
                    </w:rPr>
                    <w:t>a</w:t>
                  </w:r>
                </w:p>
              </w:tc>
              <w:tc>
                <w:tcPr>
                  <w:tcW w:type="dxa" w:w="372"/>
                </w:tcPr>
                <w:p>
                  <w:pPr>
                    <w:pStyle w:val="null3"/>
                  </w:pPr>
                  <w:r>
                    <w:rPr>
                      <w:rFonts w:ascii="仿宋_GB2312" w:hAnsi="仿宋_GB2312" w:cs="仿宋_GB2312" w:eastAsia="仿宋_GB2312"/>
                    </w:rPr>
                    <w:t>b</w:t>
                  </w:r>
                </w:p>
              </w:tc>
              <w:tc>
                <w:tcPr>
                  <w:tcW w:type="dxa" w:w="372"/>
                </w:tcPr>
                <w:p>
                  <w:pPr>
                    <w:pStyle w:val="null3"/>
                  </w:pPr>
                  <w:r>
                    <w:rPr>
                      <w:rFonts w:ascii="仿宋_GB2312" w:hAnsi="仿宋_GB2312" w:cs="仿宋_GB2312" w:eastAsia="仿宋_GB2312"/>
                    </w:rPr>
                    <w:t>ΔE</w:t>
                  </w:r>
                </w:p>
              </w:tc>
            </w:tr>
            <w:tr>
              <w:tc>
                <w:tcPr>
                  <w:tcW w:type="dxa" w:w="372"/>
                </w:tcPr>
                <w:p>
                  <w:pPr>
                    <w:pStyle w:val="null3"/>
                  </w:pPr>
                  <w:r>
                    <w:rPr>
                      <w:rFonts w:ascii="仿宋_GB2312" w:hAnsi="仿宋_GB2312" w:cs="仿宋_GB2312" w:eastAsia="仿宋_GB2312"/>
                    </w:rPr>
                    <w:t>底色</w:t>
                  </w:r>
                </w:p>
              </w:tc>
              <w:tc>
                <w:tcPr>
                  <w:tcW w:type="dxa" w:w="372"/>
                </w:tcPr>
                <w:p>
                  <w:pPr>
                    <w:pStyle w:val="null3"/>
                  </w:pPr>
                  <w:r>
                    <w:rPr>
                      <w:rFonts w:ascii="仿宋_GB2312" w:hAnsi="仿宋_GB2312" w:cs="仿宋_GB2312" w:eastAsia="仿宋_GB2312"/>
                    </w:rPr>
                    <w:t>88.0</w:t>
                  </w:r>
                </w:p>
              </w:tc>
              <w:tc>
                <w:tcPr>
                  <w:tcW w:type="dxa" w:w="372"/>
                </w:tcPr>
                <w:p>
                  <w:pPr>
                    <w:pStyle w:val="null3"/>
                  </w:pPr>
                  <w:r>
                    <w:rPr>
                      <w:rFonts w:ascii="仿宋_GB2312" w:hAnsi="仿宋_GB2312" w:cs="仿宋_GB2312" w:eastAsia="仿宋_GB2312"/>
                    </w:rPr>
                    <w:t>5.0</w:t>
                  </w:r>
                </w:p>
              </w:tc>
              <w:tc>
                <w:tcPr>
                  <w:tcW w:type="dxa" w:w="372"/>
                </w:tcPr>
                <w:p>
                  <w:pPr>
                    <w:pStyle w:val="null3"/>
                  </w:pPr>
                  <w:r>
                    <w:rPr>
                      <w:rFonts w:ascii="仿宋_GB2312" w:hAnsi="仿宋_GB2312" w:cs="仿宋_GB2312" w:eastAsia="仿宋_GB2312"/>
                    </w:rPr>
                    <w:t>2.5</w:t>
                  </w:r>
                </w:p>
              </w:tc>
              <w:tc>
                <w:tcPr>
                  <w:tcW w:type="dxa" w:w="372"/>
                </w:tcPr>
                <w:p>
                  <w:pPr>
                    <w:pStyle w:val="null3"/>
                  </w:pPr>
                  <w:r>
                    <w:rPr>
                      <w:rFonts w:ascii="仿宋_GB2312" w:hAnsi="仿宋_GB2312" w:cs="仿宋_GB2312" w:eastAsia="仿宋_GB2312"/>
                    </w:rPr>
                    <w:t>ΔE≦4.0</w:t>
                  </w:r>
                </w:p>
              </w:tc>
            </w:tr>
            <w:tr>
              <w:tc>
                <w:tcPr>
                  <w:tcW w:type="dxa" w:w="372"/>
                </w:tcPr>
                <w:p>
                  <w:pPr>
                    <w:pStyle w:val="null3"/>
                  </w:pPr>
                  <w:r>
                    <w:rPr>
                      <w:rFonts w:ascii="仿宋_GB2312" w:hAnsi="仿宋_GB2312" w:cs="仿宋_GB2312" w:eastAsia="仿宋_GB2312"/>
                    </w:rPr>
                    <w:t>边条</w:t>
                  </w:r>
                </w:p>
              </w:tc>
              <w:tc>
                <w:tcPr>
                  <w:tcW w:type="dxa" w:w="372"/>
                </w:tcPr>
                <w:p>
                  <w:pPr>
                    <w:pStyle w:val="null3"/>
                  </w:pPr>
                  <w:r>
                    <w:rPr>
                      <w:rFonts w:ascii="仿宋_GB2312" w:hAnsi="仿宋_GB2312" w:cs="仿宋_GB2312" w:eastAsia="仿宋_GB2312"/>
                    </w:rPr>
                    <w:t>60.0</w:t>
                  </w:r>
                </w:p>
              </w:tc>
              <w:tc>
                <w:tcPr>
                  <w:tcW w:type="dxa" w:w="372"/>
                </w:tcPr>
                <w:p>
                  <w:pPr>
                    <w:pStyle w:val="null3"/>
                  </w:pPr>
                  <w:r>
                    <w:rPr>
                      <w:rFonts w:ascii="仿宋_GB2312" w:hAnsi="仿宋_GB2312" w:cs="仿宋_GB2312" w:eastAsia="仿宋_GB2312"/>
                    </w:rPr>
                    <w:t>40.0</w:t>
                  </w:r>
                </w:p>
              </w:tc>
              <w:tc>
                <w:tcPr>
                  <w:tcW w:type="dxa" w:w="372"/>
                </w:tcPr>
                <w:p>
                  <w:pPr>
                    <w:pStyle w:val="null3"/>
                  </w:pPr>
                  <w:r>
                    <w:rPr>
                      <w:rFonts w:ascii="仿宋_GB2312" w:hAnsi="仿宋_GB2312" w:cs="仿宋_GB2312" w:eastAsia="仿宋_GB2312"/>
                    </w:rPr>
                    <w:t>20.0</w:t>
                  </w:r>
                </w:p>
              </w:tc>
              <w:tc>
                <w:tcPr>
                  <w:tcW w:type="dxa" w:w="372"/>
                </w:tcPr>
                <w:p>
                  <w:pPr>
                    <w:pStyle w:val="null3"/>
                  </w:pPr>
                  <w:r>
                    <w:rPr>
                      <w:rFonts w:ascii="仿宋_GB2312" w:hAnsi="仿宋_GB2312" w:cs="仿宋_GB2312" w:eastAsia="仿宋_GB2312"/>
                    </w:rPr>
                    <w:t>ΔE≦6.0</w:t>
                  </w:r>
                </w:p>
              </w:tc>
            </w:tr>
          </w:tbl>
          <w:p>
            <w:pPr>
              <w:pStyle w:val="null3"/>
            </w:pPr>
            <w:r>
              <w:rPr>
                <w:rFonts w:ascii="仿宋_GB2312" w:hAnsi="仿宋_GB2312" w:cs="仿宋_GB2312" w:eastAsia="仿宋_GB2312"/>
              </w:rPr>
              <w:t>2.2.4 印刷版缝最多允许连续 3 张热敏票出现1条，须处于单张热敏票的上端或下端位置；版缝衔接处无脏迹；整个版面版缝处允许留白或搭边，版缝宽度≤0.3mm。</w:t>
            </w:r>
          </w:p>
          <w:p>
            <w:pPr>
              <w:pStyle w:val="null3"/>
            </w:pPr>
            <w:r>
              <w:rPr>
                <w:rFonts w:ascii="仿宋_GB2312" w:hAnsi="仿宋_GB2312" w:cs="仿宋_GB2312" w:eastAsia="仿宋_GB2312"/>
              </w:rPr>
              <w:t>2.2.5 热敏涂层面与装饰图案面正背印刷套印偏差≤1.0mm。</w:t>
            </w:r>
          </w:p>
          <w:p>
            <w:pPr>
              <w:pStyle w:val="null3"/>
            </w:pPr>
            <w:r>
              <w:rPr>
                <w:rFonts w:ascii="仿宋_GB2312" w:hAnsi="仿宋_GB2312" w:cs="仿宋_GB2312" w:eastAsia="仿宋_GB2312"/>
              </w:rPr>
              <w:t>2.3 装饰图案面</w:t>
            </w:r>
          </w:p>
          <w:p>
            <w:pPr>
              <w:pStyle w:val="null3"/>
            </w:pPr>
            <w:r>
              <w:rPr>
                <w:rFonts w:ascii="仿宋_GB2312" w:hAnsi="仿宋_GB2312" w:cs="仿宋_GB2312" w:eastAsia="仿宋_GB2312"/>
              </w:rPr>
              <w:t>2.3.1 图案挂网线数不低于 150 L/inch,网线角度准确,不出现干涉条纹。</w:t>
            </w:r>
          </w:p>
          <w:p>
            <w:pPr>
              <w:pStyle w:val="null3"/>
            </w:pPr>
            <w:r>
              <w:rPr>
                <w:rFonts w:ascii="仿宋_GB2312" w:hAnsi="仿宋_GB2312" w:cs="仿宋_GB2312" w:eastAsia="仿宋_GB2312"/>
              </w:rPr>
              <w:t>注：lpi——line per inch,即印刷网线，指印刷品在水平或垂直方向上每英寸的网线 数。</w:t>
            </w:r>
          </w:p>
          <w:p>
            <w:pPr>
              <w:pStyle w:val="null3"/>
            </w:pPr>
            <w:r>
              <w:rPr>
                <w:rFonts w:ascii="仿宋_GB2312" w:hAnsi="仿宋_GB2312" w:cs="仿宋_GB2312" w:eastAsia="仿宋_GB2312"/>
              </w:rPr>
              <w:t>2.3.2 图案印刷清晰、完整，多色套印误差≤0.2mm。</w:t>
            </w:r>
          </w:p>
          <w:p>
            <w:pPr>
              <w:pStyle w:val="null3"/>
            </w:pPr>
            <w:r>
              <w:rPr>
                <w:rFonts w:ascii="仿宋_GB2312" w:hAnsi="仿宋_GB2312" w:cs="仿宋_GB2312" w:eastAsia="仿宋_GB2312"/>
              </w:rPr>
              <w:t>2.3.3 图案印刷色彩均匀、自然、协调,符合设计原稿或签样要求； 同批次同部位颜 色无明显差异，色差ΔE≤4.0。</w:t>
            </w:r>
          </w:p>
          <w:p>
            <w:pPr>
              <w:pStyle w:val="null3"/>
            </w:pPr>
            <w:r>
              <w:rPr>
                <w:rFonts w:ascii="仿宋_GB2312" w:hAnsi="仿宋_GB2312" w:cs="仿宋_GB2312" w:eastAsia="仿宋_GB2312"/>
              </w:rPr>
              <w:t>2.3.4 印刷油墨干燥充分，版面干净、无污渍、无划痕、不粘脏，空白处无明显版缝 脏迹。</w:t>
            </w:r>
          </w:p>
          <w:p>
            <w:pPr>
              <w:pStyle w:val="null3"/>
            </w:pPr>
            <w:r>
              <w:rPr>
                <w:rFonts w:ascii="仿宋_GB2312" w:hAnsi="仿宋_GB2312" w:cs="仿宋_GB2312" w:eastAsia="仿宋_GB2312"/>
              </w:rPr>
              <w:t>2.3.5 购票须知等说明文字内容由体育彩票发行机构指定，文字印刷清晰、完整、无缺笔断划、不糊版。</w:t>
            </w:r>
          </w:p>
          <w:p>
            <w:pPr>
              <w:pStyle w:val="null3"/>
            </w:pPr>
            <w:r>
              <w:rPr>
                <w:rFonts w:ascii="仿宋_GB2312" w:hAnsi="仿宋_GB2312" w:cs="仿宋_GB2312" w:eastAsia="仿宋_GB2312"/>
              </w:rPr>
              <w:t>2.3.6 识读标规格、位置符合设计要求。规格为10.0 mm (宽) ×5.0mm (高)，规格偏差≤0.1mm；裁切后位置纵向距底边48.7mm±1.0mm，横向距右侧纸边1.0±0.5mm； 黑密度值D≥1.0。示例图详见图B.1。</w:t>
            </w:r>
          </w:p>
          <w:p>
            <w:pPr>
              <w:pStyle w:val="null3"/>
            </w:pPr>
            <w:r>
              <w:drawing>
                <wp:inline distT="0" distR="0" distB="0" distL="0">
                  <wp:extent cx="1181100" cy="685651"/>
                  <wp:docPr id="2" name="Drawing 2" descr="img"/>
                  <a:graphic xmlns:a="http://schemas.openxmlformats.org/drawingml/2006/main">
                    <a:graphicData uri="http://schemas.openxmlformats.org/drawingml/2006/picture">
                      <pic:pic xmlns:pic="http://schemas.openxmlformats.org/drawingml/2006/picture">
                        <pic:nvPicPr>
                          <pic:cNvPr id="0" name="Picture 2" descr="img"/>
                          <pic:cNvPicPr>
                            <a:picLocks noChangeAspect="true"/>
                          </pic:cNvPicPr>
                        </pic:nvPicPr>
                        <pic:blipFill>
                          <a:blip r:embed="rId7"/>
                          <a:stretch>
                            <a:fillRect/>
                          </a:stretch>
                        </pic:blipFill>
                        <pic:spPr>
                          <a:xfrm>
                            <a:off x="0" y="0"/>
                            <a:ext cx="1181100" cy="685651"/>
                          </a:xfrm>
                          <a:prstGeom prst="rect">
                            <a:avLst/>
                          </a:prstGeom>
                        </pic:spPr>
                      </pic:pic>
                    </a:graphicData>
                  </a:graphic>
                </wp:inline>
              </w:drawing>
            </w:r>
          </w:p>
          <w:p>
            <w:pPr>
              <w:pStyle w:val="null3"/>
            </w:pPr>
            <w:r>
              <w:rPr>
                <w:rFonts w:ascii="仿宋_GB2312" w:hAnsi="仿宋_GB2312" w:cs="仿宋_GB2312" w:eastAsia="仿宋_GB2312"/>
              </w:rPr>
              <w:t>2.4 序列号</w:t>
            </w:r>
          </w:p>
          <w:p>
            <w:pPr>
              <w:pStyle w:val="null3"/>
            </w:pPr>
            <w:r>
              <w:rPr>
                <w:rFonts w:ascii="仿宋_GB2312" w:hAnsi="仿宋_GB2312" w:cs="仿宋_GB2312" w:eastAsia="仿宋_GB2312"/>
              </w:rPr>
              <w:t>2.4.1 序列号位于热敏纸装饰图案面左侧从上至下纵向排列。首字符上端距识读标上端垂直距离为30.0mm±2.0mm；首字符左端距识读标左端垂直距离为64.0mm±1.0mm。</w:t>
            </w:r>
          </w:p>
          <w:p>
            <w:pPr>
              <w:pStyle w:val="null3"/>
            </w:pPr>
            <w:r>
              <w:rPr>
                <w:rFonts w:ascii="仿宋_GB2312" w:hAnsi="仿宋_GB2312" w:cs="仿宋_GB2312" w:eastAsia="仿宋_GB2312"/>
              </w:rPr>
              <w:t>2.4.2 每张热敏纸应有唯一序列号，由13位或14位字母和数字组成。具体为：箱号 (4—5位字母和5位数字)+张序列号(4位数字)；采用宋体，分辨率≥150dpi×150dpi分辨率、字高为3.0mm±0.5mm；颜色为黑色。如图1所示：</w:t>
            </w:r>
          </w:p>
          <w:p>
            <w:pPr>
              <w:pStyle w:val="null3"/>
            </w:pPr>
            <w:r>
              <w:drawing>
                <wp:inline distT="0" distR="0" distB="0" distL="0">
                  <wp:extent cx="1181100" cy="348395"/>
                  <wp:docPr id="3" name="Drawing 3" descr="img"/>
                  <a:graphic xmlns:a="http://schemas.openxmlformats.org/drawingml/2006/main">
                    <a:graphicData uri="http://schemas.openxmlformats.org/drawingml/2006/picture">
                      <pic:pic xmlns:pic="http://schemas.openxmlformats.org/drawingml/2006/picture">
                        <pic:nvPicPr>
                          <pic:cNvPr id="0" name="Picture 3" descr="img"/>
                          <pic:cNvPicPr>
                            <a:picLocks noChangeAspect="true"/>
                          </pic:cNvPicPr>
                        </pic:nvPicPr>
                        <pic:blipFill>
                          <a:blip r:embed="rId8"/>
                          <a:stretch>
                            <a:fillRect/>
                          </a:stretch>
                        </pic:blipFill>
                        <pic:spPr>
                          <a:xfrm>
                            <a:off x="0" y="0"/>
                            <a:ext cx="1181100" cy="348395"/>
                          </a:xfrm>
                          <a:prstGeom prst="rect">
                            <a:avLst/>
                          </a:prstGeom>
                        </pic:spPr>
                      </pic:pic>
                    </a:graphicData>
                  </a:graphic>
                </wp:inline>
              </w:drawing>
            </w:r>
          </w:p>
          <w:p>
            <w:pPr>
              <w:pStyle w:val="null3"/>
            </w:pPr>
            <w:r>
              <w:rPr>
                <w:rFonts w:ascii="仿宋_GB2312" w:hAnsi="仿宋_GB2312" w:cs="仿宋_GB2312" w:eastAsia="仿宋_GB2312"/>
              </w:rPr>
              <w:t>图1  单张热敏纸序列号示意</w:t>
            </w:r>
          </w:p>
          <w:p>
            <w:pPr>
              <w:pStyle w:val="null3"/>
            </w:pPr>
            <w:r>
              <w:rPr>
                <w:rFonts w:ascii="仿宋_GB2312" w:hAnsi="仿宋_GB2312" w:cs="仿宋_GB2312" w:eastAsia="仿宋_GB2312"/>
              </w:rPr>
              <w:t>2.4.3 每个卷票由4张测试用纸和500张有效用纸组成。测试用纸为卷首第1张和卷尾最后3张，测试用纸专用序列号统一为 AAA1、BBB1、BBB2、BBB3；测试用纸和有效用纸在实际使用中不做区分，有效用纸专用序列号应符合表3要求：</w:t>
            </w:r>
          </w:p>
          <w:p>
            <w:pPr>
              <w:pStyle w:val="null3"/>
            </w:pPr>
            <w:r>
              <w:rPr>
                <w:rFonts w:ascii="仿宋_GB2312" w:hAnsi="仿宋_GB2312" w:cs="仿宋_GB2312" w:eastAsia="仿宋_GB2312"/>
              </w:rPr>
              <w:t>表3有效用纸专用序列号范围</w:t>
            </w:r>
          </w:p>
          <w:tbl>
            <w:tblPr>
              <w:tblBorders>
                <w:top w:val="single"/>
                <w:left w:val="single"/>
                <w:bottom w:val="single"/>
                <w:right w:val="single"/>
                <w:insideH w:val="single"/>
                <w:insideV w:val="single"/>
              </w:tblBorders>
            </w:tblPr>
            <w:tblGrid>
              <w:gridCol w:w="232"/>
              <w:gridCol w:w="232"/>
              <w:gridCol w:w="232"/>
              <w:gridCol w:w="232"/>
              <w:gridCol w:w="232"/>
              <w:gridCol w:w="232"/>
              <w:gridCol w:w="232"/>
              <w:gridCol w:w="232"/>
            </w:tblGrid>
            <w:tr>
              <w:tc>
                <w:tcPr>
                  <w:tcW w:type="dxa" w:w="232"/>
                </w:tcPr>
                <w:p>
                  <w:pPr>
                    <w:pStyle w:val="null3"/>
                  </w:pPr>
                  <w:r>
                    <w:rPr>
                      <w:rFonts w:ascii="仿宋_GB2312" w:hAnsi="仿宋_GB2312" w:cs="仿宋_GB2312" w:eastAsia="仿宋_GB2312"/>
                    </w:rPr>
                    <w:t>卷号</w:t>
                  </w:r>
                </w:p>
              </w:tc>
              <w:tc>
                <w:tcPr>
                  <w:tcW w:type="dxa" w:w="232"/>
                </w:tcPr>
                <w:p>
                  <w:pPr>
                    <w:pStyle w:val="null3"/>
                  </w:pPr>
                  <w:r>
                    <w:rPr>
                      <w:rFonts w:ascii="仿宋_GB2312" w:hAnsi="仿宋_GB2312" w:cs="仿宋_GB2312" w:eastAsia="仿宋_GB2312"/>
                    </w:rPr>
                    <w:t>序列号范围</w:t>
                  </w:r>
                </w:p>
              </w:tc>
              <w:tc>
                <w:tcPr>
                  <w:tcW w:type="dxa" w:w="232"/>
                </w:tcPr>
                <w:p>
                  <w:pPr>
                    <w:pStyle w:val="null3"/>
                  </w:pPr>
                  <w:r>
                    <w:rPr>
                      <w:rFonts w:ascii="仿宋_GB2312" w:hAnsi="仿宋_GB2312" w:cs="仿宋_GB2312" w:eastAsia="仿宋_GB2312"/>
                    </w:rPr>
                    <w:t>卷号</w:t>
                  </w:r>
                </w:p>
              </w:tc>
              <w:tc>
                <w:tcPr>
                  <w:tcW w:type="dxa" w:w="232"/>
                </w:tcPr>
                <w:p>
                  <w:pPr>
                    <w:pStyle w:val="null3"/>
                  </w:pPr>
                  <w:r>
                    <w:rPr>
                      <w:rFonts w:ascii="仿宋_GB2312" w:hAnsi="仿宋_GB2312" w:cs="仿宋_GB2312" w:eastAsia="仿宋_GB2312"/>
                    </w:rPr>
                    <w:t>序列号</w:t>
                  </w:r>
                </w:p>
                <w:p>
                  <w:pPr>
                    <w:pStyle w:val="null3"/>
                  </w:pPr>
                  <w:r>
                    <w:rPr>
                      <w:rFonts w:ascii="仿宋_GB2312" w:hAnsi="仿宋_GB2312" w:cs="仿宋_GB2312" w:eastAsia="仿宋_GB2312"/>
                    </w:rPr>
                    <w:t>范围</w:t>
                  </w:r>
                </w:p>
              </w:tc>
              <w:tc>
                <w:tcPr>
                  <w:tcW w:type="dxa" w:w="232"/>
                </w:tcPr>
                <w:p>
                  <w:pPr>
                    <w:pStyle w:val="null3"/>
                  </w:pPr>
                  <w:r>
                    <w:rPr>
                      <w:rFonts w:ascii="仿宋_GB2312" w:hAnsi="仿宋_GB2312" w:cs="仿宋_GB2312" w:eastAsia="仿宋_GB2312"/>
                    </w:rPr>
                    <w:t>卷号</w:t>
                  </w:r>
                </w:p>
              </w:tc>
              <w:tc>
                <w:tcPr>
                  <w:tcW w:type="dxa" w:w="232"/>
                </w:tcPr>
                <w:p>
                  <w:pPr>
                    <w:pStyle w:val="null3"/>
                  </w:pPr>
                  <w:r>
                    <w:rPr>
                      <w:rFonts w:ascii="仿宋_GB2312" w:hAnsi="仿宋_GB2312" w:cs="仿宋_GB2312" w:eastAsia="仿宋_GB2312"/>
                    </w:rPr>
                    <w:t>序列号</w:t>
                  </w:r>
                </w:p>
                <w:p>
                  <w:pPr>
                    <w:pStyle w:val="null3"/>
                  </w:pPr>
                  <w:r>
                    <w:rPr>
                      <w:rFonts w:ascii="仿宋_GB2312" w:hAnsi="仿宋_GB2312" w:cs="仿宋_GB2312" w:eastAsia="仿宋_GB2312"/>
                    </w:rPr>
                    <w:t>范围</w:t>
                  </w:r>
                </w:p>
              </w:tc>
              <w:tc>
                <w:tcPr>
                  <w:tcW w:type="dxa" w:w="232"/>
                </w:tcPr>
                <w:p>
                  <w:pPr>
                    <w:pStyle w:val="null3"/>
                  </w:pPr>
                  <w:r>
                    <w:rPr>
                      <w:rFonts w:ascii="仿宋_GB2312" w:hAnsi="仿宋_GB2312" w:cs="仿宋_GB2312" w:eastAsia="仿宋_GB2312"/>
                    </w:rPr>
                    <w:t>卷号</w:t>
                  </w:r>
                </w:p>
              </w:tc>
              <w:tc>
                <w:tcPr>
                  <w:tcW w:type="dxa" w:w="232"/>
                </w:tcPr>
                <w:p>
                  <w:pPr>
                    <w:pStyle w:val="null3"/>
                  </w:pPr>
                  <w:r>
                    <w:rPr>
                      <w:rFonts w:ascii="仿宋_GB2312" w:hAnsi="仿宋_GB2312" w:cs="仿宋_GB2312" w:eastAsia="仿宋_GB2312"/>
                    </w:rPr>
                    <w:t>序列号</w:t>
                  </w:r>
                </w:p>
                <w:p>
                  <w:pPr>
                    <w:pStyle w:val="null3"/>
                  </w:pPr>
                  <w:r>
                    <w:rPr>
                      <w:rFonts w:ascii="仿宋_GB2312" w:hAnsi="仿宋_GB2312" w:cs="仿宋_GB2312" w:eastAsia="仿宋_GB2312"/>
                    </w:rPr>
                    <w:t>范围</w:t>
                  </w:r>
                </w:p>
              </w:tc>
            </w:tr>
            <w:tr>
              <w:tc>
                <w:tcPr>
                  <w:tcW w:type="dxa" w:w="232"/>
                </w:tcPr>
                <w:p>
                  <w:pPr>
                    <w:pStyle w:val="null3"/>
                  </w:pPr>
                  <w:r>
                    <w:rPr>
                      <w:rFonts w:ascii="仿宋_GB2312" w:hAnsi="仿宋_GB2312" w:cs="仿宋_GB2312" w:eastAsia="仿宋_GB2312"/>
                    </w:rPr>
                    <w:t>1</w:t>
                  </w:r>
                </w:p>
              </w:tc>
              <w:tc>
                <w:tcPr>
                  <w:tcW w:type="dxa" w:w="232"/>
                </w:tcPr>
                <w:p>
                  <w:pPr>
                    <w:pStyle w:val="null3"/>
                  </w:pPr>
                  <w:r>
                    <w:rPr>
                      <w:rFonts w:ascii="仿宋_GB2312" w:hAnsi="仿宋_GB2312" w:cs="仿宋_GB2312" w:eastAsia="仿宋_GB2312"/>
                    </w:rPr>
                    <w:t>0000-0499</w:t>
                  </w:r>
                </w:p>
              </w:tc>
              <w:tc>
                <w:tcPr>
                  <w:tcW w:type="dxa" w:w="232"/>
                </w:tcPr>
                <w:p>
                  <w:pPr>
                    <w:pStyle w:val="null3"/>
                  </w:pPr>
                  <w:r>
                    <w:rPr>
                      <w:rFonts w:ascii="仿宋_GB2312" w:hAnsi="仿宋_GB2312" w:cs="仿宋_GB2312" w:eastAsia="仿宋_GB2312"/>
                    </w:rPr>
                    <w:t>2</w:t>
                  </w:r>
                </w:p>
              </w:tc>
              <w:tc>
                <w:tcPr>
                  <w:tcW w:type="dxa" w:w="232"/>
                </w:tcPr>
                <w:p>
                  <w:pPr>
                    <w:pStyle w:val="null3"/>
                  </w:pPr>
                  <w:r>
                    <w:rPr>
                      <w:rFonts w:ascii="仿宋_GB2312" w:hAnsi="仿宋_GB2312" w:cs="仿宋_GB2312" w:eastAsia="仿宋_GB2312"/>
                    </w:rPr>
                    <w:t>0500-0999</w:t>
                  </w:r>
                </w:p>
              </w:tc>
              <w:tc>
                <w:tcPr>
                  <w:tcW w:type="dxa" w:w="232"/>
                </w:tcPr>
                <w:p>
                  <w:pPr>
                    <w:pStyle w:val="null3"/>
                  </w:pPr>
                  <w:r>
                    <w:rPr>
                      <w:rFonts w:ascii="仿宋_GB2312" w:hAnsi="仿宋_GB2312" w:cs="仿宋_GB2312" w:eastAsia="仿宋_GB2312"/>
                    </w:rPr>
                    <w:t>3</w:t>
                  </w:r>
                </w:p>
              </w:tc>
              <w:tc>
                <w:tcPr>
                  <w:tcW w:type="dxa" w:w="232"/>
                </w:tcPr>
                <w:p>
                  <w:pPr>
                    <w:pStyle w:val="null3"/>
                  </w:pPr>
                  <w:r>
                    <w:rPr>
                      <w:rFonts w:ascii="仿宋_GB2312" w:hAnsi="仿宋_GB2312" w:cs="仿宋_GB2312" w:eastAsia="仿宋_GB2312"/>
                    </w:rPr>
                    <w:t>1000-1499</w:t>
                  </w:r>
                </w:p>
              </w:tc>
              <w:tc>
                <w:tcPr>
                  <w:tcW w:type="dxa" w:w="232"/>
                </w:tcPr>
                <w:p>
                  <w:pPr>
                    <w:pStyle w:val="null3"/>
                  </w:pPr>
                  <w:r>
                    <w:rPr>
                      <w:rFonts w:ascii="仿宋_GB2312" w:hAnsi="仿宋_GB2312" w:cs="仿宋_GB2312" w:eastAsia="仿宋_GB2312"/>
                    </w:rPr>
                    <w:t>4</w:t>
                  </w:r>
                </w:p>
              </w:tc>
              <w:tc>
                <w:tcPr>
                  <w:tcW w:type="dxa" w:w="232"/>
                </w:tcPr>
                <w:p>
                  <w:pPr>
                    <w:pStyle w:val="null3"/>
                  </w:pPr>
                  <w:r>
                    <w:rPr>
                      <w:rFonts w:ascii="仿宋_GB2312" w:hAnsi="仿宋_GB2312" w:cs="仿宋_GB2312" w:eastAsia="仿宋_GB2312"/>
                    </w:rPr>
                    <w:t>1500-1999</w:t>
                  </w:r>
                </w:p>
              </w:tc>
            </w:tr>
            <w:tr>
              <w:tc>
                <w:tcPr>
                  <w:tcW w:type="dxa" w:w="232"/>
                </w:tcPr>
                <w:p>
                  <w:pPr>
                    <w:pStyle w:val="null3"/>
                  </w:pPr>
                  <w:r>
                    <w:rPr>
                      <w:rFonts w:ascii="仿宋_GB2312" w:hAnsi="仿宋_GB2312" w:cs="仿宋_GB2312" w:eastAsia="仿宋_GB2312"/>
                    </w:rPr>
                    <w:t>5</w:t>
                  </w:r>
                </w:p>
              </w:tc>
              <w:tc>
                <w:tcPr>
                  <w:tcW w:type="dxa" w:w="232"/>
                </w:tcPr>
                <w:p>
                  <w:pPr>
                    <w:pStyle w:val="null3"/>
                  </w:pPr>
                  <w:r>
                    <w:rPr>
                      <w:rFonts w:ascii="仿宋_GB2312" w:hAnsi="仿宋_GB2312" w:cs="仿宋_GB2312" w:eastAsia="仿宋_GB2312"/>
                    </w:rPr>
                    <w:t>2000-2499</w:t>
                  </w:r>
                </w:p>
              </w:tc>
              <w:tc>
                <w:tcPr>
                  <w:tcW w:type="dxa" w:w="232"/>
                </w:tcPr>
                <w:p>
                  <w:pPr>
                    <w:pStyle w:val="null3"/>
                  </w:pPr>
                  <w:r>
                    <w:rPr>
                      <w:rFonts w:ascii="仿宋_GB2312" w:hAnsi="仿宋_GB2312" w:cs="仿宋_GB2312" w:eastAsia="仿宋_GB2312"/>
                    </w:rPr>
                    <w:t>6</w:t>
                  </w:r>
                </w:p>
              </w:tc>
              <w:tc>
                <w:tcPr>
                  <w:tcW w:type="dxa" w:w="232"/>
                </w:tcPr>
                <w:p>
                  <w:pPr>
                    <w:pStyle w:val="null3"/>
                  </w:pPr>
                  <w:r>
                    <w:rPr>
                      <w:rFonts w:ascii="仿宋_GB2312" w:hAnsi="仿宋_GB2312" w:cs="仿宋_GB2312" w:eastAsia="仿宋_GB2312"/>
                    </w:rPr>
                    <w:t>2500-2999</w:t>
                  </w:r>
                </w:p>
              </w:tc>
              <w:tc>
                <w:tcPr>
                  <w:tcW w:type="dxa" w:w="232"/>
                </w:tcPr>
                <w:p>
                  <w:pPr>
                    <w:pStyle w:val="null3"/>
                  </w:pPr>
                  <w:r>
                    <w:rPr>
                      <w:rFonts w:ascii="仿宋_GB2312" w:hAnsi="仿宋_GB2312" w:cs="仿宋_GB2312" w:eastAsia="仿宋_GB2312"/>
                    </w:rPr>
                    <w:t>7</w:t>
                  </w:r>
                </w:p>
              </w:tc>
              <w:tc>
                <w:tcPr>
                  <w:tcW w:type="dxa" w:w="232"/>
                </w:tcPr>
                <w:p>
                  <w:pPr>
                    <w:pStyle w:val="null3"/>
                  </w:pPr>
                  <w:r>
                    <w:rPr>
                      <w:rFonts w:ascii="仿宋_GB2312" w:hAnsi="仿宋_GB2312" w:cs="仿宋_GB2312" w:eastAsia="仿宋_GB2312"/>
                    </w:rPr>
                    <w:t>3000-3499</w:t>
                  </w:r>
                </w:p>
              </w:tc>
              <w:tc>
                <w:tcPr>
                  <w:tcW w:type="dxa" w:w="232"/>
                </w:tcPr>
                <w:p>
                  <w:pPr>
                    <w:pStyle w:val="null3"/>
                  </w:pPr>
                  <w:r>
                    <w:rPr>
                      <w:rFonts w:ascii="仿宋_GB2312" w:hAnsi="仿宋_GB2312" w:cs="仿宋_GB2312" w:eastAsia="仿宋_GB2312"/>
                    </w:rPr>
                    <w:t>8</w:t>
                  </w:r>
                </w:p>
              </w:tc>
              <w:tc>
                <w:tcPr>
                  <w:tcW w:type="dxa" w:w="232"/>
                </w:tcPr>
                <w:p>
                  <w:pPr>
                    <w:pStyle w:val="null3"/>
                  </w:pPr>
                  <w:r>
                    <w:rPr>
                      <w:rFonts w:ascii="仿宋_GB2312" w:hAnsi="仿宋_GB2312" w:cs="仿宋_GB2312" w:eastAsia="仿宋_GB2312"/>
                    </w:rPr>
                    <w:t>3500-3999</w:t>
                  </w:r>
                </w:p>
              </w:tc>
            </w:tr>
            <w:tr>
              <w:tc>
                <w:tcPr>
                  <w:tcW w:type="dxa" w:w="232"/>
                </w:tcPr>
                <w:p>
                  <w:pPr>
                    <w:pStyle w:val="null3"/>
                  </w:pPr>
                  <w:r>
                    <w:rPr>
                      <w:rFonts w:ascii="仿宋_GB2312" w:hAnsi="仿宋_GB2312" w:cs="仿宋_GB2312" w:eastAsia="仿宋_GB2312"/>
                    </w:rPr>
                    <w:t>9</w:t>
                  </w:r>
                </w:p>
              </w:tc>
              <w:tc>
                <w:tcPr>
                  <w:tcW w:type="dxa" w:w="232"/>
                </w:tcPr>
                <w:p>
                  <w:pPr>
                    <w:pStyle w:val="null3"/>
                  </w:pPr>
                  <w:r>
                    <w:rPr>
                      <w:rFonts w:ascii="仿宋_GB2312" w:hAnsi="仿宋_GB2312" w:cs="仿宋_GB2312" w:eastAsia="仿宋_GB2312"/>
                    </w:rPr>
                    <w:t>4000-4499</w:t>
                  </w:r>
                </w:p>
              </w:tc>
              <w:tc>
                <w:tcPr>
                  <w:tcW w:type="dxa" w:w="232"/>
                </w:tcPr>
                <w:p>
                  <w:pPr>
                    <w:pStyle w:val="null3"/>
                  </w:pPr>
                  <w:r>
                    <w:rPr>
                      <w:rFonts w:ascii="仿宋_GB2312" w:hAnsi="仿宋_GB2312" w:cs="仿宋_GB2312" w:eastAsia="仿宋_GB2312"/>
                    </w:rPr>
                    <w:t>10</w:t>
                  </w:r>
                </w:p>
              </w:tc>
              <w:tc>
                <w:tcPr>
                  <w:tcW w:type="dxa" w:w="232"/>
                </w:tcPr>
                <w:p>
                  <w:pPr>
                    <w:pStyle w:val="null3"/>
                  </w:pPr>
                  <w:r>
                    <w:rPr>
                      <w:rFonts w:ascii="仿宋_GB2312" w:hAnsi="仿宋_GB2312" w:cs="仿宋_GB2312" w:eastAsia="仿宋_GB2312"/>
                    </w:rPr>
                    <w:t>4500-4999</w:t>
                  </w:r>
                </w:p>
              </w:tc>
              <w:tc>
                <w:tcPr>
                  <w:tcW w:type="dxa" w:w="232"/>
                </w:tcPr>
                <w:p>
                  <w:pPr>
                    <w:pStyle w:val="null3"/>
                  </w:pPr>
                  <w:r>
                    <w:rPr>
                      <w:rFonts w:ascii="仿宋_GB2312" w:hAnsi="仿宋_GB2312" w:cs="仿宋_GB2312" w:eastAsia="仿宋_GB2312"/>
                    </w:rPr>
                    <w:t>11</w:t>
                  </w:r>
                </w:p>
              </w:tc>
              <w:tc>
                <w:tcPr>
                  <w:tcW w:type="dxa" w:w="232"/>
                </w:tcPr>
                <w:p>
                  <w:pPr>
                    <w:pStyle w:val="null3"/>
                  </w:pPr>
                  <w:r>
                    <w:rPr>
                      <w:rFonts w:ascii="仿宋_GB2312" w:hAnsi="仿宋_GB2312" w:cs="仿宋_GB2312" w:eastAsia="仿宋_GB2312"/>
                    </w:rPr>
                    <w:t>5000-5499</w:t>
                  </w:r>
                </w:p>
              </w:tc>
              <w:tc>
                <w:tcPr>
                  <w:tcW w:type="dxa" w:w="232"/>
                </w:tcPr>
                <w:p>
                  <w:pPr>
                    <w:pStyle w:val="null3"/>
                  </w:pPr>
                  <w:r>
                    <w:rPr>
                      <w:rFonts w:ascii="仿宋_GB2312" w:hAnsi="仿宋_GB2312" w:cs="仿宋_GB2312" w:eastAsia="仿宋_GB2312"/>
                    </w:rPr>
                    <w:t>12</w:t>
                  </w:r>
                </w:p>
              </w:tc>
              <w:tc>
                <w:tcPr>
                  <w:tcW w:type="dxa" w:w="232"/>
                </w:tcPr>
                <w:p>
                  <w:pPr>
                    <w:pStyle w:val="null3"/>
                  </w:pPr>
                  <w:r>
                    <w:rPr>
                      <w:rFonts w:ascii="仿宋_GB2312" w:hAnsi="仿宋_GB2312" w:cs="仿宋_GB2312" w:eastAsia="仿宋_GB2312"/>
                    </w:rPr>
                    <w:t>5500-5999</w:t>
                  </w:r>
                </w:p>
              </w:tc>
            </w:tr>
            <w:tr>
              <w:tc>
                <w:tcPr>
                  <w:tcW w:type="dxa" w:w="232"/>
                </w:tcPr>
                <w:p>
                  <w:pPr>
                    <w:pStyle w:val="null3"/>
                  </w:pPr>
                  <w:r>
                    <w:rPr>
                      <w:rFonts w:ascii="仿宋_GB2312" w:hAnsi="仿宋_GB2312" w:cs="仿宋_GB2312" w:eastAsia="仿宋_GB2312"/>
                    </w:rPr>
                    <w:t>13</w:t>
                  </w:r>
                </w:p>
              </w:tc>
              <w:tc>
                <w:tcPr>
                  <w:tcW w:type="dxa" w:w="232"/>
                </w:tcPr>
                <w:p>
                  <w:pPr>
                    <w:pStyle w:val="null3"/>
                  </w:pPr>
                  <w:r>
                    <w:rPr>
                      <w:rFonts w:ascii="仿宋_GB2312" w:hAnsi="仿宋_GB2312" w:cs="仿宋_GB2312" w:eastAsia="仿宋_GB2312"/>
                    </w:rPr>
                    <w:t>6000-6499</w:t>
                  </w:r>
                </w:p>
              </w:tc>
              <w:tc>
                <w:tcPr>
                  <w:tcW w:type="dxa" w:w="232"/>
                </w:tcPr>
                <w:p>
                  <w:pPr>
                    <w:pStyle w:val="null3"/>
                  </w:pPr>
                  <w:r>
                    <w:rPr>
                      <w:rFonts w:ascii="仿宋_GB2312" w:hAnsi="仿宋_GB2312" w:cs="仿宋_GB2312" w:eastAsia="仿宋_GB2312"/>
                    </w:rPr>
                    <w:t>14</w:t>
                  </w:r>
                </w:p>
              </w:tc>
              <w:tc>
                <w:tcPr>
                  <w:tcW w:type="dxa" w:w="232"/>
                </w:tcPr>
                <w:p>
                  <w:pPr>
                    <w:pStyle w:val="null3"/>
                  </w:pPr>
                  <w:r>
                    <w:rPr>
                      <w:rFonts w:ascii="仿宋_GB2312" w:hAnsi="仿宋_GB2312" w:cs="仿宋_GB2312" w:eastAsia="仿宋_GB2312"/>
                    </w:rPr>
                    <w:t>6500-6999</w:t>
                  </w:r>
                </w:p>
              </w:tc>
              <w:tc>
                <w:tcPr>
                  <w:tcW w:type="dxa" w:w="232"/>
                </w:tcPr>
                <w:p>
                  <w:pPr>
                    <w:pStyle w:val="null3"/>
                  </w:pPr>
                  <w:r>
                    <w:rPr>
                      <w:rFonts w:ascii="仿宋_GB2312" w:hAnsi="仿宋_GB2312" w:cs="仿宋_GB2312" w:eastAsia="仿宋_GB2312"/>
                    </w:rPr>
                    <w:t>15</w:t>
                  </w:r>
                </w:p>
              </w:tc>
              <w:tc>
                <w:tcPr>
                  <w:tcW w:type="dxa" w:w="232"/>
                </w:tcPr>
                <w:p>
                  <w:pPr>
                    <w:pStyle w:val="null3"/>
                  </w:pPr>
                  <w:r>
                    <w:rPr>
                      <w:rFonts w:ascii="仿宋_GB2312" w:hAnsi="仿宋_GB2312" w:cs="仿宋_GB2312" w:eastAsia="仿宋_GB2312"/>
                    </w:rPr>
                    <w:t>7000-7499</w:t>
                  </w:r>
                </w:p>
              </w:tc>
              <w:tc>
                <w:tcPr>
                  <w:tcW w:type="dxa" w:w="232"/>
                </w:tcPr>
                <w:p>
                  <w:pPr>
                    <w:pStyle w:val="null3"/>
                  </w:pPr>
                  <w:r>
                    <w:rPr>
                      <w:rFonts w:ascii="仿宋_GB2312" w:hAnsi="仿宋_GB2312" w:cs="仿宋_GB2312" w:eastAsia="仿宋_GB2312"/>
                    </w:rPr>
                    <w:t>16</w:t>
                  </w:r>
                </w:p>
              </w:tc>
              <w:tc>
                <w:tcPr>
                  <w:tcW w:type="dxa" w:w="232"/>
                </w:tcPr>
                <w:p>
                  <w:pPr>
                    <w:pStyle w:val="null3"/>
                  </w:pPr>
                  <w:r>
                    <w:rPr>
                      <w:rFonts w:ascii="仿宋_GB2312" w:hAnsi="仿宋_GB2312" w:cs="仿宋_GB2312" w:eastAsia="仿宋_GB2312"/>
                    </w:rPr>
                    <w:t>7500-7999</w:t>
                  </w:r>
                </w:p>
              </w:tc>
            </w:tr>
            <w:tr>
              <w:tc>
                <w:tcPr>
                  <w:tcW w:type="dxa" w:w="232"/>
                </w:tcPr>
                <w:p>
                  <w:pPr>
                    <w:pStyle w:val="null3"/>
                  </w:pPr>
                  <w:r>
                    <w:rPr>
                      <w:rFonts w:ascii="仿宋_GB2312" w:hAnsi="仿宋_GB2312" w:cs="仿宋_GB2312" w:eastAsia="仿宋_GB2312"/>
                    </w:rPr>
                    <w:t>17</w:t>
                  </w:r>
                </w:p>
              </w:tc>
              <w:tc>
                <w:tcPr>
                  <w:tcW w:type="dxa" w:w="232"/>
                </w:tcPr>
                <w:p>
                  <w:pPr>
                    <w:pStyle w:val="null3"/>
                  </w:pPr>
                  <w:r>
                    <w:rPr>
                      <w:rFonts w:ascii="仿宋_GB2312" w:hAnsi="仿宋_GB2312" w:cs="仿宋_GB2312" w:eastAsia="仿宋_GB2312"/>
                    </w:rPr>
                    <w:t>8000-8499</w:t>
                  </w:r>
                </w:p>
              </w:tc>
              <w:tc>
                <w:tcPr>
                  <w:tcW w:type="dxa" w:w="232"/>
                </w:tcPr>
                <w:p>
                  <w:pPr>
                    <w:pStyle w:val="null3"/>
                  </w:pPr>
                  <w:r>
                    <w:rPr>
                      <w:rFonts w:ascii="仿宋_GB2312" w:hAnsi="仿宋_GB2312" w:cs="仿宋_GB2312" w:eastAsia="仿宋_GB2312"/>
                    </w:rPr>
                    <w:t>18</w:t>
                  </w:r>
                </w:p>
              </w:tc>
              <w:tc>
                <w:tcPr>
                  <w:tcW w:type="dxa" w:w="232"/>
                </w:tcPr>
                <w:p>
                  <w:pPr>
                    <w:pStyle w:val="null3"/>
                  </w:pPr>
                  <w:r>
                    <w:rPr>
                      <w:rFonts w:ascii="仿宋_GB2312" w:hAnsi="仿宋_GB2312" w:cs="仿宋_GB2312" w:eastAsia="仿宋_GB2312"/>
                    </w:rPr>
                    <w:t>8500-8999</w:t>
                  </w:r>
                </w:p>
              </w:tc>
              <w:tc>
                <w:tcPr>
                  <w:tcW w:type="dxa" w:w="232"/>
                </w:tcPr>
                <w:p>
                  <w:pPr>
                    <w:pStyle w:val="null3"/>
                  </w:pPr>
                  <w:r>
                    <w:rPr>
                      <w:rFonts w:ascii="仿宋_GB2312" w:hAnsi="仿宋_GB2312" w:cs="仿宋_GB2312" w:eastAsia="仿宋_GB2312"/>
                    </w:rPr>
                    <w:t>19</w:t>
                  </w:r>
                </w:p>
              </w:tc>
              <w:tc>
                <w:tcPr>
                  <w:tcW w:type="dxa" w:w="232"/>
                </w:tcPr>
                <w:p>
                  <w:pPr>
                    <w:pStyle w:val="null3"/>
                  </w:pPr>
                  <w:r>
                    <w:rPr>
                      <w:rFonts w:ascii="仿宋_GB2312" w:hAnsi="仿宋_GB2312" w:cs="仿宋_GB2312" w:eastAsia="仿宋_GB2312"/>
                    </w:rPr>
                    <w:t>9000-9499</w:t>
                  </w:r>
                </w:p>
              </w:tc>
              <w:tc>
                <w:tcPr>
                  <w:tcW w:type="dxa" w:w="232"/>
                </w:tcPr>
                <w:p>
                  <w:pPr>
                    <w:pStyle w:val="null3"/>
                  </w:pPr>
                  <w:r>
                    <w:rPr>
                      <w:rFonts w:ascii="仿宋_GB2312" w:hAnsi="仿宋_GB2312" w:cs="仿宋_GB2312" w:eastAsia="仿宋_GB2312"/>
                    </w:rPr>
                    <w:t>20</w:t>
                  </w:r>
                </w:p>
              </w:tc>
              <w:tc>
                <w:tcPr>
                  <w:tcW w:type="dxa" w:w="232"/>
                </w:tcPr>
                <w:p>
                  <w:pPr>
                    <w:pStyle w:val="null3"/>
                  </w:pPr>
                  <w:r>
                    <w:rPr>
                      <w:rFonts w:ascii="仿宋_GB2312" w:hAnsi="仿宋_GB2312" w:cs="仿宋_GB2312" w:eastAsia="仿宋_GB2312"/>
                    </w:rPr>
                    <w:t>9500-9999</w:t>
                  </w:r>
                </w:p>
              </w:tc>
            </w:tr>
          </w:tbl>
          <w:p>
            <w:pPr>
              <w:pStyle w:val="null3"/>
            </w:pPr>
            <w:r>
              <w:rPr>
                <w:rFonts w:ascii="仿宋_GB2312" w:hAnsi="仿宋_GB2312" w:cs="仿宋_GB2312" w:eastAsia="仿宋_GB2312"/>
              </w:rPr>
              <w:t>2.4.4 序列号字符清晰、唯一、不得进入图文区域，不得出现透印和粘脏现象。</w:t>
            </w:r>
          </w:p>
          <w:p>
            <w:pPr>
              <w:pStyle w:val="null3"/>
            </w:pPr>
            <w:r>
              <w:rPr>
                <w:rFonts w:ascii="仿宋_GB2312" w:hAnsi="仿宋_GB2312" w:cs="仿宋_GB2312" w:eastAsia="仿宋_GB2312"/>
              </w:rPr>
              <w:t>2.5 警示线</w:t>
            </w:r>
          </w:p>
          <w:p>
            <w:pPr>
              <w:pStyle w:val="null3"/>
            </w:pPr>
            <w:r>
              <w:rPr>
                <w:rFonts w:ascii="仿宋_GB2312" w:hAnsi="仿宋_GB2312" w:cs="仿宋_GB2312" w:eastAsia="仿宋_GB2312"/>
              </w:rPr>
              <w:t>卷票卷尾在热敏涂层面任一侧设置宽度为2.0-5.0mm 的红色警示线，总长度为5张—10张(含测试用纸)。要求划线连续、清晰、无粘脏、无透印、无拖尾、票面无蹭脏，卷票端面无红色脏迹。</w:t>
            </w:r>
          </w:p>
          <w:p>
            <w:pPr>
              <w:pStyle w:val="null3"/>
            </w:pPr>
            <w:r>
              <w:rPr>
                <w:rFonts w:ascii="仿宋_GB2312" w:hAnsi="仿宋_GB2312" w:cs="仿宋_GB2312" w:eastAsia="仿宋_GB2312"/>
              </w:rPr>
              <w:t>2.6 卷票</w:t>
            </w:r>
          </w:p>
          <w:p>
            <w:pPr>
              <w:pStyle w:val="null3"/>
            </w:pPr>
            <w:r>
              <w:rPr>
                <w:rFonts w:ascii="仿宋_GB2312" w:hAnsi="仿宋_GB2312" w:cs="仿宋_GB2312" w:eastAsia="仿宋_GB2312"/>
              </w:rPr>
              <w:t>2.6.1 卷票规格尺寸应符合表4要求：</w:t>
            </w:r>
          </w:p>
          <w:p>
            <w:pPr>
              <w:pStyle w:val="null3"/>
            </w:pPr>
            <w:r>
              <w:rPr>
                <w:rFonts w:ascii="仿宋_GB2312" w:hAnsi="仿宋_GB2312" w:cs="仿宋_GB2312" w:eastAsia="仿宋_GB2312"/>
              </w:rPr>
              <w:t>表4卷票规格</w:t>
            </w:r>
          </w:p>
          <w:tbl>
            <w:tblPr>
              <w:tblBorders>
                <w:top w:val="single"/>
                <w:left w:val="single"/>
                <w:bottom w:val="single"/>
                <w:right w:val="single"/>
                <w:insideH w:val="single"/>
                <w:insideV w:val="single"/>
              </w:tblBorders>
            </w:tblPr>
            <w:tblGrid>
              <w:gridCol w:w="465"/>
              <w:gridCol w:w="465"/>
              <w:gridCol w:w="465"/>
              <w:gridCol w:w="465"/>
            </w:tblGrid>
            <w:tr>
              <w:tc>
                <w:tcPr>
                  <w:tcW w:type="dxa" w:w="930"/>
                  <w:gridSpan w:val="2"/>
                </w:tcPr>
                <w:p>
                  <w:pPr>
                    <w:pStyle w:val="null3"/>
                  </w:pPr>
                  <w:r>
                    <w:rPr>
                      <w:rFonts w:ascii="仿宋_GB2312" w:hAnsi="仿宋_GB2312" w:cs="仿宋_GB2312" w:eastAsia="仿宋_GB2312"/>
                    </w:rPr>
                    <w:t>指标名称</w:t>
                  </w:r>
                </w:p>
              </w:tc>
              <w:tc>
                <w:tcPr>
                  <w:tcW w:type="dxa" w:w="465"/>
                </w:tcPr>
                <w:p>
                  <w:pPr>
                    <w:pStyle w:val="null3"/>
                  </w:pPr>
                  <w:r>
                    <w:rPr>
                      <w:rFonts w:ascii="仿宋_GB2312" w:hAnsi="仿宋_GB2312" w:cs="仿宋_GB2312" w:eastAsia="仿宋_GB2312"/>
                    </w:rPr>
                    <w:t>单位</w:t>
                  </w:r>
                </w:p>
              </w:tc>
              <w:tc>
                <w:tcPr>
                  <w:tcW w:type="dxa" w:w="465"/>
                </w:tcPr>
                <w:p>
                  <w:pPr>
                    <w:pStyle w:val="null3"/>
                  </w:pPr>
                  <w:r>
                    <w:rPr>
                      <w:rFonts w:ascii="仿宋_GB2312" w:hAnsi="仿宋_GB2312" w:cs="仿宋_GB2312" w:eastAsia="仿宋_GB2312"/>
                    </w:rPr>
                    <w:t>技术要求</w:t>
                  </w:r>
                </w:p>
              </w:tc>
            </w:tr>
            <w:tr>
              <w:tc>
                <w:tcPr>
                  <w:tcW w:type="dxa" w:w="465"/>
                  <w:vMerge w:val="restart"/>
                </w:tcPr>
                <w:p>
                  <w:pPr>
                    <w:pStyle w:val="null3"/>
                  </w:pPr>
                  <w:r>
                    <w:rPr>
                      <w:rFonts w:ascii="仿宋_GB2312" w:hAnsi="仿宋_GB2312" w:cs="仿宋_GB2312" w:eastAsia="仿宋_GB2312"/>
                    </w:rPr>
                    <w:t xml:space="preserve"> </w:t>
                  </w:r>
                </w:p>
                <w:p>
                  <w:pPr>
                    <w:pStyle w:val="null3"/>
                  </w:pPr>
                  <w:r>
                    <w:rPr>
                      <w:rFonts w:ascii="仿宋_GB2312" w:hAnsi="仿宋_GB2312" w:cs="仿宋_GB2312" w:eastAsia="仿宋_GB2312"/>
                    </w:rPr>
                    <w:t>规格</w:t>
                  </w:r>
                </w:p>
              </w:tc>
              <w:tc>
                <w:tcPr>
                  <w:tcW w:type="dxa" w:w="465"/>
                </w:tcPr>
                <w:p>
                  <w:pPr>
                    <w:pStyle w:val="null3"/>
                  </w:pPr>
                  <w:r>
                    <w:rPr>
                      <w:rFonts w:ascii="仿宋_GB2312" w:hAnsi="仿宋_GB2312" w:cs="仿宋_GB2312" w:eastAsia="仿宋_GB2312"/>
                    </w:rPr>
                    <w:t>卷宽</w:t>
                  </w:r>
                </w:p>
              </w:tc>
              <w:tc>
                <w:tcPr>
                  <w:tcW w:type="dxa" w:w="465"/>
                  <w:vMerge w:val="restart"/>
                </w:tcPr>
                <w:p>
                  <w:pPr>
                    <w:pStyle w:val="null3"/>
                  </w:pPr>
                  <w:r>
                    <w:rPr>
                      <w:rFonts w:ascii="仿宋_GB2312" w:hAnsi="仿宋_GB2312" w:cs="仿宋_GB2312" w:eastAsia="仿宋_GB2312"/>
                    </w:rPr>
                    <w:t xml:space="preserve"> </w:t>
                  </w:r>
                </w:p>
                <w:p>
                  <w:pPr>
                    <w:pStyle w:val="null3"/>
                  </w:pPr>
                  <w:r>
                    <w:rPr>
                      <w:rFonts w:ascii="仿宋_GB2312" w:hAnsi="仿宋_GB2312" w:cs="仿宋_GB2312" w:eastAsia="仿宋_GB2312"/>
                    </w:rPr>
                    <w:t>mm</w:t>
                  </w:r>
                </w:p>
              </w:tc>
              <w:tc>
                <w:tcPr>
                  <w:tcW w:type="dxa" w:w="465"/>
                </w:tcPr>
                <w:p>
                  <w:pPr>
                    <w:pStyle w:val="null3"/>
                  </w:pPr>
                  <w:r>
                    <w:rPr>
                      <w:rFonts w:ascii="仿宋_GB2312" w:hAnsi="仿宋_GB2312" w:cs="仿宋_GB2312" w:eastAsia="仿宋_GB2312"/>
                    </w:rPr>
                    <w:t>79.0±0.5</w:t>
                  </w:r>
                </w:p>
              </w:tc>
            </w:tr>
            <w:tr>
              <w:tc>
                <w:tcPr>
                  <w:tcW w:type="dxa" w:w="465"/>
                  <w:vMerge/>
                </w:tcPr>
                <w:p/>
              </w:tc>
              <w:tc>
                <w:tcPr>
                  <w:tcW w:type="dxa" w:w="465"/>
                </w:tcPr>
                <w:p>
                  <w:pPr>
                    <w:pStyle w:val="null3"/>
                  </w:pPr>
                  <w:r>
                    <w:rPr>
                      <w:rFonts w:ascii="仿宋_GB2312" w:hAnsi="仿宋_GB2312" w:cs="仿宋_GB2312" w:eastAsia="仿宋_GB2312"/>
                    </w:rPr>
                    <w:t>卷直径</w:t>
                  </w:r>
                </w:p>
              </w:tc>
              <w:tc>
                <w:tcPr>
                  <w:tcW w:type="dxa" w:w="465"/>
                  <w:vMerge/>
                </w:tcPr>
                <w:p/>
              </w:tc>
              <w:tc>
                <w:tcPr>
                  <w:tcW w:type="dxa" w:w="465"/>
                </w:tcPr>
                <w:p>
                  <w:pPr>
                    <w:pStyle w:val="null3"/>
                  </w:pPr>
                  <w:r>
                    <w:rPr>
                      <w:rFonts w:ascii="仿宋_GB2312" w:hAnsi="仿宋_GB2312" w:cs="仿宋_GB2312" w:eastAsia="仿宋_GB2312"/>
                    </w:rPr>
                    <w:t>73.0±1.0</w:t>
                  </w:r>
                </w:p>
              </w:tc>
            </w:tr>
            <w:tr>
              <w:tc>
                <w:tcPr>
                  <w:tcW w:type="dxa" w:w="465"/>
                  <w:vMerge/>
                </w:tcPr>
                <w:p/>
              </w:tc>
              <w:tc>
                <w:tcPr>
                  <w:tcW w:type="dxa" w:w="465"/>
                </w:tcPr>
                <w:p>
                  <w:pPr>
                    <w:pStyle w:val="null3"/>
                  </w:pPr>
                  <w:r>
                    <w:rPr>
                      <w:rFonts w:ascii="仿宋_GB2312" w:hAnsi="仿宋_GB2312" w:cs="仿宋_GB2312" w:eastAsia="仿宋_GB2312"/>
                    </w:rPr>
                    <w:t>内径</w:t>
                  </w:r>
                </w:p>
              </w:tc>
              <w:tc>
                <w:tcPr>
                  <w:tcW w:type="dxa" w:w="465"/>
                  <w:vMerge/>
                </w:tcPr>
                <w:p/>
              </w:tc>
              <w:tc>
                <w:tcPr>
                  <w:tcW w:type="dxa" w:w="465"/>
                </w:tcPr>
                <w:p>
                  <w:pPr>
                    <w:pStyle w:val="null3"/>
                  </w:pPr>
                  <w:r>
                    <w:rPr>
                      <w:rFonts w:ascii="仿宋_GB2312" w:hAnsi="仿宋_GB2312" w:cs="仿宋_GB2312" w:eastAsia="仿宋_GB2312"/>
                    </w:rPr>
                    <w:t>12.0±0.5</w:t>
                  </w:r>
                </w:p>
              </w:tc>
            </w:tr>
          </w:tbl>
          <w:p>
            <w:pPr>
              <w:pStyle w:val="null3"/>
            </w:pPr>
            <w:r>
              <w:rPr>
                <w:rFonts w:ascii="仿宋_GB2312" w:hAnsi="仿宋_GB2312" w:cs="仿宋_GB2312" w:eastAsia="仿宋_GB2312"/>
              </w:rPr>
              <w:t>2.6.2 边条距离右侧纸边≤1.0mm，不允许裁切到边条。</w:t>
            </w:r>
          </w:p>
          <w:p>
            <w:pPr>
              <w:pStyle w:val="null3"/>
            </w:pPr>
            <w:r>
              <w:rPr>
                <w:rFonts w:ascii="仿宋_GB2312" w:hAnsi="仿宋_GB2312" w:cs="仿宋_GB2312" w:eastAsia="仿宋_GB2312"/>
              </w:rPr>
              <w:t>2.6.3 卷票中不应有接头和夹杂其他纸片、纸屑的现象；卷票端面平滑、干净、不发黑、可视警示线印迹;卷票缠绕松紧适中，管芯与热敏票间不能使用胶带或黏合剂，不应有滑移现象;开卷处不能使用胶带、不干胶或黏合剂固定。</w:t>
            </w:r>
          </w:p>
          <w:p>
            <w:pPr>
              <w:pStyle w:val="null3"/>
            </w:pPr>
            <w:r>
              <w:rPr>
                <w:rFonts w:ascii="仿宋_GB2312" w:hAnsi="仿宋_GB2312" w:cs="仿宋_GB2312" w:eastAsia="仿宋_GB2312"/>
              </w:rPr>
              <w:t>2.6.4 卷票圆周方向具有一定抗压性能，在350N的持续压力承压1h 下卷芯不变形。</w:t>
            </w:r>
          </w:p>
          <w:p>
            <w:pPr>
              <w:pStyle w:val="null3"/>
            </w:pPr>
            <w:r>
              <w:rPr>
                <w:rFonts w:ascii="仿宋_GB2312" w:hAnsi="仿宋_GB2312" w:cs="仿宋_GB2312" w:eastAsia="仿宋_GB2312"/>
              </w:rPr>
              <w:t>2.6.5 单张热敏票标准宽度为79.0mm±0.5mm；标准长度为101.6 mm ±0.1 mm；体育彩票投注专用设备可根据打印投注信息内容，设置打印长度为标准长度的1倍~3 倍。</w:t>
            </w:r>
          </w:p>
          <w:p>
            <w:pPr>
              <w:pStyle w:val="null3"/>
            </w:pPr>
            <w:r>
              <w:rPr>
                <w:rFonts w:ascii="仿宋_GB2312" w:hAnsi="仿宋_GB2312" w:cs="仿宋_GB2312" w:eastAsia="仿宋_GB2312"/>
              </w:rPr>
              <w:t>2.7 包装</w:t>
            </w:r>
          </w:p>
          <w:p>
            <w:pPr>
              <w:pStyle w:val="null3"/>
            </w:pPr>
            <w:r>
              <w:rPr>
                <w:rFonts w:ascii="仿宋_GB2312" w:hAnsi="仿宋_GB2312" w:cs="仿宋_GB2312" w:eastAsia="仿宋_GB2312"/>
              </w:rPr>
              <w:t>2.7.1 卷票独立包装，包装材料具有防潮、防光性能。</w:t>
            </w:r>
          </w:p>
          <w:p>
            <w:pPr>
              <w:pStyle w:val="null3"/>
            </w:pPr>
            <w:r>
              <w:rPr>
                <w:rFonts w:ascii="仿宋_GB2312" w:hAnsi="仿宋_GB2312" w:cs="仿宋_GB2312" w:eastAsia="仿宋_GB2312"/>
              </w:rPr>
              <w:t>2.7.2 一箱20卷，分置上下两层；每层2行5列，层间放置隔板，箱体内壁与卷票间距≤10.0mm。</w:t>
            </w:r>
          </w:p>
          <w:p>
            <w:pPr>
              <w:pStyle w:val="null3"/>
            </w:pPr>
            <w:r>
              <w:rPr>
                <w:rFonts w:ascii="仿宋_GB2312" w:hAnsi="仿宋_GB2312" w:cs="仿宋_GB2312" w:eastAsia="仿宋_GB2312"/>
              </w:rPr>
              <w:t>2.8 装箱</w:t>
            </w:r>
          </w:p>
          <w:p>
            <w:pPr>
              <w:pStyle w:val="null3"/>
            </w:pPr>
            <w:r>
              <w:rPr>
                <w:rFonts w:ascii="仿宋_GB2312" w:hAnsi="仿宋_GB2312" w:cs="仿宋_GB2312" w:eastAsia="仿宋_GB2312"/>
              </w:rPr>
              <w:t>2.8.1 使用空箱抗压强度≥1200N的5层瓦楞纸箱。</w:t>
            </w:r>
          </w:p>
          <w:p>
            <w:pPr>
              <w:pStyle w:val="null3"/>
            </w:pPr>
            <w:r>
              <w:rPr>
                <w:rFonts w:ascii="仿宋_GB2312" w:hAnsi="仿宋_GB2312" w:cs="仿宋_GB2312" w:eastAsia="仿宋_GB2312"/>
              </w:rPr>
              <w:t>2.8.2 包装箱摇盖耐折度，纸箱支撑成型后，摇盖经开、合180°往复3次，箱面层和里层裂缝≤10.0mm。</w:t>
            </w:r>
          </w:p>
          <w:p>
            <w:pPr>
              <w:pStyle w:val="null3"/>
            </w:pPr>
            <w:r>
              <w:rPr>
                <w:rFonts w:ascii="仿宋_GB2312" w:hAnsi="仿宋_GB2312" w:cs="仿宋_GB2312" w:eastAsia="仿宋_GB2312"/>
              </w:rPr>
              <w:t>2.8.3 包装箱体上要求有防潮、防晒、防火、小心轻放、请勿倒置、堆码极限、禁止脚踏等包装储运图示标志，应符合GB/T191-2008 规定。</w:t>
            </w:r>
          </w:p>
          <w:p>
            <w:pPr>
              <w:pStyle w:val="null3"/>
            </w:pPr>
            <w:r>
              <w:rPr>
                <w:rFonts w:ascii="仿宋_GB2312" w:hAnsi="仿宋_GB2312" w:cs="仿宋_GB2312" w:eastAsia="仿宋_GB2312"/>
              </w:rPr>
              <w:t>2.8.4 包装箱体上应有产品名称、箱号、产品执行标准、产品合格标志、生产企业、 数量等信息标注;标注信息应打印清晰、位置准确。</w:t>
            </w:r>
          </w:p>
          <w:p>
            <w:pPr>
              <w:pStyle w:val="null3"/>
            </w:pPr>
            <w:r>
              <w:rPr>
                <w:rFonts w:ascii="仿宋_GB2312" w:hAnsi="仿宋_GB2312" w:cs="仿宋_GB2312" w:eastAsia="仿宋_GB2312"/>
              </w:rPr>
              <w:t>2.8.5 包装箱用胶带上下封口，封箱紧度适宜，胶带平整居中。</w:t>
            </w:r>
          </w:p>
          <w:p>
            <w:pPr>
              <w:pStyle w:val="null3"/>
            </w:pPr>
            <w:r>
              <w:rPr>
                <w:rFonts w:ascii="仿宋_GB2312" w:hAnsi="仿宋_GB2312" w:cs="仿宋_GB2312" w:eastAsia="仿宋_GB2312"/>
              </w:rPr>
              <w:t>2.8.6 包装箱箱外用打包带加固，打包带松紧适度、无歪斜。</w:t>
            </w:r>
          </w:p>
          <w:p>
            <w:pPr>
              <w:pStyle w:val="null3"/>
            </w:pPr>
            <w:r>
              <w:rPr>
                <w:rFonts w:ascii="仿宋_GB2312" w:hAnsi="仿宋_GB2312" w:cs="仿宋_GB2312" w:eastAsia="仿宋_GB2312"/>
              </w:rPr>
              <w:t>2.9 使用</w:t>
            </w:r>
          </w:p>
          <w:p>
            <w:pPr>
              <w:pStyle w:val="null3"/>
            </w:pPr>
            <w:r>
              <w:rPr>
                <w:rFonts w:ascii="仿宋_GB2312" w:hAnsi="仿宋_GB2312" w:cs="仿宋_GB2312" w:eastAsia="仿宋_GB2312"/>
              </w:rPr>
              <w:t>2.9.1 使用环境要求：温度-5℃~40℃，相对湿度 (20~95) % 。</w:t>
            </w:r>
          </w:p>
          <w:p>
            <w:pPr>
              <w:pStyle w:val="null3"/>
            </w:pPr>
            <w:r>
              <w:rPr>
                <w:rFonts w:ascii="仿宋_GB2312" w:hAnsi="仿宋_GB2312" w:cs="仿宋_GB2312" w:eastAsia="仿宋_GB2312"/>
              </w:rPr>
              <w:t>2.9.2 使用前应在彩票投注专用设备使用环境下进行干湿平衡存放，存放时间≥4小时。</w:t>
            </w:r>
          </w:p>
          <w:p>
            <w:pPr>
              <w:pStyle w:val="null3"/>
            </w:pPr>
            <w:r>
              <w:rPr>
                <w:rFonts w:ascii="仿宋_GB2312" w:hAnsi="仿宋_GB2312" w:cs="仿宋_GB2312" w:eastAsia="仿宋_GB2312"/>
              </w:rPr>
              <w:t>2.9.3 使用时，体育彩票投注专用设备应符合 GB/ T 28165-2011 的要求。打印速度 均匀、连续，打印分辨率≥1200dpi，动态显色感度≥0.30mJ/dol(7.0 mJ/mm2) 。</w:t>
            </w:r>
          </w:p>
          <w:p>
            <w:pPr>
              <w:pStyle w:val="null3"/>
            </w:pPr>
            <w:r>
              <w:rPr>
                <w:rFonts w:ascii="仿宋_GB2312" w:hAnsi="仿宋_GB2312" w:cs="仿宋_GB2312" w:eastAsia="仿宋_GB2312"/>
              </w:rPr>
              <w:t>2.9.4 使用时，打印内容清晰、完整、容易识读，打印头无明显墨迹，印刷图文内容不粘脏。</w:t>
            </w:r>
          </w:p>
          <w:p>
            <w:pPr>
              <w:pStyle w:val="null3"/>
            </w:pPr>
            <w:r>
              <w:rPr>
                <w:rFonts w:ascii="仿宋_GB2312" w:hAnsi="仿宋_GB2312" w:cs="仿宋_GB2312" w:eastAsia="仿宋_GB2312"/>
              </w:rPr>
              <w:t>2.9.5 光老化性能、热老化性能和耐摩擦性能，显色密度保留率≥80% ;正常保存条件下，热敏票打印显色保留期限≥1年。</w:t>
            </w:r>
          </w:p>
          <w:p>
            <w:pPr>
              <w:pStyle w:val="null3"/>
            </w:pPr>
            <w:r>
              <w:rPr>
                <w:rFonts w:ascii="仿宋_GB2312" w:hAnsi="仿宋_GB2312" w:cs="仿宋_GB2312" w:eastAsia="仿宋_GB2312"/>
              </w:rPr>
              <w:t>3.质保期：打印使用前贮存有效期≥5年。</w:t>
            </w:r>
          </w:p>
          <w:p>
            <w:pPr>
              <w:pStyle w:val="null3"/>
            </w:pPr>
            <w:r>
              <w:rPr>
                <w:rFonts w:ascii="仿宋_GB2312" w:hAnsi="仿宋_GB2312" w:cs="仿宋_GB2312" w:eastAsia="仿宋_GB2312"/>
              </w:rPr>
              <w:t>4.为保障热敏票印制的安全、质量和保密，未经陕西省体育彩票管理中心书面许可，在采购有效期 (合同期限) 内，供应商不得将此次热敏票采购相关权利、义务进行转让或转包给第三方。</w:t>
            </w:r>
          </w:p>
          <w:p>
            <w:pPr>
              <w:pStyle w:val="null3"/>
            </w:pPr>
            <w:r>
              <w:rPr>
                <w:rFonts w:ascii="仿宋_GB2312" w:hAnsi="仿宋_GB2312" w:cs="仿宋_GB2312" w:eastAsia="仿宋_GB2312"/>
              </w:rPr>
              <w:t>5.投标人必须建立完善的保密制度，所有相关雇员均不泄露任何关联热敏票的商业及技术秘密。</w:t>
            </w:r>
          </w:p>
          <w:p>
            <w:pPr>
              <w:pStyle w:val="null3"/>
            </w:pPr>
            <w:r>
              <w:rPr>
                <w:rFonts w:ascii="仿宋_GB2312" w:hAnsi="仿宋_GB2312" w:cs="仿宋_GB2312" w:eastAsia="仿宋_GB2312"/>
              </w:rPr>
              <w:t>6.供应商不得同任何第三方讨论、透露、交易、转让或合作与此次政府采购有关的任 何信息和资料，包括但不限于我中心委托供应商印制热敏票的材料、质量、种类、数量、 目的、作用、工作进度、各项费用标准、相关管理规定、技术标准以及热敏票安全防伪措 施本身的全部技术秘密和商业秘密等。同时，投标人对交付采购人产品类型、数量、起止 编号、移送单位、送达地址等内容负有保密责任。须提供书面承诺，未提供为无效投标。</w:t>
            </w:r>
          </w:p>
          <w:p>
            <w:pPr>
              <w:pStyle w:val="null3"/>
            </w:pPr>
            <w:r>
              <w:rPr>
                <w:rFonts w:ascii="仿宋_GB2312" w:hAnsi="仿宋_GB2312" w:cs="仿宋_GB2312" w:eastAsia="仿宋_GB2312"/>
              </w:rPr>
              <w:t>三、样品要求</w:t>
            </w:r>
          </w:p>
          <w:p>
            <w:pPr>
              <w:pStyle w:val="null3"/>
            </w:pPr>
            <w:r>
              <w:rPr>
                <w:rFonts w:ascii="仿宋_GB2312" w:hAnsi="仿宋_GB2312" w:cs="仿宋_GB2312" w:eastAsia="仿宋_GB2312"/>
              </w:rPr>
              <w:t>1、投标人需提供1套样品：1整箱+1卷体育彩票热敏票样品(卷外用塑料热缩包装)。</w:t>
            </w:r>
          </w:p>
          <w:p>
            <w:pPr>
              <w:pStyle w:val="null3"/>
            </w:pPr>
            <w:r>
              <w:rPr>
                <w:rFonts w:ascii="仿宋_GB2312" w:hAnsi="仿宋_GB2312" w:cs="仿宋_GB2312" w:eastAsia="仿宋_GB2312"/>
              </w:rPr>
              <w:t>2、投标人递交样品时需同时提供单独的加盖公章样品清单，注明项目名称、采购编号、样品名称及数量、投标人名称，随样品摆放在一起。样品及包装上不得有可以识别投标人的任何标志与标识。评审采用盲样，由现场监督在评审前随机编号进入评审。</w:t>
            </w:r>
          </w:p>
          <w:p>
            <w:pPr>
              <w:pStyle w:val="null3"/>
            </w:pPr>
            <w:r>
              <w:rPr>
                <w:rFonts w:ascii="仿宋_GB2312" w:hAnsi="仿宋_GB2312" w:cs="仿宋_GB2312" w:eastAsia="仿宋_GB2312"/>
              </w:rPr>
              <w:t>注：投标多包的仅需提供1套样品。</w:t>
            </w:r>
          </w:p>
          <w:p>
            <w:pPr>
              <w:pStyle w:val="null3"/>
            </w:pPr>
            <w:r>
              <w:rPr>
                <w:rFonts w:ascii="仿宋_GB2312" w:hAnsi="仿宋_GB2312" w:cs="仿宋_GB2312" w:eastAsia="仿宋_GB2312"/>
              </w:rPr>
              <w:t>3、样品要求：1整箱样品要求原包装；1卷样票样品版面按采购人提供的图案制作。其它技术要求按照《体育彩票专用热敏票技术要求及检验方法》(TY/T3902-2019) 标准。</w:t>
            </w:r>
          </w:p>
          <w:p>
            <w:pPr>
              <w:pStyle w:val="null3"/>
            </w:pPr>
            <w:r>
              <w:rPr>
                <w:rFonts w:ascii="仿宋_GB2312" w:hAnsi="仿宋_GB2312" w:cs="仿宋_GB2312" w:eastAsia="仿宋_GB2312"/>
              </w:rPr>
              <w:t>4、样品测量表 (评审使用)</w:t>
            </w:r>
          </w:p>
          <w:tbl>
            <w:tblPr>
              <w:tblBorders>
                <w:top w:val="single"/>
                <w:left w:val="single"/>
                <w:bottom w:val="single"/>
                <w:right w:val="single"/>
                <w:insideH w:val="single"/>
                <w:insideV w:val="single"/>
              </w:tblBorders>
            </w:tblPr>
            <w:tblGrid>
              <w:gridCol w:w="310"/>
              <w:gridCol w:w="310"/>
              <w:gridCol w:w="310"/>
              <w:gridCol w:w="310"/>
              <w:gridCol w:w="310"/>
              <w:gridCol w:w="310"/>
            </w:tblGrid>
            <w:tr>
              <w:tc>
                <w:tcPr>
                  <w:tcW w:type="dxa" w:w="310"/>
                </w:tcPr>
                <w:p>
                  <w:pPr>
                    <w:pStyle w:val="null3"/>
                  </w:pPr>
                  <w:r>
                    <w:rPr>
                      <w:rFonts w:ascii="仿宋_GB2312" w:hAnsi="仿宋_GB2312" w:cs="仿宋_GB2312" w:eastAsia="仿宋_GB2312"/>
                    </w:rPr>
                    <w:t>测量序号</w:t>
                  </w:r>
                </w:p>
              </w:tc>
              <w:tc>
                <w:tcPr>
                  <w:tcW w:type="dxa" w:w="310"/>
                </w:tcPr>
                <w:p>
                  <w:pPr>
                    <w:pStyle w:val="null3"/>
                  </w:pPr>
                  <w:r>
                    <w:rPr>
                      <w:rFonts w:ascii="仿宋_GB2312" w:hAnsi="仿宋_GB2312" w:cs="仿宋_GB2312" w:eastAsia="仿宋_GB2312"/>
                    </w:rPr>
                    <w:t>图片</w:t>
                  </w:r>
                </w:p>
                <w:p>
                  <w:pPr>
                    <w:pStyle w:val="null3"/>
                  </w:pPr>
                  <w:r>
                    <w:rPr>
                      <w:rFonts w:ascii="仿宋_GB2312" w:hAnsi="仿宋_GB2312" w:cs="仿宋_GB2312" w:eastAsia="仿宋_GB2312"/>
                    </w:rPr>
                    <w:t>主题</w:t>
                  </w:r>
                </w:p>
              </w:tc>
              <w:tc>
                <w:tcPr>
                  <w:tcW w:type="dxa" w:w="310"/>
                </w:tcPr>
                <w:p>
                  <w:pPr>
                    <w:pStyle w:val="null3"/>
                  </w:pPr>
                  <w:r>
                    <w:rPr>
                      <w:rFonts w:ascii="仿宋_GB2312" w:hAnsi="仿宋_GB2312" w:cs="仿宋_GB2312" w:eastAsia="仿宋_GB2312"/>
                    </w:rPr>
                    <w:t>标准</w:t>
                  </w:r>
                </w:p>
                <w:p>
                  <w:pPr>
                    <w:pStyle w:val="null3"/>
                  </w:pPr>
                  <w:r>
                    <w:rPr>
                      <w:rFonts w:ascii="仿宋_GB2312" w:hAnsi="仿宋_GB2312" w:cs="仿宋_GB2312" w:eastAsia="仿宋_GB2312"/>
                    </w:rPr>
                    <w:t>色值</w:t>
                  </w:r>
                </w:p>
              </w:tc>
              <w:tc>
                <w:tcPr>
                  <w:tcW w:type="dxa" w:w="310"/>
                </w:tcPr>
                <w:p>
                  <w:pPr>
                    <w:pStyle w:val="null3"/>
                  </w:pPr>
                  <w:r>
                    <w:rPr>
                      <w:rFonts w:ascii="仿宋_GB2312" w:hAnsi="仿宋_GB2312" w:cs="仿宋_GB2312" w:eastAsia="仿宋_GB2312"/>
                    </w:rPr>
                    <w:t>实测</w:t>
                  </w:r>
                </w:p>
                <w:p>
                  <w:pPr>
                    <w:pStyle w:val="null3"/>
                  </w:pPr>
                  <w:r>
                    <w:rPr>
                      <w:rFonts w:ascii="仿宋_GB2312" w:hAnsi="仿宋_GB2312" w:cs="仿宋_GB2312" w:eastAsia="仿宋_GB2312"/>
                    </w:rPr>
                    <w:t>数值</w:t>
                  </w:r>
                </w:p>
              </w:tc>
              <w:tc>
                <w:tcPr>
                  <w:tcW w:type="dxa" w:w="310"/>
                </w:tcPr>
                <w:p>
                  <w:pPr>
                    <w:pStyle w:val="null3"/>
                  </w:pPr>
                  <w:r>
                    <w:rPr>
                      <w:rFonts w:ascii="仿宋_GB2312" w:hAnsi="仿宋_GB2312" w:cs="仿宋_GB2312" w:eastAsia="仿宋_GB2312"/>
                    </w:rPr>
                    <w:t>测量差值</w:t>
                  </w:r>
                </w:p>
              </w:tc>
              <w:tc>
                <w:tcPr>
                  <w:tcW w:type="dxa" w:w="310"/>
                </w:tcPr>
                <w:p>
                  <w:pPr>
                    <w:pStyle w:val="null3"/>
                  </w:pPr>
                  <w:r>
                    <w:rPr>
                      <w:rFonts w:ascii="仿宋_GB2312" w:hAnsi="仿宋_GB2312" w:cs="仿宋_GB2312" w:eastAsia="仿宋_GB2312"/>
                    </w:rPr>
                    <w:t>得分</w:t>
                  </w:r>
                </w:p>
              </w:tc>
            </w:tr>
            <w:tr>
              <w:tc>
                <w:tcPr>
                  <w:tcW w:type="dxa" w:w="310"/>
                </w:tcPr>
                <w:p>
                  <w:pPr>
                    <w:pStyle w:val="null3"/>
                  </w:pPr>
                  <w:r>
                    <w:rPr>
                      <w:rFonts w:ascii="仿宋_GB2312" w:hAnsi="仿宋_GB2312" w:cs="仿宋_GB2312" w:eastAsia="仿宋_GB2312"/>
                    </w:rPr>
                    <w:t>06-01</w:t>
                  </w:r>
                </w:p>
              </w:tc>
              <w:tc>
                <w:tcPr>
                  <w:tcW w:type="dxa" w:w="310"/>
                </w:tcPr>
                <w:p>
                  <w:pPr>
                    <w:pStyle w:val="null3"/>
                  </w:pPr>
                  <w:r>
                    <w:rPr>
                      <w:rFonts w:ascii="仿宋_GB2312" w:hAnsi="仿宋_GB2312" w:cs="仿宋_GB2312" w:eastAsia="仿宋_GB2312"/>
                    </w:rPr>
                    <w:t>社保</w:t>
                  </w:r>
                </w:p>
                <w:p>
                  <w:pPr>
                    <w:pStyle w:val="null3"/>
                  </w:pPr>
                  <w:r>
                    <w:rPr>
                      <w:rFonts w:ascii="仿宋_GB2312" w:hAnsi="仿宋_GB2312" w:cs="仿宋_GB2312" w:eastAsia="仿宋_GB2312"/>
                    </w:rPr>
                    <w:t>基金</w:t>
                  </w:r>
                </w:p>
              </w:tc>
              <w:tc>
                <w:tcPr>
                  <w:tcW w:type="dxa" w:w="310"/>
                </w:tcPr>
                <w:p>
                  <w:pPr>
                    <w:pStyle w:val="null3"/>
                  </w:pPr>
                  <w:r>
                    <w:rPr>
                      <w:rFonts w:ascii="仿宋_GB2312" w:hAnsi="仿宋_GB2312" w:cs="仿宋_GB2312" w:eastAsia="仿宋_GB2312"/>
                    </w:rPr>
                    <w:t>L*</w:t>
                  </w:r>
                </w:p>
                <w:p>
                  <w:pPr>
                    <w:pStyle w:val="null3"/>
                  </w:pPr>
                  <w:r>
                    <w:rPr>
                      <w:rFonts w:ascii="仿宋_GB2312" w:hAnsi="仿宋_GB2312" w:cs="仿宋_GB2312" w:eastAsia="仿宋_GB2312"/>
                    </w:rPr>
                    <w:t>a*</w:t>
                  </w:r>
                </w:p>
                <w:p>
                  <w:pPr>
                    <w:pStyle w:val="null3"/>
                  </w:pPr>
                  <w:r>
                    <w:rPr>
                      <w:rFonts w:ascii="仿宋_GB2312" w:hAnsi="仿宋_GB2312" w:cs="仿宋_GB2312" w:eastAsia="仿宋_GB2312"/>
                    </w:rPr>
                    <w:t>b*</w:t>
                  </w:r>
                </w:p>
              </w:tc>
              <w:tc>
                <w:tcPr>
                  <w:tcW w:type="dxa" w:w="310"/>
                </w:tcPr>
                <w:p>
                  <w:pPr>
                    <w:pStyle w:val="null3"/>
                  </w:pPr>
                  <w:r>
                    <w:rPr>
                      <w:rFonts w:ascii="仿宋_GB2312" w:hAnsi="仿宋_GB2312" w:cs="仿宋_GB2312" w:eastAsia="仿宋_GB2312"/>
                    </w:rPr>
                    <w:t>L*=</w:t>
                  </w:r>
                </w:p>
                <w:p>
                  <w:pPr>
                    <w:pStyle w:val="null3"/>
                  </w:pPr>
                  <w:r>
                    <w:rPr>
                      <w:rFonts w:ascii="仿宋_GB2312" w:hAnsi="仿宋_GB2312" w:cs="仿宋_GB2312" w:eastAsia="仿宋_GB2312"/>
                    </w:rPr>
                    <w:t>a*=</w:t>
                  </w:r>
                </w:p>
                <w:p>
                  <w:pPr>
                    <w:pStyle w:val="null3"/>
                  </w:pPr>
                  <w:r>
                    <w:rPr>
                      <w:rFonts w:ascii="仿宋_GB2312" w:hAnsi="仿宋_GB2312" w:cs="仿宋_GB2312" w:eastAsia="仿宋_GB2312"/>
                    </w:rPr>
                    <w:t>b*=</w:t>
                  </w:r>
                </w:p>
              </w:tc>
              <w:tc>
                <w:tcPr>
                  <w:tcW w:type="dxa" w:w="310"/>
                </w:tcPr>
                <w:p>
                  <w:pPr>
                    <w:pStyle w:val="null3"/>
                  </w:pPr>
                  <w:r>
                    <w:rPr>
                      <w:rFonts w:ascii="仿宋_GB2312" w:hAnsi="仿宋_GB2312" w:cs="仿宋_GB2312" w:eastAsia="仿宋_GB2312"/>
                    </w:rPr>
                    <w:t>△L*=</w:t>
                  </w:r>
                </w:p>
                <w:p>
                  <w:pPr>
                    <w:pStyle w:val="null3"/>
                  </w:pPr>
                  <w:r>
                    <w:rPr>
                      <w:rFonts w:ascii="仿宋_GB2312" w:hAnsi="仿宋_GB2312" w:cs="仿宋_GB2312" w:eastAsia="仿宋_GB2312"/>
                    </w:rPr>
                    <w:t>△a*=</w:t>
                  </w:r>
                </w:p>
                <w:p>
                  <w:pPr>
                    <w:pStyle w:val="null3"/>
                  </w:pPr>
                  <w:r>
                    <w:rPr>
                      <w:rFonts w:ascii="仿宋_GB2312" w:hAnsi="仿宋_GB2312" w:cs="仿宋_GB2312" w:eastAsia="仿宋_GB2312"/>
                    </w:rPr>
                    <w:t>△b*=</w:t>
                  </w:r>
                </w:p>
              </w:tc>
              <w:tc>
                <w:tcPr>
                  <w:tcW w:type="dxa" w:w="310"/>
                </w:tcPr>
                <w:p>
                  <w:pPr>
                    <w:pStyle w:val="null3"/>
                  </w:pPr>
                  <w:r>
                    <w:rPr>
                      <w:rFonts w:ascii="仿宋_GB2312" w:hAnsi="仿宋_GB2312" w:cs="仿宋_GB2312" w:eastAsia="仿宋_GB2312"/>
                    </w:rPr>
                    <w:t xml:space="preserve"> </w:t>
                  </w:r>
                </w:p>
              </w:tc>
            </w:tr>
            <w:tr>
              <w:tc>
                <w:tcPr>
                  <w:tcW w:type="dxa" w:w="310"/>
                </w:tcPr>
                <w:p>
                  <w:pPr>
                    <w:pStyle w:val="null3"/>
                  </w:pPr>
                  <w:r>
                    <w:rPr>
                      <w:rFonts w:ascii="仿宋_GB2312" w:hAnsi="仿宋_GB2312" w:cs="仿宋_GB2312" w:eastAsia="仿宋_GB2312"/>
                    </w:rPr>
                    <w:t>06-02</w:t>
                  </w:r>
                </w:p>
              </w:tc>
              <w:tc>
                <w:tcPr>
                  <w:tcW w:type="dxa" w:w="310"/>
                </w:tcPr>
                <w:p>
                  <w:pPr>
                    <w:pStyle w:val="null3"/>
                  </w:pPr>
                  <w:r>
                    <w:rPr>
                      <w:rFonts w:ascii="仿宋_GB2312" w:hAnsi="仿宋_GB2312" w:cs="仿宋_GB2312" w:eastAsia="仿宋_GB2312"/>
                    </w:rPr>
                    <w:t>教育</w:t>
                  </w:r>
                </w:p>
                <w:p>
                  <w:pPr>
                    <w:pStyle w:val="null3"/>
                  </w:pPr>
                  <w:r>
                    <w:rPr>
                      <w:rFonts w:ascii="仿宋_GB2312" w:hAnsi="仿宋_GB2312" w:cs="仿宋_GB2312" w:eastAsia="仿宋_GB2312"/>
                    </w:rPr>
                    <w:t>助学</w:t>
                  </w:r>
                </w:p>
              </w:tc>
              <w:tc>
                <w:tcPr>
                  <w:tcW w:type="dxa" w:w="310"/>
                </w:tcPr>
                <w:p>
                  <w:pPr>
                    <w:pStyle w:val="null3"/>
                  </w:pPr>
                  <w:r>
                    <w:rPr>
                      <w:rFonts w:ascii="仿宋_GB2312" w:hAnsi="仿宋_GB2312" w:cs="仿宋_GB2312" w:eastAsia="仿宋_GB2312"/>
                    </w:rPr>
                    <w:t>L*</w:t>
                  </w:r>
                </w:p>
                <w:p>
                  <w:pPr>
                    <w:pStyle w:val="null3"/>
                  </w:pPr>
                  <w:r>
                    <w:rPr>
                      <w:rFonts w:ascii="仿宋_GB2312" w:hAnsi="仿宋_GB2312" w:cs="仿宋_GB2312" w:eastAsia="仿宋_GB2312"/>
                    </w:rPr>
                    <w:t>a*</w:t>
                  </w:r>
                </w:p>
                <w:p>
                  <w:pPr>
                    <w:pStyle w:val="null3"/>
                  </w:pPr>
                  <w:r>
                    <w:rPr>
                      <w:rFonts w:ascii="仿宋_GB2312" w:hAnsi="仿宋_GB2312" w:cs="仿宋_GB2312" w:eastAsia="仿宋_GB2312"/>
                    </w:rPr>
                    <w:t>b*</w:t>
                  </w:r>
                </w:p>
              </w:tc>
              <w:tc>
                <w:tcPr>
                  <w:tcW w:type="dxa" w:w="310"/>
                </w:tcPr>
                <w:p>
                  <w:pPr>
                    <w:pStyle w:val="null3"/>
                  </w:pPr>
                  <w:r>
                    <w:rPr>
                      <w:rFonts w:ascii="仿宋_GB2312" w:hAnsi="仿宋_GB2312" w:cs="仿宋_GB2312" w:eastAsia="仿宋_GB2312"/>
                    </w:rPr>
                    <w:t>L*=</w:t>
                  </w:r>
                </w:p>
                <w:p>
                  <w:pPr>
                    <w:pStyle w:val="null3"/>
                  </w:pPr>
                  <w:r>
                    <w:rPr>
                      <w:rFonts w:ascii="仿宋_GB2312" w:hAnsi="仿宋_GB2312" w:cs="仿宋_GB2312" w:eastAsia="仿宋_GB2312"/>
                    </w:rPr>
                    <w:t>a*=</w:t>
                  </w:r>
                </w:p>
                <w:p>
                  <w:pPr>
                    <w:pStyle w:val="null3"/>
                  </w:pPr>
                  <w:r>
                    <w:rPr>
                      <w:rFonts w:ascii="仿宋_GB2312" w:hAnsi="仿宋_GB2312" w:cs="仿宋_GB2312" w:eastAsia="仿宋_GB2312"/>
                    </w:rPr>
                    <w:t>b*=</w:t>
                  </w:r>
                </w:p>
              </w:tc>
              <w:tc>
                <w:tcPr>
                  <w:tcW w:type="dxa" w:w="310"/>
                </w:tcPr>
                <w:p>
                  <w:pPr>
                    <w:pStyle w:val="null3"/>
                  </w:pPr>
                  <w:r>
                    <w:rPr>
                      <w:rFonts w:ascii="仿宋_GB2312" w:hAnsi="仿宋_GB2312" w:cs="仿宋_GB2312" w:eastAsia="仿宋_GB2312"/>
                    </w:rPr>
                    <w:t>△L*=</w:t>
                  </w:r>
                </w:p>
                <w:p>
                  <w:pPr>
                    <w:pStyle w:val="null3"/>
                  </w:pPr>
                  <w:r>
                    <w:rPr>
                      <w:rFonts w:ascii="仿宋_GB2312" w:hAnsi="仿宋_GB2312" w:cs="仿宋_GB2312" w:eastAsia="仿宋_GB2312"/>
                    </w:rPr>
                    <w:t>△a*=</w:t>
                  </w:r>
                </w:p>
                <w:p>
                  <w:pPr>
                    <w:pStyle w:val="null3"/>
                  </w:pPr>
                  <w:r>
                    <w:rPr>
                      <w:rFonts w:ascii="仿宋_GB2312" w:hAnsi="仿宋_GB2312" w:cs="仿宋_GB2312" w:eastAsia="仿宋_GB2312"/>
                    </w:rPr>
                    <w:t>△b*=</w:t>
                  </w:r>
                </w:p>
              </w:tc>
              <w:tc>
                <w:tcPr>
                  <w:tcW w:type="dxa" w:w="310"/>
                </w:tcPr>
                <w:p>
                  <w:pPr>
                    <w:pStyle w:val="null3"/>
                  </w:pPr>
                  <w:r>
                    <w:rPr>
                      <w:rFonts w:ascii="仿宋_GB2312" w:hAnsi="仿宋_GB2312" w:cs="仿宋_GB2312" w:eastAsia="仿宋_GB2312"/>
                    </w:rPr>
                    <w:t xml:space="preserve"> </w:t>
                  </w:r>
                </w:p>
              </w:tc>
            </w:tr>
            <w:tr>
              <w:tc>
                <w:tcPr>
                  <w:tcW w:type="dxa" w:w="310"/>
                </w:tcPr>
                <w:p>
                  <w:pPr>
                    <w:pStyle w:val="null3"/>
                  </w:pPr>
                  <w:r>
                    <w:rPr>
                      <w:rFonts w:ascii="仿宋_GB2312" w:hAnsi="仿宋_GB2312" w:cs="仿宋_GB2312" w:eastAsia="仿宋_GB2312"/>
                    </w:rPr>
                    <w:t>06-03</w:t>
                  </w:r>
                </w:p>
              </w:tc>
              <w:tc>
                <w:tcPr>
                  <w:tcW w:type="dxa" w:w="310"/>
                </w:tcPr>
                <w:p>
                  <w:pPr>
                    <w:pStyle w:val="null3"/>
                  </w:pPr>
                  <w:r>
                    <w:rPr>
                      <w:rFonts w:ascii="仿宋_GB2312" w:hAnsi="仿宋_GB2312" w:cs="仿宋_GB2312" w:eastAsia="仿宋_GB2312"/>
                    </w:rPr>
                    <w:t>乡村</w:t>
                  </w:r>
                </w:p>
                <w:p>
                  <w:pPr>
                    <w:pStyle w:val="null3"/>
                  </w:pPr>
                  <w:r>
                    <w:rPr>
                      <w:rFonts w:ascii="仿宋_GB2312" w:hAnsi="仿宋_GB2312" w:cs="仿宋_GB2312" w:eastAsia="仿宋_GB2312"/>
                    </w:rPr>
                    <w:t>振兴</w:t>
                  </w:r>
                </w:p>
              </w:tc>
              <w:tc>
                <w:tcPr>
                  <w:tcW w:type="dxa" w:w="310"/>
                </w:tcPr>
                <w:p>
                  <w:pPr>
                    <w:pStyle w:val="null3"/>
                  </w:pPr>
                  <w:r>
                    <w:rPr>
                      <w:rFonts w:ascii="仿宋_GB2312" w:hAnsi="仿宋_GB2312" w:cs="仿宋_GB2312" w:eastAsia="仿宋_GB2312"/>
                    </w:rPr>
                    <w:t>L*</w:t>
                  </w:r>
                </w:p>
                <w:p>
                  <w:pPr>
                    <w:pStyle w:val="null3"/>
                  </w:pPr>
                  <w:r>
                    <w:rPr>
                      <w:rFonts w:ascii="仿宋_GB2312" w:hAnsi="仿宋_GB2312" w:cs="仿宋_GB2312" w:eastAsia="仿宋_GB2312"/>
                    </w:rPr>
                    <w:t>a*</w:t>
                  </w:r>
                </w:p>
                <w:p>
                  <w:pPr>
                    <w:pStyle w:val="null3"/>
                  </w:pPr>
                  <w:r>
                    <w:rPr>
                      <w:rFonts w:ascii="仿宋_GB2312" w:hAnsi="仿宋_GB2312" w:cs="仿宋_GB2312" w:eastAsia="仿宋_GB2312"/>
                    </w:rPr>
                    <w:t>b*</w:t>
                  </w:r>
                </w:p>
              </w:tc>
              <w:tc>
                <w:tcPr>
                  <w:tcW w:type="dxa" w:w="310"/>
                </w:tcPr>
                <w:p>
                  <w:pPr>
                    <w:pStyle w:val="null3"/>
                  </w:pPr>
                  <w:r>
                    <w:rPr>
                      <w:rFonts w:ascii="仿宋_GB2312" w:hAnsi="仿宋_GB2312" w:cs="仿宋_GB2312" w:eastAsia="仿宋_GB2312"/>
                    </w:rPr>
                    <w:t>L*=</w:t>
                  </w:r>
                </w:p>
                <w:p>
                  <w:pPr>
                    <w:pStyle w:val="null3"/>
                  </w:pPr>
                  <w:r>
                    <w:rPr>
                      <w:rFonts w:ascii="仿宋_GB2312" w:hAnsi="仿宋_GB2312" w:cs="仿宋_GB2312" w:eastAsia="仿宋_GB2312"/>
                    </w:rPr>
                    <w:t>a*=</w:t>
                  </w:r>
                </w:p>
                <w:p>
                  <w:pPr>
                    <w:pStyle w:val="null3"/>
                  </w:pPr>
                  <w:r>
                    <w:rPr>
                      <w:rFonts w:ascii="仿宋_GB2312" w:hAnsi="仿宋_GB2312" w:cs="仿宋_GB2312" w:eastAsia="仿宋_GB2312"/>
                    </w:rPr>
                    <w:t>b*=</w:t>
                  </w:r>
                </w:p>
              </w:tc>
              <w:tc>
                <w:tcPr>
                  <w:tcW w:type="dxa" w:w="310"/>
                </w:tcPr>
                <w:p>
                  <w:pPr>
                    <w:pStyle w:val="null3"/>
                  </w:pPr>
                  <w:r>
                    <w:rPr>
                      <w:rFonts w:ascii="仿宋_GB2312" w:hAnsi="仿宋_GB2312" w:cs="仿宋_GB2312" w:eastAsia="仿宋_GB2312"/>
                    </w:rPr>
                    <w:t>△L*=</w:t>
                  </w:r>
                </w:p>
                <w:p>
                  <w:pPr>
                    <w:pStyle w:val="null3"/>
                  </w:pPr>
                  <w:r>
                    <w:rPr>
                      <w:rFonts w:ascii="仿宋_GB2312" w:hAnsi="仿宋_GB2312" w:cs="仿宋_GB2312" w:eastAsia="仿宋_GB2312"/>
                    </w:rPr>
                    <w:t>△a*=</w:t>
                  </w:r>
                </w:p>
                <w:p>
                  <w:pPr>
                    <w:pStyle w:val="null3"/>
                  </w:pPr>
                  <w:r>
                    <w:rPr>
                      <w:rFonts w:ascii="仿宋_GB2312" w:hAnsi="仿宋_GB2312" w:cs="仿宋_GB2312" w:eastAsia="仿宋_GB2312"/>
                    </w:rPr>
                    <w:t>△b*=</w:t>
                  </w:r>
                </w:p>
              </w:tc>
              <w:tc>
                <w:tcPr>
                  <w:tcW w:type="dxa" w:w="310"/>
                </w:tcPr>
                <w:p>
                  <w:pPr>
                    <w:pStyle w:val="null3"/>
                  </w:pPr>
                  <w:r>
                    <w:rPr>
                      <w:rFonts w:ascii="仿宋_GB2312" w:hAnsi="仿宋_GB2312" w:cs="仿宋_GB2312" w:eastAsia="仿宋_GB2312"/>
                    </w:rPr>
                    <w:t xml:space="preserve"> </w:t>
                  </w:r>
                </w:p>
              </w:tc>
            </w:tr>
            <w:tr>
              <w:tc>
                <w:tcPr>
                  <w:tcW w:type="dxa" w:w="310"/>
                </w:tcPr>
                <w:p>
                  <w:pPr>
                    <w:pStyle w:val="null3"/>
                  </w:pPr>
                  <w:r>
                    <w:rPr>
                      <w:rFonts w:ascii="仿宋_GB2312" w:hAnsi="仿宋_GB2312" w:cs="仿宋_GB2312" w:eastAsia="仿宋_GB2312"/>
                    </w:rPr>
                    <w:t>06-04</w:t>
                  </w:r>
                </w:p>
              </w:tc>
              <w:tc>
                <w:tcPr>
                  <w:tcW w:type="dxa" w:w="310"/>
                </w:tcPr>
                <w:p>
                  <w:pPr>
                    <w:pStyle w:val="null3"/>
                  </w:pPr>
                  <w:r>
                    <w:rPr>
                      <w:rFonts w:ascii="仿宋_GB2312" w:hAnsi="仿宋_GB2312" w:cs="仿宋_GB2312" w:eastAsia="仿宋_GB2312"/>
                    </w:rPr>
                    <w:t>竞技</w:t>
                  </w:r>
                </w:p>
                <w:p>
                  <w:pPr>
                    <w:pStyle w:val="null3"/>
                  </w:pPr>
                  <w:r>
                    <w:rPr>
                      <w:rFonts w:ascii="仿宋_GB2312" w:hAnsi="仿宋_GB2312" w:cs="仿宋_GB2312" w:eastAsia="仿宋_GB2312"/>
                    </w:rPr>
                    <w:t>体育</w:t>
                  </w:r>
                </w:p>
              </w:tc>
              <w:tc>
                <w:tcPr>
                  <w:tcW w:type="dxa" w:w="310"/>
                </w:tcPr>
                <w:p>
                  <w:pPr>
                    <w:pStyle w:val="null3"/>
                  </w:pPr>
                  <w:r>
                    <w:rPr>
                      <w:rFonts w:ascii="仿宋_GB2312" w:hAnsi="仿宋_GB2312" w:cs="仿宋_GB2312" w:eastAsia="仿宋_GB2312"/>
                    </w:rPr>
                    <w:t>L*</w:t>
                  </w:r>
                </w:p>
                <w:p>
                  <w:pPr>
                    <w:pStyle w:val="null3"/>
                  </w:pPr>
                  <w:r>
                    <w:rPr>
                      <w:rFonts w:ascii="仿宋_GB2312" w:hAnsi="仿宋_GB2312" w:cs="仿宋_GB2312" w:eastAsia="仿宋_GB2312"/>
                    </w:rPr>
                    <w:t>a*</w:t>
                  </w:r>
                </w:p>
                <w:p>
                  <w:pPr>
                    <w:pStyle w:val="null3"/>
                  </w:pPr>
                  <w:r>
                    <w:rPr>
                      <w:rFonts w:ascii="仿宋_GB2312" w:hAnsi="仿宋_GB2312" w:cs="仿宋_GB2312" w:eastAsia="仿宋_GB2312"/>
                    </w:rPr>
                    <w:t>b*</w:t>
                  </w:r>
                </w:p>
              </w:tc>
              <w:tc>
                <w:tcPr>
                  <w:tcW w:type="dxa" w:w="310"/>
                </w:tcPr>
                <w:p>
                  <w:pPr>
                    <w:pStyle w:val="null3"/>
                  </w:pPr>
                  <w:r>
                    <w:rPr>
                      <w:rFonts w:ascii="仿宋_GB2312" w:hAnsi="仿宋_GB2312" w:cs="仿宋_GB2312" w:eastAsia="仿宋_GB2312"/>
                    </w:rPr>
                    <w:t>L*=</w:t>
                  </w:r>
                </w:p>
                <w:p>
                  <w:pPr>
                    <w:pStyle w:val="null3"/>
                  </w:pPr>
                  <w:r>
                    <w:rPr>
                      <w:rFonts w:ascii="仿宋_GB2312" w:hAnsi="仿宋_GB2312" w:cs="仿宋_GB2312" w:eastAsia="仿宋_GB2312"/>
                    </w:rPr>
                    <w:t>a*=</w:t>
                  </w:r>
                </w:p>
                <w:p>
                  <w:pPr>
                    <w:pStyle w:val="null3"/>
                  </w:pPr>
                  <w:r>
                    <w:rPr>
                      <w:rFonts w:ascii="仿宋_GB2312" w:hAnsi="仿宋_GB2312" w:cs="仿宋_GB2312" w:eastAsia="仿宋_GB2312"/>
                    </w:rPr>
                    <w:t>b*=</w:t>
                  </w:r>
                </w:p>
              </w:tc>
              <w:tc>
                <w:tcPr>
                  <w:tcW w:type="dxa" w:w="310"/>
                </w:tcPr>
                <w:p>
                  <w:pPr>
                    <w:pStyle w:val="null3"/>
                  </w:pPr>
                  <w:r>
                    <w:rPr>
                      <w:rFonts w:ascii="仿宋_GB2312" w:hAnsi="仿宋_GB2312" w:cs="仿宋_GB2312" w:eastAsia="仿宋_GB2312"/>
                    </w:rPr>
                    <w:t>△L*=</w:t>
                  </w:r>
                </w:p>
                <w:p>
                  <w:pPr>
                    <w:pStyle w:val="null3"/>
                  </w:pPr>
                  <w:r>
                    <w:rPr>
                      <w:rFonts w:ascii="仿宋_GB2312" w:hAnsi="仿宋_GB2312" w:cs="仿宋_GB2312" w:eastAsia="仿宋_GB2312"/>
                    </w:rPr>
                    <w:t>△a*=</w:t>
                  </w:r>
                </w:p>
                <w:p>
                  <w:pPr>
                    <w:pStyle w:val="null3"/>
                  </w:pPr>
                  <w:r>
                    <w:rPr>
                      <w:rFonts w:ascii="仿宋_GB2312" w:hAnsi="仿宋_GB2312" w:cs="仿宋_GB2312" w:eastAsia="仿宋_GB2312"/>
                    </w:rPr>
                    <w:t>△b*=</w:t>
                  </w:r>
                </w:p>
              </w:tc>
              <w:tc>
                <w:tcPr>
                  <w:tcW w:type="dxa" w:w="310"/>
                </w:tcPr>
                <w:p>
                  <w:pPr>
                    <w:pStyle w:val="null3"/>
                  </w:pPr>
                  <w:r>
                    <w:rPr>
                      <w:rFonts w:ascii="仿宋_GB2312" w:hAnsi="仿宋_GB2312" w:cs="仿宋_GB2312" w:eastAsia="仿宋_GB2312"/>
                    </w:rPr>
                    <w:t xml:space="preserve"> </w:t>
                  </w:r>
                </w:p>
              </w:tc>
            </w:tr>
            <w:tr>
              <w:tc>
                <w:tcPr>
                  <w:tcW w:type="dxa" w:w="310"/>
                </w:tcPr>
                <w:p>
                  <w:pPr>
                    <w:pStyle w:val="null3"/>
                  </w:pPr>
                  <w:r>
                    <w:rPr>
                      <w:rFonts w:ascii="仿宋_GB2312" w:hAnsi="仿宋_GB2312" w:cs="仿宋_GB2312" w:eastAsia="仿宋_GB2312"/>
                    </w:rPr>
                    <w:t>06-05</w:t>
                  </w:r>
                </w:p>
              </w:tc>
              <w:tc>
                <w:tcPr>
                  <w:tcW w:type="dxa" w:w="310"/>
                </w:tcPr>
                <w:p>
                  <w:pPr>
                    <w:pStyle w:val="null3"/>
                  </w:pPr>
                  <w:r>
                    <w:rPr>
                      <w:rFonts w:ascii="仿宋_GB2312" w:hAnsi="仿宋_GB2312" w:cs="仿宋_GB2312" w:eastAsia="仿宋_GB2312"/>
                    </w:rPr>
                    <w:t>全民</w:t>
                  </w:r>
                </w:p>
                <w:p>
                  <w:pPr>
                    <w:pStyle w:val="null3"/>
                  </w:pPr>
                  <w:r>
                    <w:rPr>
                      <w:rFonts w:ascii="仿宋_GB2312" w:hAnsi="仿宋_GB2312" w:cs="仿宋_GB2312" w:eastAsia="仿宋_GB2312"/>
                    </w:rPr>
                    <w:t>健身</w:t>
                  </w:r>
                </w:p>
              </w:tc>
              <w:tc>
                <w:tcPr>
                  <w:tcW w:type="dxa" w:w="310"/>
                </w:tcPr>
                <w:p>
                  <w:pPr>
                    <w:pStyle w:val="null3"/>
                  </w:pPr>
                  <w:r>
                    <w:rPr>
                      <w:rFonts w:ascii="仿宋_GB2312" w:hAnsi="仿宋_GB2312" w:cs="仿宋_GB2312" w:eastAsia="仿宋_GB2312"/>
                    </w:rPr>
                    <w:t>L*</w:t>
                  </w:r>
                </w:p>
                <w:p>
                  <w:pPr>
                    <w:pStyle w:val="null3"/>
                  </w:pPr>
                  <w:r>
                    <w:rPr>
                      <w:rFonts w:ascii="仿宋_GB2312" w:hAnsi="仿宋_GB2312" w:cs="仿宋_GB2312" w:eastAsia="仿宋_GB2312"/>
                    </w:rPr>
                    <w:t>a*</w:t>
                  </w:r>
                </w:p>
                <w:p>
                  <w:pPr>
                    <w:pStyle w:val="null3"/>
                  </w:pPr>
                  <w:r>
                    <w:rPr>
                      <w:rFonts w:ascii="仿宋_GB2312" w:hAnsi="仿宋_GB2312" w:cs="仿宋_GB2312" w:eastAsia="仿宋_GB2312"/>
                    </w:rPr>
                    <w:t>b*</w:t>
                  </w:r>
                </w:p>
              </w:tc>
              <w:tc>
                <w:tcPr>
                  <w:tcW w:type="dxa" w:w="310"/>
                </w:tcPr>
                <w:p>
                  <w:pPr>
                    <w:pStyle w:val="null3"/>
                  </w:pPr>
                  <w:r>
                    <w:rPr>
                      <w:rFonts w:ascii="仿宋_GB2312" w:hAnsi="仿宋_GB2312" w:cs="仿宋_GB2312" w:eastAsia="仿宋_GB2312"/>
                    </w:rPr>
                    <w:t>L*=</w:t>
                  </w:r>
                </w:p>
                <w:p>
                  <w:pPr>
                    <w:pStyle w:val="null3"/>
                  </w:pPr>
                  <w:r>
                    <w:rPr>
                      <w:rFonts w:ascii="仿宋_GB2312" w:hAnsi="仿宋_GB2312" w:cs="仿宋_GB2312" w:eastAsia="仿宋_GB2312"/>
                    </w:rPr>
                    <w:t>a*=</w:t>
                  </w:r>
                </w:p>
                <w:p>
                  <w:pPr>
                    <w:pStyle w:val="null3"/>
                  </w:pPr>
                  <w:r>
                    <w:rPr>
                      <w:rFonts w:ascii="仿宋_GB2312" w:hAnsi="仿宋_GB2312" w:cs="仿宋_GB2312" w:eastAsia="仿宋_GB2312"/>
                    </w:rPr>
                    <w:t>b*=</w:t>
                  </w:r>
                </w:p>
              </w:tc>
              <w:tc>
                <w:tcPr>
                  <w:tcW w:type="dxa" w:w="310"/>
                </w:tcPr>
                <w:p>
                  <w:pPr>
                    <w:pStyle w:val="null3"/>
                  </w:pPr>
                  <w:r>
                    <w:rPr>
                      <w:rFonts w:ascii="仿宋_GB2312" w:hAnsi="仿宋_GB2312" w:cs="仿宋_GB2312" w:eastAsia="仿宋_GB2312"/>
                    </w:rPr>
                    <w:t>△L*=</w:t>
                  </w:r>
                </w:p>
                <w:p>
                  <w:pPr>
                    <w:pStyle w:val="null3"/>
                  </w:pPr>
                  <w:r>
                    <w:rPr>
                      <w:rFonts w:ascii="仿宋_GB2312" w:hAnsi="仿宋_GB2312" w:cs="仿宋_GB2312" w:eastAsia="仿宋_GB2312"/>
                    </w:rPr>
                    <w:t>△a*=</w:t>
                  </w:r>
                </w:p>
                <w:p>
                  <w:pPr>
                    <w:pStyle w:val="null3"/>
                  </w:pPr>
                  <w:r>
                    <w:rPr>
                      <w:rFonts w:ascii="仿宋_GB2312" w:hAnsi="仿宋_GB2312" w:cs="仿宋_GB2312" w:eastAsia="仿宋_GB2312"/>
                    </w:rPr>
                    <w:t>△b*=</w:t>
                  </w:r>
                </w:p>
              </w:tc>
              <w:tc>
                <w:tcPr>
                  <w:tcW w:type="dxa" w:w="310"/>
                </w:tcPr>
                <w:p>
                  <w:pPr>
                    <w:pStyle w:val="null3"/>
                  </w:pPr>
                  <w:r>
                    <w:rPr>
                      <w:rFonts w:ascii="仿宋_GB2312" w:hAnsi="仿宋_GB2312" w:cs="仿宋_GB2312" w:eastAsia="仿宋_GB2312"/>
                    </w:rPr>
                    <w:t xml:space="preserve"> </w:t>
                  </w:r>
                </w:p>
              </w:tc>
            </w:tr>
            <w:tr>
              <w:tc>
                <w:tcPr>
                  <w:tcW w:type="dxa" w:w="310"/>
                </w:tcPr>
                <w:p>
                  <w:pPr>
                    <w:pStyle w:val="null3"/>
                  </w:pPr>
                  <w:r>
                    <w:rPr>
                      <w:rFonts w:ascii="仿宋_GB2312" w:hAnsi="仿宋_GB2312" w:cs="仿宋_GB2312" w:eastAsia="仿宋_GB2312"/>
                    </w:rPr>
                    <w:t>06-06</w:t>
                  </w:r>
                </w:p>
              </w:tc>
              <w:tc>
                <w:tcPr>
                  <w:tcW w:type="dxa" w:w="310"/>
                </w:tcPr>
                <w:p>
                  <w:pPr>
                    <w:pStyle w:val="null3"/>
                  </w:pPr>
                  <w:r>
                    <w:rPr>
                      <w:rFonts w:ascii="仿宋_GB2312" w:hAnsi="仿宋_GB2312" w:cs="仿宋_GB2312" w:eastAsia="仿宋_GB2312"/>
                    </w:rPr>
                    <w:t>健身</w:t>
                  </w:r>
                </w:p>
                <w:p>
                  <w:pPr>
                    <w:pStyle w:val="null3"/>
                  </w:pPr>
                  <w:r>
                    <w:rPr>
                      <w:rFonts w:ascii="仿宋_GB2312" w:hAnsi="仿宋_GB2312" w:cs="仿宋_GB2312" w:eastAsia="仿宋_GB2312"/>
                    </w:rPr>
                    <w:t>路径</w:t>
                  </w:r>
                </w:p>
              </w:tc>
              <w:tc>
                <w:tcPr>
                  <w:tcW w:type="dxa" w:w="310"/>
                </w:tcPr>
                <w:p>
                  <w:pPr>
                    <w:pStyle w:val="null3"/>
                  </w:pPr>
                  <w:r>
                    <w:rPr>
                      <w:rFonts w:ascii="仿宋_GB2312" w:hAnsi="仿宋_GB2312" w:cs="仿宋_GB2312" w:eastAsia="仿宋_GB2312"/>
                    </w:rPr>
                    <w:t>L*</w:t>
                  </w:r>
                </w:p>
                <w:p>
                  <w:pPr>
                    <w:pStyle w:val="null3"/>
                  </w:pPr>
                  <w:r>
                    <w:rPr>
                      <w:rFonts w:ascii="仿宋_GB2312" w:hAnsi="仿宋_GB2312" w:cs="仿宋_GB2312" w:eastAsia="仿宋_GB2312"/>
                    </w:rPr>
                    <w:t>a*</w:t>
                  </w:r>
                </w:p>
                <w:p>
                  <w:pPr>
                    <w:pStyle w:val="null3"/>
                  </w:pPr>
                  <w:r>
                    <w:rPr>
                      <w:rFonts w:ascii="仿宋_GB2312" w:hAnsi="仿宋_GB2312" w:cs="仿宋_GB2312" w:eastAsia="仿宋_GB2312"/>
                    </w:rPr>
                    <w:t>b*</w:t>
                  </w:r>
                </w:p>
              </w:tc>
              <w:tc>
                <w:tcPr>
                  <w:tcW w:type="dxa" w:w="310"/>
                </w:tcPr>
                <w:p>
                  <w:pPr>
                    <w:pStyle w:val="null3"/>
                  </w:pPr>
                  <w:r>
                    <w:rPr>
                      <w:rFonts w:ascii="仿宋_GB2312" w:hAnsi="仿宋_GB2312" w:cs="仿宋_GB2312" w:eastAsia="仿宋_GB2312"/>
                    </w:rPr>
                    <w:t>L*=</w:t>
                  </w:r>
                </w:p>
                <w:p>
                  <w:pPr>
                    <w:pStyle w:val="null3"/>
                  </w:pPr>
                  <w:r>
                    <w:rPr>
                      <w:rFonts w:ascii="仿宋_GB2312" w:hAnsi="仿宋_GB2312" w:cs="仿宋_GB2312" w:eastAsia="仿宋_GB2312"/>
                    </w:rPr>
                    <w:t>a*=</w:t>
                  </w:r>
                </w:p>
                <w:p>
                  <w:pPr>
                    <w:pStyle w:val="null3"/>
                  </w:pPr>
                  <w:r>
                    <w:rPr>
                      <w:rFonts w:ascii="仿宋_GB2312" w:hAnsi="仿宋_GB2312" w:cs="仿宋_GB2312" w:eastAsia="仿宋_GB2312"/>
                    </w:rPr>
                    <w:t>b*=</w:t>
                  </w:r>
                </w:p>
              </w:tc>
              <w:tc>
                <w:tcPr>
                  <w:tcW w:type="dxa" w:w="310"/>
                </w:tcPr>
                <w:p>
                  <w:pPr>
                    <w:pStyle w:val="null3"/>
                  </w:pPr>
                  <w:r>
                    <w:rPr>
                      <w:rFonts w:ascii="仿宋_GB2312" w:hAnsi="仿宋_GB2312" w:cs="仿宋_GB2312" w:eastAsia="仿宋_GB2312"/>
                    </w:rPr>
                    <w:t>△L*=</w:t>
                  </w:r>
                </w:p>
                <w:p>
                  <w:pPr>
                    <w:pStyle w:val="null3"/>
                  </w:pPr>
                  <w:r>
                    <w:rPr>
                      <w:rFonts w:ascii="仿宋_GB2312" w:hAnsi="仿宋_GB2312" w:cs="仿宋_GB2312" w:eastAsia="仿宋_GB2312"/>
                    </w:rPr>
                    <w:t>△a*=</w:t>
                  </w:r>
                </w:p>
                <w:p>
                  <w:pPr>
                    <w:pStyle w:val="null3"/>
                  </w:pPr>
                  <w:r>
                    <w:rPr>
                      <w:rFonts w:ascii="仿宋_GB2312" w:hAnsi="仿宋_GB2312" w:cs="仿宋_GB2312" w:eastAsia="仿宋_GB2312"/>
                    </w:rPr>
                    <w:t>△b*=</w:t>
                  </w:r>
                </w:p>
              </w:tc>
              <w:tc>
                <w:tcPr>
                  <w:tcW w:type="dxa" w:w="310"/>
                </w:tcPr>
                <w:p>
                  <w:pPr>
                    <w:pStyle w:val="null3"/>
                  </w:pPr>
                  <w:r>
                    <w:rPr>
                      <w:rFonts w:ascii="仿宋_GB2312" w:hAnsi="仿宋_GB2312" w:cs="仿宋_GB2312" w:eastAsia="仿宋_GB2312"/>
                    </w:rPr>
                    <w:t xml:space="preserve"> </w:t>
                  </w:r>
                </w:p>
              </w:tc>
            </w:tr>
          </w:tbl>
          <w:p>
            <w:pPr>
              <w:pStyle w:val="null3"/>
            </w:pPr>
            <w:r>
              <w:rPr>
                <w:rFonts w:ascii="仿宋_GB2312" w:hAnsi="仿宋_GB2312" w:cs="仿宋_GB2312" w:eastAsia="仿宋_GB2312"/>
              </w:rPr>
              <w:t>5、样品版面</w:t>
            </w:r>
          </w:p>
          <w:p>
            <w:pPr>
              <w:pStyle w:val="null3"/>
            </w:pPr>
            <w:r>
              <w:rPr>
                <w:rFonts w:ascii="仿宋_GB2312" w:hAnsi="仿宋_GB2312" w:cs="仿宋_GB2312" w:eastAsia="仿宋_GB2312"/>
              </w:rPr>
              <w:t>热敏涂层面：</w:t>
            </w:r>
          </w:p>
          <w:p>
            <w:pPr>
              <w:pStyle w:val="null3"/>
            </w:pPr>
            <w:r>
              <w:drawing>
                <wp:inline distT="0" distR="0" distB="0" distL="0">
                  <wp:extent cx="1181100" cy="1519543"/>
                  <wp:docPr id="4" name="Drawing 4" descr="img"/>
                  <a:graphic xmlns:a="http://schemas.openxmlformats.org/drawingml/2006/main">
                    <a:graphicData uri="http://schemas.openxmlformats.org/drawingml/2006/picture">
                      <pic:pic xmlns:pic="http://schemas.openxmlformats.org/drawingml/2006/picture">
                        <pic:nvPicPr>
                          <pic:cNvPr id="0" name="Picture 4" descr="img"/>
                          <pic:cNvPicPr>
                            <a:picLocks noChangeAspect="true"/>
                          </pic:cNvPicPr>
                        </pic:nvPicPr>
                        <pic:blipFill>
                          <a:blip r:embed="rId9"/>
                          <a:stretch>
                            <a:fillRect/>
                          </a:stretch>
                        </pic:blipFill>
                        <pic:spPr>
                          <a:xfrm>
                            <a:off x="0" y="0"/>
                            <a:ext cx="1181100" cy="1519543"/>
                          </a:xfrm>
                          <a:prstGeom prst="rect">
                            <a:avLst/>
                          </a:prstGeom>
                        </pic:spPr>
                      </pic:pic>
                    </a:graphicData>
                  </a:graphic>
                </wp:inline>
              </w:drawing>
            </w:r>
            <w:r>
              <w:drawing>
                <wp:inline distT="0" distR="0" distB="0" distL="0">
                  <wp:extent cx="1181100" cy="1519543"/>
                  <wp:docPr id="5" name="Drawing 5" descr="img"/>
                  <a:graphic xmlns:a="http://schemas.openxmlformats.org/drawingml/2006/main">
                    <a:graphicData uri="http://schemas.openxmlformats.org/drawingml/2006/picture">
                      <pic:pic xmlns:pic="http://schemas.openxmlformats.org/drawingml/2006/picture">
                        <pic:nvPicPr>
                          <pic:cNvPr id="0" name="Picture 5" descr="img"/>
                          <pic:cNvPicPr>
                            <a:picLocks noChangeAspect="true"/>
                          </pic:cNvPicPr>
                        </pic:nvPicPr>
                        <pic:blipFill>
                          <a:blip r:embed="rId10"/>
                          <a:stretch>
                            <a:fillRect/>
                          </a:stretch>
                        </pic:blipFill>
                        <pic:spPr>
                          <a:xfrm>
                            <a:off x="0" y="0"/>
                            <a:ext cx="1181100" cy="1519543"/>
                          </a:xfrm>
                          <a:prstGeom prst="rect">
                            <a:avLst/>
                          </a:prstGeom>
                        </pic:spPr>
                      </pic:pic>
                    </a:graphicData>
                  </a:graphic>
                </wp:inline>
              </w:drawing>
            </w:r>
          </w:p>
          <w:p>
            <w:pPr>
              <w:pStyle w:val="null3"/>
            </w:pPr>
            <w:r>
              <w:rPr>
                <w:rFonts w:ascii="仿宋_GB2312" w:hAnsi="仿宋_GB2312" w:cs="仿宋_GB2312" w:eastAsia="仿宋_GB2312"/>
              </w:rPr>
              <w:t>装饰图案面：</w:t>
            </w:r>
          </w:p>
          <w:p>
            <w:pPr>
              <w:pStyle w:val="null3"/>
            </w:pPr>
            <w:r>
              <w:drawing>
                <wp:inline distT="0" distR="0" distB="0" distL="0">
                  <wp:extent cx="1181100" cy="1517325"/>
                  <wp:docPr id="6" name="Drawing 6" descr="img"/>
                  <a:graphic xmlns:a="http://schemas.openxmlformats.org/drawingml/2006/main">
                    <a:graphicData uri="http://schemas.openxmlformats.org/drawingml/2006/picture">
                      <pic:pic xmlns:pic="http://schemas.openxmlformats.org/drawingml/2006/picture">
                        <pic:nvPicPr>
                          <pic:cNvPr id="0" name="Picture 6" descr="img"/>
                          <pic:cNvPicPr>
                            <a:picLocks noChangeAspect="true"/>
                          </pic:cNvPicPr>
                        </pic:nvPicPr>
                        <pic:blipFill>
                          <a:blip r:embed="rId11"/>
                          <a:stretch>
                            <a:fillRect/>
                          </a:stretch>
                        </pic:blipFill>
                        <pic:spPr>
                          <a:xfrm>
                            <a:off x="0" y="0"/>
                            <a:ext cx="1181100" cy="1517325"/>
                          </a:xfrm>
                          <a:prstGeom prst="rect">
                            <a:avLst/>
                          </a:prstGeom>
                        </pic:spPr>
                      </pic:pic>
                    </a:graphicData>
                  </a:graphic>
                </wp:inline>
              </w:drawing>
            </w:r>
            <w:r>
              <w:drawing>
                <wp:inline distT="0" distR="0" distB="0" distL="0">
                  <wp:extent cx="1181100" cy="936367"/>
                  <wp:docPr id="7" name="Drawing 7" descr="img"/>
                  <a:graphic xmlns:a="http://schemas.openxmlformats.org/drawingml/2006/main">
                    <a:graphicData uri="http://schemas.openxmlformats.org/drawingml/2006/picture">
                      <pic:pic xmlns:pic="http://schemas.openxmlformats.org/drawingml/2006/picture">
                        <pic:nvPicPr>
                          <pic:cNvPr id="0" name="Picture 7" descr="img"/>
                          <pic:cNvPicPr>
                            <a:picLocks noChangeAspect="true"/>
                          </pic:cNvPicPr>
                        </pic:nvPicPr>
                        <pic:blipFill>
                          <a:blip r:embed="rId12"/>
                          <a:stretch>
                            <a:fillRect/>
                          </a:stretch>
                        </pic:blipFill>
                        <pic:spPr>
                          <a:xfrm>
                            <a:off x="0" y="0"/>
                            <a:ext cx="1181100" cy="936367"/>
                          </a:xfrm>
                          <a:prstGeom prst="rect">
                            <a:avLst/>
                          </a:prstGeom>
                        </pic:spPr>
                      </pic:pic>
                    </a:graphicData>
                  </a:graphic>
                </wp:inline>
              </w:drawing>
            </w:r>
          </w:p>
          <w:p>
            <w:pPr>
              <w:pStyle w:val="null3"/>
            </w:pPr>
            <w:r>
              <w:rPr>
                <w:rFonts w:ascii="仿宋_GB2312" w:hAnsi="仿宋_GB2312" w:cs="仿宋_GB2312" w:eastAsia="仿宋_GB2312"/>
              </w:rPr>
              <w:t xml:space="preserve"> </w:t>
            </w:r>
          </w:p>
          <w:p>
            <w:pPr>
              <w:pStyle w:val="null3"/>
            </w:pPr>
            <w:r>
              <w:drawing>
                <wp:inline distT="0" distR="0" distB="0" distL="0">
                  <wp:extent cx="1181100" cy="1517325"/>
                  <wp:docPr id="8" name="Drawing 8" descr="img"/>
                  <a:graphic xmlns:a="http://schemas.openxmlformats.org/drawingml/2006/main">
                    <a:graphicData uri="http://schemas.openxmlformats.org/drawingml/2006/picture">
                      <pic:pic xmlns:pic="http://schemas.openxmlformats.org/drawingml/2006/picture">
                        <pic:nvPicPr>
                          <pic:cNvPr id="0" name="Picture 8" descr="img"/>
                          <pic:cNvPicPr>
                            <a:picLocks noChangeAspect="true"/>
                          </pic:cNvPicPr>
                        </pic:nvPicPr>
                        <pic:blipFill>
                          <a:blip r:embed="rId13"/>
                          <a:stretch>
                            <a:fillRect/>
                          </a:stretch>
                        </pic:blipFill>
                        <pic:spPr>
                          <a:xfrm>
                            <a:off x="0" y="0"/>
                            <a:ext cx="1181100" cy="1517325"/>
                          </a:xfrm>
                          <a:prstGeom prst="rect">
                            <a:avLst/>
                          </a:prstGeom>
                        </pic:spPr>
                      </pic:pic>
                    </a:graphicData>
                  </a:graphic>
                </wp:inline>
              </w:drawing>
            </w:r>
            <w:r>
              <w:drawing>
                <wp:inline distT="0" distR="0" distB="0" distL="0">
                  <wp:extent cx="1181100" cy="936367"/>
                  <wp:docPr id="9" name="Drawing 9" descr="img"/>
                  <a:graphic xmlns:a="http://schemas.openxmlformats.org/drawingml/2006/main">
                    <a:graphicData uri="http://schemas.openxmlformats.org/drawingml/2006/picture">
                      <pic:pic xmlns:pic="http://schemas.openxmlformats.org/drawingml/2006/picture">
                        <pic:nvPicPr>
                          <pic:cNvPr id="0" name="Picture 9" descr="img"/>
                          <pic:cNvPicPr>
                            <a:picLocks noChangeAspect="true"/>
                          </pic:cNvPicPr>
                        </pic:nvPicPr>
                        <pic:blipFill>
                          <a:blip r:embed="rId14"/>
                          <a:stretch>
                            <a:fillRect/>
                          </a:stretch>
                        </pic:blipFill>
                        <pic:spPr>
                          <a:xfrm>
                            <a:off x="0" y="0"/>
                            <a:ext cx="1181100" cy="936367"/>
                          </a:xfrm>
                          <a:prstGeom prst="rect">
                            <a:avLst/>
                          </a:prstGeom>
                        </pic:spPr>
                      </pic:pic>
                    </a:graphicData>
                  </a:graphic>
                </wp:inline>
              </w:drawing>
            </w:r>
          </w:p>
          <w:p>
            <w:pPr>
              <w:pStyle w:val="null3"/>
            </w:pPr>
            <w:r>
              <w:rPr>
                <w:rFonts w:ascii="仿宋_GB2312" w:hAnsi="仿宋_GB2312" w:cs="仿宋_GB2312" w:eastAsia="仿宋_GB2312"/>
              </w:rPr>
              <w:t xml:space="preserve"> </w:t>
            </w:r>
          </w:p>
          <w:p>
            <w:pPr>
              <w:pStyle w:val="null3"/>
            </w:pPr>
            <w:r>
              <w:drawing>
                <wp:inline distT="0" distR="0" distB="0" distL="0">
                  <wp:extent cx="1181100" cy="1517325"/>
                  <wp:docPr id="10" name="Drawing 10" descr="img"/>
                  <a:graphic xmlns:a="http://schemas.openxmlformats.org/drawingml/2006/main">
                    <a:graphicData uri="http://schemas.openxmlformats.org/drawingml/2006/picture">
                      <pic:pic xmlns:pic="http://schemas.openxmlformats.org/drawingml/2006/picture">
                        <pic:nvPicPr>
                          <pic:cNvPr id="0" name="Picture 10" descr="img"/>
                          <pic:cNvPicPr>
                            <a:picLocks noChangeAspect="true"/>
                          </pic:cNvPicPr>
                        </pic:nvPicPr>
                        <pic:blipFill>
                          <a:blip r:embed="rId15"/>
                          <a:stretch>
                            <a:fillRect/>
                          </a:stretch>
                        </pic:blipFill>
                        <pic:spPr>
                          <a:xfrm>
                            <a:off x="0" y="0"/>
                            <a:ext cx="1181100" cy="1517325"/>
                          </a:xfrm>
                          <a:prstGeom prst="rect">
                            <a:avLst/>
                          </a:prstGeom>
                        </pic:spPr>
                      </pic:pic>
                    </a:graphicData>
                  </a:graphic>
                </wp:inline>
              </w:drawing>
            </w:r>
            <w:r>
              <w:drawing>
                <wp:inline distT="0" distR="0" distB="0" distL="0">
                  <wp:extent cx="1181100" cy="936367"/>
                  <wp:docPr id="11" name="Drawing 11" descr="img"/>
                  <a:graphic xmlns:a="http://schemas.openxmlformats.org/drawingml/2006/main">
                    <a:graphicData uri="http://schemas.openxmlformats.org/drawingml/2006/picture">
                      <pic:pic xmlns:pic="http://schemas.openxmlformats.org/drawingml/2006/picture">
                        <pic:nvPicPr>
                          <pic:cNvPr id="0" name="Picture 11" descr="img"/>
                          <pic:cNvPicPr>
                            <a:picLocks noChangeAspect="true"/>
                          </pic:cNvPicPr>
                        </pic:nvPicPr>
                        <pic:blipFill>
                          <a:blip r:embed="rId16"/>
                          <a:stretch>
                            <a:fillRect/>
                          </a:stretch>
                        </pic:blipFill>
                        <pic:spPr>
                          <a:xfrm>
                            <a:off x="0" y="0"/>
                            <a:ext cx="1181100" cy="936367"/>
                          </a:xfrm>
                          <a:prstGeom prst="rect">
                            <a:avLst/>
                          </a:prstGeom>
                        </pic:spPr>
                      </pic:pic>
                    </a:graphicData>
                  </a:graphic>
                </wp:inline>
              </w:drawing>
            </w:r>
          </w:p>
          <w:p>
            <w:pPr>
              <w:pStyle w:val="null3"/>
            </w:pPr>
            <w:r>
              <w:rPr>
                <w:rFonts w:ascii="仿宋_GB2312" w:hAnsi="仿宋_GB2312" w:cs="仿宋_GB2312" w:eastAsia="仿宋_GB2312"/>
              </w:rPr>
              <w:t xml:space="preserve"> </w:t>
            </w:r>
          </w:p>
          <w:p>
            <w:pPr>
              <w:pStyle w:val="null3"/>
            </w:pPr>
            <w:r>
              <w:drawing>
                <wp:inline distT="0" distR="0" distB="0" distL="0">
                  <wp:extent cx="1181100" cy="1517325"/>
                  <wp:docPr id="12" name="Drawing 12" descr="img"/>
                  <a:graphic xmlns:a="http://schemas.openxmlformats.org/drawingml/2006/main">
                    <a:graphicData uri="http://schemas.openxmlformats.org/drawingml/2006/picture">
                      <pic:pic xmlns:pic="http://schemas.openxmlformats.org/drawingml/2006/picture">
                        <pic:nvPicPr>
                          <pic:cNvPr id="0" name="Picture 12" descr="img"/>
                          <pic:cNvPicPr>
                            <a:picLocks noChangeAspect="true"/>
                          </pic:cNvPicPr>
                        </pic:nvPicPr>
                        <pic:blipFill>
                          <a:blip r:embed="rId17"/>
                          <a:stretch>
                            <a:fillRect/>
                          </a:stretch>
                        </pic:blipFill>
                        <pic:spPr>
                          <a:xfrm>
                            <a:off x="0" y="0"/>
                            <a:ext cx="1181100" cy="1517325"/>
                          </a:xfrm>
                          <a:prstGeom prst="rect">
                            <a:avLst/>
                          </a:prstGeom>
                        </pic:spPr>
                      </pic:pic>
                    </a:graphicData>
                  </a:graphic>
                </wp:inline>
              </w:drawing>
            </w:r>
            <w:r>
              <w:drawing>
                <wp:inline distT="0" distR="0" distB="0" distL="0">
                  <wp:extent cx="1181100" cy="936367"/>
                  <wp:docPr id="13" name="Drawing 13" descr="img"/>
                  <a:graphic xmlns:a="http://schemas.openxmlformats.org/drawingml/2006/main">
                    <a:graphicData uri="http://schemas.openxmlformats.org/drawingml/2006/picture">
                      <pic:pic xmlns:pic="http://schemas.openxmlformats.org/drawingml/2006/picture">
                        <pic:nvPicPr>
                          <pic:cNvPr id="0" name="Picture 13" descr="img"/>
                          <pic:cNvPicPr>
                            <a:picLocks noChangeAspect="true"/>
                          </pic:cNvPicPr>
                        </pic:nvPicPr>
                        <pic:blipFill>
                          <a:blip r:embed="rId18"/>
                          <a:stretch>
                            <a:fillRect/>
                          </a:stretch>
                        </pic:blipFill>
                        <pic:spPr>
                          <a:xfrm>
                            <a:off x="0" y="0"/>
                            <a:ext cx="1181100" cy="936367"/>
                          </a:xfrm>
                          <a:prstGeom prst="rect">
                            <a:avLst/>
                          </a:prstGeom>
                        </pic:spPr>
                      </pic:pic>
                    </a:graphicData>
                  </a:graphic>
                </wp:inline>
              </w:drawing>
            </w:r>
          </w:p>
          <w:p>
            <w:pPr>
              <w:pStyle w:val="null3"/>
            </w:pPr>
            <w:r>
              <w:rPr>
                <w:rFonts w:ascii="仿宋_GB2312" w:hAnsi="仿宋_GB2312" w:cs="仿宋_GB2312" w:eastAsia="仿宋_GB2312"/>
              </w:rPr>
              <w:t xml:space="preserve"> </w:t>
            </w:r>
          </w:p>
          <w:p>
            <w:pPr>
              <w:pStyle w:val="null3"/>
            </w:pPr>
            <w:r>
              <w:drawing>
                <wp:inline distT="0" distR="0" distB="0" distL="0">
                  <wp:extent cx="1181100" cy="1517325"/>
                  <wp:docPr id="14" name="Drawing 14" descr="img"/>
                  <a:graphic xmlns:a="http://schemas.openxmlformats.org/drawingml/2006/main">
                    <a:graphicData uri="http://schemas.openxmlformats.org/drawingml/2006/picture">
                      <pic:pic xmlns:pic="http://schemas.openxmlformats.org/drawingml/2006/picture">
                        <pic:nvPicPr>
                          <pic:cNvPr id="0" name="Picture 14" descr="img"/>
                          <pic:cNvPicPr>
                            <a:picLocks noChangeAspect="true"/>
                          </pic:cNvPicPr>
                        </pic:nvPicPr>
                        <pic:blipFill>
                          <a:blip r:embed="rId19"/>
                          <a:stretch>
                            <a:fillRect/>
                          </a:stretch>
                        </pic:blipFill>
                        <pic:spPr>
                          <a:xfrm>
                            <a:off x="0" y="0"/>
                            <a:ext cx="1181100" cy="1517325"/>
                          </a:xfrm>
                          <a:prstGeom prst="rect">
                            <a:avLst/>
                          </a:prstGeom>
                        </pic:spPr>
                      </pic:pic>
                    </a:graphicData>
                  </a:graphic>
                </wp:inline>
              </w:drawing>
            </w:r>
            <w:r>
              <w:drawing>
                <wp:inline distT="0" distR="0" distB="0" distL="0">
                  <wp:extent cx="1181100" cy="936367"/>
                  <wp:docPr id="15" name="Drawing 15" descr="img"/>
                  <a:graphic xmlns:a="http://schemas.openxmlformats.org/drawingml/2006/main">
                    <a:graphicData uri="http://schemas.openxmlformats.org/drawingml/2006/picture">
                      <pic:pic xmlns:pic="http://schemas.openxmlformats.org/drawingml/2006/picture">
                        <pic:nvPicPr>
                          <pic:cNvPr id="0" name="Picture 15" descr="img"/>
                          <pic:cNvPicPr>
                            <a:picLocks noChangeAspect="true"/>
                          </pic:cNvPicPr>
                        </pic:nvPicPr>
                        <pic:blipFill>
                          <a:blip r:embed="rId20"/>
                          <a:stretch>
                            <a:fillRect/>
                          </a:stretch>
                        </pic:blipFill>
                        <pic:spPr>
                          <a:xfrm>
                            <a:off x="0" y="0"/>
                            <a:ext cx="1181100" cy="936367"/>
                          </a:xfrm>
                          <a:prstGeom prst="rect">
                            <a:avLst/>
                          </a:prstGeom>
                        </pic:spPr>
                      </pic:pic>
                    </a:graphicData>
                  </a:graphic>
                </wp:inline>
              </w:drawing>
            </w:r>
          </w:p>
          <w:p>
            <w:pPr>
              <w:pStyle w:val="null3"/>
            </w:pPr>
            <w:r>
              <w:drawing>
                <wp:inline distT="0" distR="0" distB="0" distL="0">
                  <wp:extent cx="1181100" cy="1517325"/>
                  <wp:docPr id="16" name="Drawing 16" descr="img"/>
                  <a:graphic xmlns:a="http://schemas.openxmlformats.org/drawingml/2006/main">
                    <a:graphicData uri="http://schemas.openxmlformats.org/drawingml/2006/picture">
                      <pic:pic xmlns:pic="http://schemas.openxmlformats.org/drawingml/2006/picture">
                        <pic:nvPicPr>
                          <pic:cNvPr id="0" name="Picture 16" descr="img"/>
                          <pic:cNvPicPr>
                            <a:picLocks noChangeAspect="true"/>
                          </pic:cNvPicPr>
                        </pic:nvPicPr>
                        <pic:blipFill>
                          <a:blip r:embed="rId21"/>
                          <a:stretch>
                            <a:fillRect/>
                          </a:stretch>
                        </pic:blipFill>
                        <pic:spPr>
                          <a:xfrm>
                            <a:off x="0" y="0"/>
                            <a:ext cx="1181100" cy="1517325"/>
                          </a:xfrm>
                          <a:prstGeom prst="rect">
                            <a:avLst/>
                          </a:prstGeom>
                        </pic:spPr>
                      </pic:pic>
                    </a:graphicData>
                  </a:graphic>
                </wp:inline>
              </w:drawing>
            </w:r>
            <w:r>
              <w:drawing>
                <wp:inline distT="0" distR="0" distB="0" distL="0">
                  <wp:extent cx="1181100" cy="936367"/>
                  <wp:docPr id="17" name="Drawing 17" descr="img"/>
                  <a:graphic xmlns:a="http://schemas.openxmlformats.org/drawingml/2006/main">
                    <a:graphicData uri="http://schemas.openxmlformats.org/drawingml/2006/picture">
                      <pic:pic xmlns:pic="http://schemas.openxmlformats.org/drawingml/2006/picture">
                        <pic:nvPicPr>
                          <pic:cNvPr id="0" name="Picture 17" descr="img"/>
                          <pic:cNvPicPr>
                            <a:picLocks noChangeAspect="true"/>
                          </pic:cNvPicPr>
                        </pic:nvPicPr>
                        <pic:blipFill>
                          <a:blip r:embed="rId22"/>
                          <a:stretch>
                            <a:fillRect/>
                          </a:stretch>
                        </pic:blipFill>
                        <pic:spPr>
                          <a:xfrm>
                            <a:off x="0" y="0"/>
                            <a:ext cx="1181100" cy="936367"/>
                          </a:xfrm>
                          <a:prstGeom prst="rect">
                            <a:avLst/>
                          </a:prstGeom>
                        </pic:spPr>
                      </pic:pic>
                    </a:graphicData>
                  </a:graphic>
                </wp:inline>
              </w:drawing>
            </w:r>
          </w:p>
          <w:p>
            <w:pPr>
              <w:pStyle w:val="null3"/>
            </w:pPr>
            <w:r>
              <w:rPr>
                <w:rFonts w:ascii="仿宋_GB2312" w:hAnsi="仿宋_GB2312" w:cs="仿宋_GB2312" w:eastAsia="仿宋_GB2312"/>
              </w:rPr>
              <w:t>注：（1）热敏涂层面图案二选一；</w:t>
            </w:r>
          </w:p>
          <w:p>
            <w:pPr>
              <w:pStyle w:val="null3"/>
            </w:pPr>
            <w:r>
              <w:rPr>
                <w:rFonts w:ascii="仿宋_GB2312" w:hAnsi="仿宋_GB2312" w:cs="仿宋_GB2312" w:eastAsia="仿宋_GB2312"/>
              </w:rPr>
              <w:t>（2）以上为样品版面示例，递交的样品需喷流水序列号。</w:t>
            </w:r>
          </w:p>
          <w:p>
            <w:pPr>
              <w:pStyle w:val="null3"/>
            </w:pPr>
            <w:r>
              <w:rPr>
                <w:rFonts w:ascii="仿宋_GB2312" w:hAnsi="仿宋_GB2312" w:cs="仿宋_GB2312" w:eastAsia="仿宋_GB2312"/>
              </w:rPr>
              <w:t>6、投标人未提供样品的，则评分时样品分为零分，但不影响其投标有效性。</w:t>
            </w:r>
          </w:p>
          <w:p>
            <w:pPr>
              <w:pStyle w:val="null3"/>
            </w:pPr>
            <w:r>
              <w:rPr>
                <w:rFonts w:ascii="仿宋_GB2312" w:hAnsi="仿宋_GB2312" w:cs="仿宋_GB2312" w:eastAsia="仿宋_GB2312"/>
              </w:rPr>
              <w:t>7、样品递交要求：</w:t>
            </w:r>
          </w:p>
          <w:p>
            <w:pPr>
              <w:pStyle w:val="null3"/>
            </w:pPr>
            <w:r>
              <w:rPr>
                <w:rFonts w:ascii="仿宋_GB2312" w:hAnsi="仿宋_GB2312" w:cs="仿宋_GB2312" w:eastAsia="仿宋_GB2312"/>
              </w:rPr>
              <w:t>7.1 样品数量：投标人需提供1套 ( 1整箱+1卷) 体育彩票热敏票样品</w:t>
            </w:r>
          </w:p>
          <w:p>
            <w:pPr>
              <w:pStyle w:val="null3"/>
            </w:pPr>
            <w:r>
              <w:rPr>
                <w:rFonts w:ascii="仿宋_GB2312" w:hAnsi="仿宋_GB2312" w:cs="仿宋_GB2312" w:eastAsia="仿宋_GB2312"/>
              </w:rPr>
              <w:t>（1）整箱 (1整箱) 专用包装箱 (装箱20卷)</w:t>
            </w:r>
            <w:r>
              <w:br/>
            </w:r>
            <w:r>
              <w:rPr>
                <w:rFonts w:ascii="仿宋_GB2312" w:hAnsi="仿宋_GB2312" w:cs="仿宋_GB2312" w:eastAsia="仿宋_GB2312"/>
              </w:rPr>
              <w:t xml:space="preserve"> （2）样票 (1卷)</w:t>
            </w:r>
            <w:r>
              <w:br/>
            </w:r>
            <w:r>
              <w:rPr>
                <w:rFonts w:ascii="仿宋_GB2312" w:hAnsi="仿宋_GB2312" w:cs="仿宋_GB2312" w:eastAsia="仿宋_GB2312"/>
              </w:rPr>
              <w:t xml:space="preserve"> 样品（含包装等）均不得明示任何商标、厂家及品牌标识或其他特殊标记等信息。</w:t>
            </w:r>
          </w:p>
          <w:p>
            <w:pPr>
              <w:pStyle w:val="null3"/>
            </w:pPr>
            <w:r>
              <w:rPr>
                <w:rFonts w:ascii="仿宋_GB2312" w:hAnsi="仿宋_GB2312" w:cs="仿宋_GB2312" w:eastAsia="仿宋_GB2312"/>
              </w:rPr>
              <w:t>7.2 递交样品截止时间：同提交投标文件截止时间。</w:t>
            </w:r>
          </w:p>
          <w:p>
            <w:pPr>
              <w:pStyle w:val="null3"/>
            </w:pPr>
            <w:r>
              <w:rPr>
                <w:rFonts w:ascii="仿宋_GB2312" w:hAnsi="仿宋_GB2312" w:cs="仿宋_GB2312" w:eastAsia="仿宋_GB2312"/>
              </w:rPr>
              <w:t>7.3 递交地点：西安市莲湖区环城西路南段元晟合中心6层。</w:t>
            </w:r>
          </w:p>
          <w:p>
            <w:pPr>
              <w:pStyle w:val="null3"/>
            </w:pPr>
            <w:r>
              <w:rPr>
                <w:rFonts w:ascii="仿宋_GB2312" w:hAnsi="仿宋_GB2312" w:cs="仿宋_GB2312" w:eastAsia="仿宋_GB2312"/>
              </w:rPr>
              <w:t>7.4 投标人代表必须在递交样品截止时间前将样品送达指定地点，逾期不予受理。</w:t>
            </w:r>
          </w:p>
          <w:p>
            <w:pPr>
              <w:pStyle w:val="null3"/>
            </w:pPr>
            <w:r>
              <w:rPr>
                <w:rFonts w:ascii="仿宋_GB2312" w:hAnsi="仿宋_GB2312" w:cs="仿宋_GB2312" w:eastAsia="仿宋_GB2312"/>
              </w:rPr>
              <w:t>7.5 采购人、采购代理机构对递交的样品进行检查，统一编号并封样留存，作为产品检验的依据，如质量下降，将依法追究中标人责任。</w:t>
            </w:r>
          </w:p>
          <w:p>
            <w:pPr>
              <w:pStyle w:val="null3"/>
            </w:pPr>
            <w:r>
              <w:rPr>
                <w:rFonts w:ascii="仿宋_GB2312" w:hAnsi="仿宋_GB2312" w:cs="仿宋_GB2312" w:eastAsia="仿宋_GB2312"/>
              </w:rPr>
              <w:t>7.6 样品必须由投标人原厂制作，如果发现转包制作，该投标人的投标保证金将不予退还，其投标也将被拒绝。</w:t>
            </w:r>
          </w:p>
          <w:p>
            <w:pPr>
              <w:pStyle w:val="null3"/>
            </w:pPr>
            <w:r>
              <w:rPr>
                <w:rFonts w:ascii="仿宋_GB2312" w:hAnsi="仿宋_GB2312" w:cs="仿宋_GB2312" w:eastAsia="仿宋_GB2312"/>
              </w:rPr>
              <w:t>7.7 样品退还办法：无效投标人样品开标当天退还，未中标人样品在中标公告发出后五个工作日内自行领取，如未在规定时间内领取样品，则样品由采购代理机构代为处理，后期不得有任何异议。中标人样品在全部产品验收合格后由采购人退还。</w:t>
            </w:r>
          </w:p>
          <w:p>
            <w:pPr>
              <w:pStyle w:val="null3"/>
            </w:pPr>
            <w:r>
              <w:rPr>
                <w:rFonts w:ascii="仿宋_GB2312" w:hAnsi="仿宋_GB2312" w:cs="仿宋_GB2312" w:eastAsia="仿宋_GB2312"/>
              </w:rPr>
              <w:t>7.8 各投标人自行承担样品搬运过程中发生的损失。</w:t>
            </w:r>
          </w:p>
          <w:p>
            <w:pPr>
              <w:pStyle w:val="null3"/>
            </w:pPr>
            <w:r>
              <w:rPr>
                <w:rFonts w:ascii="仿宋_GB2312" w:hAnsi="仿宋_GB2312" w:cs="仿宋_GB2312" w:eastAsia="仿宋_GB2312"/>
              </w:rPr>
              <w:t xml:space="preserve"> </w:t>
            </w:r>
          </w:p>
          <w:p>
            <w:pPr>
              <w:pStyle w:val="null3"/>
            </w:pPr>
            <w:r>
              <w:rPr>
                <w:rFonts w:ascii="仿宋_GB2312" w:hAnsi="仿宋_GB2312" w:cs="仿宋_GB2312" w:eastAsia="仿宋_GB2312"/>
              </w:rPr>
              <w:t xml:space="preserve"> </w:t>
            </w:r>
          </w:p>
          <w:p>
            <w:pPr>
              <w:pStyle w:val="null3"/>
            </w:pPr>
            <w:r>
              <w:rPr>
                <w:rFonts w:ascii="仿宋_GB2312" w:hAnsi="仿宋_GB2312" w:cs="仿宋_GB2312" w:eastAsia="仿宋_GB2312"/>
              </w:rPr>
              <w:t xml:space="preserve"> </w:t>
            </w:r>
          </w:p>
          <w:p>
            <w:pPr>
              <w:pStyle w:val="null3"/>
            </w:pPr>
            <w:r>
              <w:rPr>
                <w:rFonts w:ascii="仿宋_GB2312" w:hAnsi="仿宋_GB2312" w:cs="仿宋_GB2312" w:eastAsia="仿宋_GB2312"/>
              </w:rPr>
              <w:t xml:space="preserve"> </w:t>
            </w:r>
          </w:p>
          <w:p>
            <w:pPr>
              <w:pStyle w:val="null3"/>
            </w:pPr>
            <w:r>
              <w:rPr>
                <w:rFonts w:ascii="仿宋_GB2312" w:hAnsi="仿宋_GB2312" w:cs="仿宋_GB2312" w:eastAsia="仿宋_GB2312"/>
              </w:rPr>
              <w:t xml:space="preserve"> </w:t>
            </w:r>
          </w:p>
          <w:p>
            <w:pPr>
              <w:pStyle w:val="null3"/>
            </w:pPr>
            <w:r>
              <w:rPr>
                <w:rFonts w:ascii="仿宋_GB2312" w:hAnsi="仿宋_GB2312" w:cs="仿宋_GB2312" w:eastAsia="仿宋_GB2312"/>
              </w:rPr>
              <w:t xml:space="preserve"> </w:t>
            </w:r>
          </w:p>
        </w:tc>
      </w:tr>
      <w:tr>
        <w:tc>
          <w:tcPr>
            <w:tcW w:type="dxa" w:w="2076"/>
          </w:tcPr>
          <w:p/>
        </w:tc>
        <w:tc>
          <w:tcPr>
            <w:tcW w:type="dxa" w:w="2076"/>
          </w:tcPr>
          <w:p>
            <w:pPr>
              <w:pStyle w:val="null3"/>
            </w:pPr>
            <w:r>
              <w:rPr>
                <w:rFonts w:ascii="仿宋_GB2312" w:hAnsi="仿宋_GB2312" w:cs="仿宋_GB2312" w:eastAsia="仿宋_GB2312"/>
              </w:rPr>
              <w:t>2</w:t>
            </w:r>
          </w:p>
        </w:tc>
        <w:tc>
          <w:tcPr>
            <w:tcW w:type="dxa" w:w="2076"/>
          </w:tcPr>
          <w:p>
            <w:pPr>
              <w:pStyle w:val="null3"/>
            </w:pPr>
            <w:r>
              <w:rPr>
                <w:rFonts w:ascii="仿宋_GB2312" w:hAnsi="仿宋_GB2312" w:cs="仿宋_GB2312" w:eastAsia="仿宋_GB2312"/>
              </w:rPr>
              <w:t>其他要求</w:t>
            </w:r>
          </w:p>
        </w:tc>
        <w:tc>
          <w:tcPr>
            <w:tcW w:type="dxa" w:w="2076"/>
          </w:tcPr>
          <w:p>
            <w:pPr>
              <w:pStyle w:val="null3"/>
              <w:jc w:val="both"/>
            </w:pPr>
            <w:r>
              <w:rPr>
                <w:rFonts w:ascii="仿宋_GB2312" w:hAnsi="仿宋_GB2312" w:cs="仿宋_GB2312" w:eastAsia="仿宋_GB2312"/>
              </w:rPr>
              <w:t>投标人可报名参与多个包投标活动，但最多只能中标一个包。若一单位同时参与多个包，当所投包有一个包在评审中排序第一，则该单位在后续包的评审中只参与打分，不参加排序。</w:t>
            </w:r>
          </w:p>
        </w:tc>
      </w:tr>
    </w:tbl>
    <w:p>
      <w:pPr>
        <w:pStyle w:val="null3"/>
      </w:pPr>
      <w:r>
        <w:rPr>
          <w:rFonts w:ascii="仿宋_GB2312" w:hAnsi="仿宋_GB2312" w:cs="仿宋_GB2312" w:eastAsia="仿宋_GB2312"/>
        </w:rPr>
        <w:t>采购包2：</w:t>
      </w:r>
    </w:p>
    <w:p>
      <w:pPr>
        <w:pStyle w:val="null3"/>
      </w:pPr>
      <w:r>
        <w:rPr>
          <w:rFonts w:ascii="仿宋_GB2312" w:hAnsi="仿宋_GB2312" w:cs="仿宋_GB2312" w:eastAsia="仿宋_GB2312"/>
        </w:rPr>
        <w:t>供应商报价不允许超过标的金额</w:t>
      </w:r>
    </w:p>
    <w:p>
      <w:pPr>
        <w:pStyle w:val="null3"/>
      </w:pPr>
      <w:r>
        <w:rPr>
          <w:rFonts w:ascii="仿宋_GB2312" w:hAnsi="仿宋_GB2312" w:cs="仿宋_GB2312" w:eastAsia="仿宋_GB2312"/>
        </w:rPr>
        <w:t>（招单价的）供应商报价不允许超过标的单价</w:t>
      </w:r>
    </w:p>
    <w:p>
      <w:pPr>
        <w:pStyle w:val="null3"/>
      </w:pPr>
      <w:r>
        <w:rPr>
          <w:rFonts w:ascii="仿宋_GB2312" w:hAnsi="仿宋_GB2312" w:cs="仿宋_GB2312" w:eastAsia="仿宋_GB2312"/>
        </w:rPr>
        <w:t>标的名称：热敏票采购</w:t>
      </w:r>
    </w:p>
    <w:tbl>
      <w:tblPr>
        <w:tblW w:w="0" w:type="auto"/>
        <w:tblBorders>
          <w:top w:val="single"/>
          <w:left w:val="single"/>
          <w:bottom w:val="single"/>
          <w:right w:val="single"/>
          <w:insideH w:val="single"/>
          <w:insideV w:val="single"/>
        </w:tblBorders>
      </w:tblPr>
      <w:tblGrid>
        <w:gridCol w:w="2076"/>
        <w:gridCol w:w="2076"/>
        <w:gridCol w:w="2076"/>
        <w:gridCol w:w="2076"/>
      </w:tblGrid>
      <w:tr>
        <w:tc>
          <w:tcPr>
            <w:tcW w:type="dxa" w:w="2076"/>
          </w:tcPr>
          <w:p>
            <w:pPr>
              <w:pStyle w:val="null3"/>
            </w:pPr>
            <w:r>
              <w:rPr>
                <w:rFonts w:ascii="仿宋_GB2312" w:hAnsi="仿宋_GB2312" w:cs="仿宋_GB2312" w:eastAsia="仿宋_GB2312"/>
              </w:rPr>
              <w:t xml:space="preserve"> 参数性质</w:t>
            </w:r>
          </w:p>
        </w:tc>
        <w:tc>
          <w:tcPr>
            <w:tcW w:type="dxa" w:w="2076"/>
          </w:tcPr>
          <w:p>
            <w:pPr>
              <w:pStyle w:val="null3"/>
            </w:pPr>
            <w:r>
              <w:rPr>
                <w:rFonts w:ascii="仿宋_GB2312" w:hAnsi="仿宋_GB2312" w:cs="仿宋_GB2312" w:eastAsia="仿宋_GB2312"/>
              </w:rPr>
              <w:t xml:space="preserve"> 序号</w:t>
            </w:r>
          </w:p>
        </w:tc>
        <w:tc>
          <w:tcPr>
            <w:tcW w:type="dxa" w:w="2076"/>
          </w:tcPr>
          <w:p>
            <w:pPr>
              <w:pStyle w:val="null3"/>
            </w:pPr>
            <w:r>
              <w:rPr>
                <w:rFonts w:ascii="仿宋_GB2312" w:hAnsi="仿宋_GB2312" w:cs="仿宋_GB2312" w:eastAsia="仿宋_GB2312"/>
              </w:rPr>
              <w:t xml:space="preserve"> 技术要求名称</w:t>
            </w:r>
          </w:p>
        </w:tc>
        <w:tc>
          <w:tcPr>
            <w:tcW w:type="dxa" w:w="2076"/>
          </w:tcPr>
          <w:p>
            <w:pPr>
              <w:pStyle w:val="null3"/>
            </w:pPr>
            <w:r>
              <w:rPr>
                <w:rFonts w:ascii="仿宋_GB2312" w:hAnsi="仿宋_GB2312" w:cs="仿宋_GB2312" w:eastAsia="仿宋_GB2312"/>
              </w:rPr>
              <w:t xml:space="preserve"> 技术参数与性能指标</w:t>
            </w:r>
          </w:p>
        </w:tc>
      </w:tr>
      <w:tr>
        <w:tc>
          <w:tcPr>
            <w:tcW w:type="dxa" w:w="2076"/>
          </w:tcPr>
          <w:p/>
        </w:tc>
        <w:tc>
          <w:tcPr>
            <w:tcW w:type="dxa" w:w="2076"/>
          </w:tcPr>
          <w:p>
            <w:pPr>
              <w:pStyle w:val="null3"/>
            </w:pPr>
            <w:r>
              <w:rPr>
                <w:rFonts w:ascii="仿宋_GB2312" w:hAnsi="仿宋_GB2312" w:cs="仿宋_GB2312" w:eastAsia="仿宋_GB2312"/>
              </w:rPr>
              <w:t>1</w:t>
            </w:r>
          </w:p>
        </w:tc>
        <w:tc>
          <w:tcPr>
            <w:tcW w:type="dxa" w:w="2076"/>
          </w:tcPr>
          <w:p>
            <w:pPr>
              <w:pStyle w:val="null3"/>
            </w:pPr>
            <w:r>
              <w:rPr>
                <w:rFonts w:ascii="仿宋_GB2312" w:hAnsi="仿宋_GB2312" w:cs="仿宋_GB2312" w:eastAsia="仿宋_GB2312"/>
              </w:rPr>
              <w:t>热敏票采购</w:t>
            </w:r>
          </w:p>
        </w:tc>
        <w:tc>
          <w:tcPr>
            <w:tcW w:type="dxa" w:w="2076"/>
          </w:tcPr>
          <w:p>
            <w:pPr>
              <w:pStyle w:val="null3"/>
            </w:pPr>
            <w:r>
              <w:rPr>
                <w:rFonts w:ascii="仿宋_GB2312" w:hAnsi="仿宋_GB2312" w:cs="仿宋_GB2312" w:eastAsia="仿宋_GB2312"/>
              </w:rPr>
              <w:t>一、项目概况</w:t>
            </w:r>
          </w:p>
          <w:p>
            <w:pPr>
              <w:pStyle w:val="null3"/>
            </w:pPr>
            <w:r>
              <w:rPr>
                <w:rFonts w:ascii="仿宋_GB2312" w:hAnsi="仿宋_GB2312" w:cs="仿宋_GB2312" w:eastAsia="仿宋_GB2312"/>
              </w:rPr>
              <w:t>本项目采购内容为陕西省体彩管理中心热敏票印制、供货及后期服务。</w:t>
            </w:r>
          </w:p>
          <w:tbl>
            <w:tblPr>
              <w:tblBorders>
                <w:top w:val="single"/>
                <w:left w:val="single"/>
                <w:bottom w:val="single"/>
                <w:right w:val="single"/>
                <w:insideH w:val="single"/>
                <w:insideV w:val="single"/>
              </w:tblBorders>
            </w:tblPr>
            <w:tblGrid>
              <w:gridCol w:w="465"/>
              <w:gridCol w:w="465"/>
              <w:gridCol w:w="465"/>
              <w:gridCol w:w="465"/>
            </w:tblGrid>
            <w:tr>
              <w:tc>
                <w:tcPr>
                  <w:tcW w:type="dxa" w:w="465"/>
                </w:tcPr>
                <w:p>
                  <w:pPr>
                    <w:pStyle w:val="null3"/>
                  </w:pPr>
                  <w:r>
                    <w:rPr>
                      <w:rFonts w:ascii="仿宋_GB2312" w:hAnsi="仿宋_GB2312" w:cs="仿宋_GB2312" w:eastAsia="仿宋_GB2312"/>
                    </w:rPr>
                    <w:t>产品名称</w:t>
                  </w:r>
                </w:p>
              </w:tc>
              <w:tc>
                <w:tcPr>
                  <w:tcW w:type="dxa" w:w="465"/>
                </w:tcPr>
                <w:p>
                  <w:pPr>
                    <w:pStyle w:val="null3"/>
                  </w:pPr>
                  <w:r>
                    <w:rPr>
                      <w:rFonts w:ascii="仿宋_GB2312" w:hAnsi="仿宋_GB2312" w:cs="仿宋_GB2312" w:eastAsia="仿宋_GB2312"/>
                    </w:rPr>
                    <w:t>单价限价（元）</w:t>
                  </w:r>
                </w:p>
              </w:tc>
              <w:tc>
                <w:tcPr>
                  <w:tcW w:type="dxa" w:w="465"/>
                </w:tcPr>
                <w:p>
                  <w:pPr>
                    <w:pStyle w:val="null3"/>
                  </w:pPr>
                  <w:r>
                    <w:rPr>
                      <w:rFonts w:ascii="仿宋_GB2312" w:hAnsi="仿宋_GB2312" w:cs="仿宋_GB2312" w:eastAsia="仿宋_GB2312"/>
                    </w:rPr>
                    <w:t>数量（箱）</w:t>
                  </w:r>
                </w:p>
              </w:tc>
              <w:tc>
                <w:tcPr>
                  <w:tcW w:type="dxa" w:w="465"/>
                </w:tcPr>
                <w:p>
                  <w:pPr>
                    <w:pStyle w:val="null3"/>
                  </w:pPr>
                  <w:r>
                    <w:rPr>
                      <w:rFonts w:ascii="仿宋_GB2312" w:hAnsi="仿宋_GB2312" w:cs="仿宋_GB2312" w:eastAsia="仿宋_GB2312"/>
                    </w:rPr>
                    <w:t>备注</w:t>
                  </w:r>
                </w:p>
              </w:tc>
            </w:tr>
            <w:tr>
              <w:tc>
                <w:tcPr>
                  <w:tcW w:type="dxa" w:w="465"/>
                </w:tcPr>
                <w:p>
                  <w:pPr>
                    <w:pStyle w:val="null3"/>
                  </w:pPr>
                  <w:r>
                    <w:rPr>
                      <w:rFonts w:ascii="仿宋_GB2312" w:hAnsi="仿宋_GB2312" w:cs="仿宋_GB2312" w:eastAsia="仿宋_GB2312"/>
                    </w:rPr>
                    <w:t>热敏票</w:t>
                  </w:r>
                </w:p>
              </w:tc>
              <w:tc>
                <w:tcPr>
                  <w:tcW w:type="dxa" w:w="465"/>
                </w:tcPr>
                <w:p>
                  <w:pPr>
                    <w:pStyle w:val="null3"/>
                  </w:pPr>
                  <w:r>
                    <w:rPr>
                      <w:rFonts w:ascii="仿宋_GB2312" w:hAnsi="仿宋_GB2312" w:cs="仿宋_GB2312" w:eastAsia="仿宋_GB2312"/>
                    </w:rPr>
                    <w:t>230.00</w:t>
                  </w:r>
                </w:p>
              </w:tc>
              <w:tc>
                <w:tcPr>
                  <w:tcW w:type="dxa" w:w="465"/>
                </w:tcPr>
                <w:p>
                  <w:pPr>
                    <w:pStyle w:val="null3"/>
                  </w:pPr>
                  <w:r>
                    <w:rPr>
                      <w:rFonts w:ascii="仿宋_GB2312" w:hAnsi="仿宋_GB2312" w:cs="仿宋_GB2312" w:eastAsia="仿宋_GB2312"/>
                    </w:rPr>
                    <w:t>不少于15000</w:t>
                  </w:r>
                </w:p>
              </w:tc>
              <w:tc>
                <w:tcPr>
                  <w:tcW w:type="dxa" w:w="465"/>
                </w:tcPr>
                <w:p>
                  <w:pPr>
                    <w:pStyle w:val="null3"/>
                  </w:pPr>
                  <w:r>
                    <w:rPr>
                      <w:rFonts w:ascii="仿宋_GB2312" w:hAnsi="仿宋_GB2312" w:cs="仿宋_GB2312" w:eastAsia="仿宋_GB2312"/>
                    </w:rPr>
                    <w:t>本项目招单价，投标人须以单价报价，采购数量以实际采购需求为准</w:t>
                  </w:r>
                </w:p>
              </w:tc>
            </w:tr>
          </w:tbl>
          <w:p>
            <w:pPr>
              <w:pStyle w:val="null3"/>
            </w:pPr>
            <w:r>
              <w:rPr>
                <w:rFonts w:ascii="仿宋_GB2312" w:hAnsi="仿宋_GB2312" w:cs="仿宋_GB2312" w:eastAsia="仿宋_GB2312"/>
              </w:rPr>
              <w:t>二、质量标准及要求</w:t>
            </w:r>
          </w:p>
          <w:p>
            <w:pPr>
              <w:pStyle w:val="null3"/>
            </w:pPr>
            <w:r>
              <w:rPr>
                <w:rFonts w:ascii="仿宋_GB2312" w:hAnsi="仿宋_GB2312" w:cs="仿宋_GB2312" w:eastAsia="仿宋_GB2312"/>
              </w:rPr>
              <w:t>1.符合国家体育总局体育彩票管理中心制定的《体育彩票专用热敏票技术要求及检验方法》（TY/T 3902-2019），同时能满足陕西省电脑彩票投注机机型的要求。</w:t>
            </w:r>
          </w:p>
          <w:p>
            <w:pPr>
              <w:pStyle w:val="null3"/>
            </w:pPr>
            <w:r>
              <w:rPr>
                <w:rFonts w:ascii="仿宋_GB2312" w:hAnsi="仿宋_GB2312" w:cs="仿宋_GB2312" w:eastAsia="仿宋_GB2312"/>
              </w:rPr>
              <w:t>2. 技术要求</w:t>
            </w:r>
          </w:p>
          <w:p>
            <w:pPr>
              <w:pStyle w:val="null3"/>
            </w:pPr>
            <w:r>
              <w:rPr>
                <w:rFonts w:ascii="仿宋_GB2312" w:hAnsi="仿宋_GB2312" w:cs="仿宋_GB2312" w:eastAsia="仿宋_GB2312"/>
              </w:rPr>
              <w:t>2.1 纸张性能 热敏纸张性能应符合表1要求：</w:t>
            </w:r>
          </w:p>
          <w:p>
            <w:pPr>
              <w:pStyle w:val="null3"/>
            </w:pPr>
            <w:r>
              <w:rPr>
                <w:rFonts w:ascii="仿宋_GB2312" w:hAnsi="仿宋_GB2312" w:cs="仿宋_GB2312" w:eastAsia="仿宋_GB2312"/>
              </w:rPr>
              <w:t>表1体育彩票专用热敏纸性能要求</w:t>
            </w:r>
          </w:p>
          <w:tbl>
            <w:tblPr>
              <w:tblBorders>
                <w:top w:val="single"/>
                <w:left w:val="single"/>
                <w:bottom w:val="single"/>
                <w:right w:val="single"/>
                <w:insideH w:val="single"/>
                <w:insideV w:val="single"/>
              </w:tblBorders>
            </w:tblPr>
            <w:tblGrid>
              <w:gridCol w:w="310"/>
              <w:gridCol w:w="310"/>
              <w:gridCol w:w="310"/>
              <w:gridCol w:w="310"/>
              <w:gridCol w:w="310"/>
              <w:gridCol w:w="310"/>
            </w:tblGrid>
            <w:tr>
              <w:tc>
                <w:tcPr>
                  <w:tcW w:type="dxa" w:w="310"/>
                </w:tcPr>
                <w:p>
                  <w:pPr>
                    <w:pStyle w:val="null3"/>
                  </w:pPr>
                  <w:r>
                    <w:rPr>
                      <w:rFonts w:ascii="仿宋_GB2312" w:hAnsi="仿宋_GB2312" w:cs="仿宋_GB2312" w:eastAsia="仿宋_GB2312"/>
                    </w:rPr>
                    <w:t>序号</w:t>
                  </w:r>
                </w:p>
              </w:tc>
              <w:tc>
                <w:tcPr>
                  <w:tcW w:type="dxa" w:w="930"/>
                  <w:gridSpan w:val="3"/>
                </w:tcPr>
                <w:p>
                  <w:pPr>
                    <w:pStyle w:val="null3"/>
                  </w:pPr>
                  <w:r>
                    <w:rPr>
                      <w:rFonts w:ascii="仿宋_GB2312" w:hAnsi="仿宋_GB2312" w:cs="仿宋_GB2312" w:eastAsia="仿宋_GB2312"/>
                    </w:rPr>
                    <w:t>指标名称</w:t>
                  </w:r>
                </w:p>
              </w:tc>
              <w:tc>
                <w:tcPr>
                  <w:tcW w:type="dxa" w:w="310"/>
                </w:tcPr>
                <w:p>
                  <w:pPr>
                    <w:pStyle w:val="null3"/>
                  </w:pPr>
                  <w:r>
                    <w:rPr>
                      <w:rFonts w:ascii="仿宋_GB2312" w:hAnsi="仿宋_GB2312" w:cs="仿宋_GB2312" w:eastAsia="仿宋_GB2312"/>
                    </w:rPr>
                    <w:t>单位</w:t>
                  </w:r>
                </w:p>
              </w:tc>
              <w:tc>
                <w:tcPr>
                  <w:tcW w:type="dxa" w:w="310"/>
                </w:tcPr>
                <w:p>
                  <w:pPr>
                    <w:pStyle w:val="null3"/>
                  </w:pPr>
                  <w:r>
                    <w:rPr>
                      <w:rFonts w:ascii="仿宋_GB2312" w:hAnsi="仿宋_GB2312" w:cs="仿宋_GB2312" w:eastAsia="仿宋_GB2312"/>
                    </w:rPr>
                    <w:t>技术要求</w:t>
                  </w:r>
                </w:p>
              </w:tc>
            </w:tr>
            <w:tr>
              <w:tc>
                <w:tcPr>
                  <w:tcW w:type="dxa" w:w="310"/>
                </w:tcPr>
                <w:p>
                  <w:pPr>
                    <w:pStyle w:val="null3"/>
                  </w:pPr>
                  <w:r>
                    <w:rPr>
                      <w:rFonts w:ascii="仿宋_GB2312" w:hAnsi="仿宋_GB2312" w:cs="仿宋_GB2312" w:eastAsia="仿宋_GB2312"/>
                    </w:rPr>
                    <w:t>1</w:t>
                  </w:r>
                </w:p>
              </w:tc>
              <w:tc>
                <w:tcPr>
                  <w:tcW w:type="dxa" w:w="310"/>
                  <w:vMerge w:val="restart"/>
                </w:tcPr>
                <w:p>
                  <w:pPr>
                    <w:pStyle w:val="null3"/>
                  </w:pPr>
                  <w:r>
                    <w:rPr>
                      <w:rFonts w:ascii="仿宋_GB2312" w:hAnsi="仿宋_GB2312" w:cs="仿宋_GB2312" w:eastAsia="仿宋_GB2312"/>
                    </w:rPr>
                    <w:t>物理</w:t>
                  </w:r>
                </w:p>
                <w:p>
                  <w:pPr>
                    <w:pStyle w:val="null3"/>
                  </w:pPr>
                  <w:r>
                    <w:rPr>
                      <w:rFonts w:ascii="仿宋_GB2312" w:hAnsi="仿宋_GB2312" w:cs="仿宋_GB2312" w:eastAsia="仿宋_GB2312"/>
                    </w:rPr>
                    <w:t>性能</w:t>
                  </w:r>
                </w:p>
              </w:tc>
              <w:tc>
                <w:tcPr>
                  <w:tcW w:type="dxa" w:w="620"/>
                  <w:gridSpan w:val="2"/>
                </w:tcPr>
                <w:p>
                  <w:pPr>
                    <w:pStyle w:val="null3"/>
                  </w:pPr>
                  <w:r>
                    <w:rPr>
                      <w:rFonts w:ascii="仿宋_GB2312" w:hAnsi="仿宋_GB2312" w:cs="仿宋_GB2312" w:eastAsia="仿宋_GB2312"/>
                    </w:rPr>
                    <w:t>定量</w:t>
                  </w:r>
                </w:p>
              </w:tc>
              <w:tc>
                <w:tcPr>
                  <w:tcW w:type="dxa" w:w="310"/>
                </w:tcPr>
                <w:p>
                  <w:pPr>
                    <w:pStyle w:val="null3"/>
                  </w:pPr>
                  <w:r>
                    <w:rPr>
                      <w:rFonts w:ascii="仿宋_GB2312" w:hAnsi="仿宋_GB2312" w:cs="仿宋_GB2312" w:eastAsia="仿宋_GB2312"/>
                    </w:rPr>
                    <w:t>g/㎡</w:t>
                  </w:r>
                </w:p>
              </w:tc>
              <w:tc>
                <w:tcPr>
                  <w:tcW w:type="dxa" w:w="310"/>
                </w:tcPr>
                <w:p>
                  <w:pPr>
                    <w:pStyle w:val="null3"/>
                  </w:pPr>
                  <w:r>
                    <w:rPr>
                      <w:rFonts w:ascii="仿宋_GB2312" w:hAnsi="仿宋_GB2312" w:cs="仿宋_GB2312" w:eastAsia="仿宋_GB2312"/>
                    </w:rPr>
                    <w:t>75.0× (1±5%)</w:t>
                  </w:r>
                </w:p>
              </w:tc>
            </w:tr>
            <w:tr>
              <w:tc>
                <w:tcPr>
                  <w:tcW w:type="dxa" w:w="310"/>
                </w:tcPr>
                <w:p>
                  <w:pPr>
                    <w:pStyle w:val="null3"/>
                  </w:pPr>
                  <w:r>
                    <w:rPr>
                      <w:rFonts w:ascii="仿宋_GB2312" w:hAnsi="仿宋_GB2312" w:cs="仿宋_GB2312" w:eastAsia="仿宋_GB2312"/>
                    </w:rPr>
                    <w:t>2</w:t>
                  </w:r>
                </w:p>
              </w:tc>
              <w:tc>
                <w:tcPr>
                  <w:tcW w:type="dxa" w:w="310"/>
                  <w:vMerge/>
                </w:tcPr>
                <w:p/>
              </w:tc>
              <w:tc>
                <w:tcPr>
                  <w:tcW w:type="dxa" w:w="620"/>
                  <w:gridSpan w:val="2"/>
                </w:tcPr>
                <w:p>
                  <w:pPr>
                    <w:pStyle w:val="null3"/>
                  </w:pPr>
                  <w:r>
                    <w:rPr>
                      <w:rFonts w:ascii="仿宋_GB2312" w:hAnsi="仿宋_GB2312" w:cs="仿宋_GB2312" w:eastAsia="仿宋_GB2312"/>
                    </w:rPr>
                    <w:t>厚度</w:t>
                  </w:r>
                </w:p>
              </w:tc>
              <w:tc>
                <w:tcPr>
                  <w:tcW w:type="dxa" w:w="310"/>
                </w:tcPr>
                <w:p>
                  <w:pPr>
                    <w:pStyle w:val="null3"/>
                  </w:pPr>
                  <w:r>
                    <w:rPr>
                      <w:rFonts w:ascii="仿宋_GB2312" w:hAnsi="仿宋_GB2312" w:cs="仿宋_GB2312" w:eastAsia="仿宋_GB2312"/>
                    </w:rPr>
                    <w:t>um</w:t>
                  </w:r>
                </w:p>
              </w:tc>
              <w:tc>
                <w:tcPr>
                  <w:tcW w:type="dxa" w:w="310"/>
                </w:tcPr>
                <w:p>
                  <w:pPr>
                    <w:pStyle w:val="null3"/>
                  </w:pPr>
                  <w:r>
                    <w:rPr>
                      <w:rFonts w:ascii="仿宋_GB2312" w:hAnsi="仿宋_GB2312" w:cs="仿宋_GB2312" w:eastAsia="仿宋_GB2312"/>
                    </w:rPr>
                    <w:t>80±3</w:t>
                  </w:r>
                </w:p>
              </w:tc>
            </w:tr>
            <w:tr>
              <w:tc>
                <w:tcPr>
                  <w:tcW w:type="dxa" w:w="310"/>
                </w:tcPr>
                <w:p>
                  <w:pPr>
                    <w:pStyle w:val="null3"/>
                  </w:pPr>
                  <w:r>
                    <w:rPr>
                      <w:rFonts w:ascii="仿宋_GB2312" w:hAnsi="仿宋_GB2312" w:cs="仿宋_GB2312" w:eastAsia="仿宋_GB2312"/>
                    </w:rPr>
                    <w:t>3</w:t>
                  </w:r>
                </w:p>
              </w:tc>
              <w:tc>
                <w:tcPr>
                  <w:tcW w:type="dxa" w:w="310"/>
                  <w:vMerge/>
                </w:tcPr>
                <w:p/>
              </w:tc>
              <w:tc>
                <w:tcPr>
                  <w:tcW w:type="dxa" w:w="620"/>
                  <w:gridSpan w:val="2"/>
                </w:tcPr>
                <w:p>
                  <w:pPr>
                    <w:pStyle w:val="null3"/>
                  </w:pPr>
                  <w:r>
                    <w:rPr>
                      <w:rFonts w:ascii="仿宋_GB2312" w:hAnsi="仿宋_GB2312" w:cs="仿宋_GB2312" w:eastAsia="仿宋_GB2312"/>
                    </w:rPr>
                    <w:t>白度</w:t>
                  </w:r>
                </w:p>
              </w:tc>
              <w:tc>
                <w:tcPr>
                  <w:tcW w:type="dxa" w:w="310"/>
                </w:tcPr>
                <w:p>
                  <w:pPr>
                    <w:pStyle w:val="null3"/>
                  </w:pPr>
                  <w:r>
                    <w:rPr>
                      <w:rFonts w:ascii="仿宋_GB2312" w:hAnsi="仿宋_GB2312" w:cs="仿宋_GB2312" w:eastAsia="仿宋_GB2312"/>
                    </w:rPr>
                    <w:t>%</w:t>
                  </w:r>
                </w:p>
              </w:tc>
              <w:tc>
                <w:tcPr>
                  <w:tcW w:type="dxa" w:w="310"/>
                </w:tcPr>
                <w:p>
                  <w:pPr>
                    <w:pStyle w:val="null3"/>
                  </w:pPr>
                  <w:r>
                    <w:rPr>
                      <w:rFonts w:ascii="仿宋_GB2312" w:hAnsi="仿宋_GB2312" w:cs="仿宋_GB2312" w:eastAsia="仿宋_GB2312"/>
                    </w:rPr>
                    <w:t>85±5</w:t>
                  </w:r>
                </w:p>
              </w:tc>
            </w:tr>
            <w:tr>
              <w:tc>
                <w:tcPr>
                  <w:tcW w:type="dxa" w:w="310"/>
                </w:tcPr>
                <w:p>
                  <w:pPr>
                    <w:pStyle w:val="null3"/>
                  </w:pPr>
                  <w:r>
                    <w:rPr>
                      <w:rFonts w:ascii="仿宋_GB2312" w:hAnsi="仿宋_GB2312" w:cs="仿宋_GB2312" w:eastAsia="仿宋_GB2312"/>
                    </w:rPr>
                    <w:t>4</w:t>
                  </w:r>
                </w:p>
              </w:tc>
              <w:tc>
                <w:tcPr>
                  <w:tcW w:type="dxa" w:w="310"/>
                  <w:vMerge/>
                </w:tcPr>
                <w:p/>
              </w:tc>
              <w:tc>
                <w:tcPr>
                  <w:tcW w:type="dxa" w:w="620"/>
                  <w:gridSpan w:val="2"/>
                </w:tcPr>
                <w:p>
                  <w:pPr>
                    <w:pStyle w:val="null3"/>
                  </w:pPr>
                  <w:r>
                    <w:rPr>
                      <w:rFonts w:ascii="仿宋_GB2312" w:hAnsi="仿宋_GB2312" w:cs="仿宋_GB2312" w:eastAsia="仿宋_GB2312"/>
                    </w:rPr>
                    <w:t>平滑度</w:t>
                  </w:r>
                </w:p>
              </w:tc>
              <w:tc>
                <w:tcPr>
                  <w:tcW w:type="dxa" w:w="310"/>
                </w:tcPr>
                <w:p>
                  <w:pPr>
                    <w:pStyle w:val="null3"/>
                  </w:pPr>
                  <w:r>
                    <w:rPr>
                      <w:rFonts w:ascii="仿宋_GB2312" w:hAnsi="仿宋_GB2312" w:cs="仿宋_GB2312" w:eastAsia="仿宋_GB2312"/>
                    </w:rPr>
                    <w:t>s</w:t>
                  </w:r>
                </w:p>
              </w:tc>
              <w:tc>
                <w:tcPr>
                  <w:tcW w:type="dxa" w:w="310"/>
                </w:tcPr>
                <w:p>
                  <w:pPr>
                    <w:pStyle w:val="null3"/>
                  </w:pPr>
                  <w:r>
                    <w:rPr>
                      <w:rFonts w:ascii="仿宋_GB2312" w:hAnsi="仿宋_GB2312" w:cs="仿宋_GB2312" w:eastAsia="仿宋_GB2312"/>
                    </w:rPr>
                    <w:t>﹥800</w:t>
                  </w:r>
                </w:p>
              </w:tc>
            </w:tr>
            <w:tr>
              <w:tc>
                <w:tcPr>
                  <w:tcW w:type="dxa" w:w="310"/>
                </w:tcPr>
                <w:p>
                  <w:pPr>
                    <w:pStyle w:val="null3"/>
                  </w:pPr>
                  <w:r>
                    <w:rPr>
                      <w:rFonts w:ascii="仿宋_GB2312" w:hAnsi="仿宋_GB2312" w:cs="仿宋_GB2312" w:eastAsia="仿宋_GB2312"/>
                    </w:rPr>
                    <w:t>5</w:t>
                  </w:r>
                </w:p>
              </w:tc>
              <w:tc>
                <w:tcPr>
                  <w:tcW w:type="dxa" w:w="310"/>
                  <w:vMerge w:val="restart"/>
                </w:tcPr>
                <w:p>
                  <w:pPr>
                    <w:pStyle w:val="null3"/>
                  </w:pPr>
                  <w:r>
                    <w:rPr>
                      <w:rFonts w:ascii="仿宋_GB2312" w:hAnsi="仿宋_GB2312" w:cs="仿宋_GB2312" w:eastAsia="仿宋_GB2312"/>
                    </w:rPr>
                    <w:t>发色</w:t>
                  </w:r>
                </w:p>
                <w:p>
                  <w:pPr>
                    <w:pStyle w:val="null3"/>
                  </w:pPr>
                  <w:r>
                    <w:rPr>
                      <w:rFonts w:ascii="仿宋_GB2312" w:hAnsi="仿宋_GB2312" w:cs="仿宋_GB2312" w:eastAsia="仿宋_GB2312"/>
                    </w:rPr>
                    <w:t>性能</w:t>
                  </w:r>
                </w:p>
              </w:tc>
              <w:tc>
                <w:tcPr>
                  <w:tcW w:type="dxa" w:w="620"/>
                  <w:gridSpan w:val="2"/>
                </w:tcPr>
                <w:p>
                  <w:pPr>
                    <w:pStyle w:val="null3"/>
                  </w:pPr>
                  <w:r>
                    <w:rPr>
                      <w:rFonts w:ascii="仿宋_GB2312" w:hAnsi="仿宋_GB2312" w:cs="仿宋_GB2312" w:eastAsia="仿宋_GB2312"/>
                    </w:rPr>
                    <w:t>70ºC 发色光密度值</w:t>
                  </w:r>
                </w:p>
              </w:tc>
              <w:tc>
                <w:tcPr>
                  <w:tcW w:type="dxa" w:w="310"/>
                </w:tcPr>
                <w:p>
                  <w:pPr>
                    <w:pStyle w:val="null3"/>
                  </w:pPr>
                  <w:r>
                    <w:rPr>
                      <w:rFonts w:ascii="仿宋_GB2312" w:hAnsi="仿宋_GB2312" w:cs="仿宋_GB2312" w:eastAsia="仿宋_GB2312"/>
                    </w:rPr>
                    <w:t>--</w:t>
                  </w:r>
                </w:p>
              </w:tc>
              <w:tc>
                <w:tcPr>
                  <w:tcW w:type="dxa" w:w="310"/>
                </w:tcPr>
                <w:p>
                  <w:pPr>
                    <w:pStyle w:val="null3"/>
                  </w:pPr>
                  <w:r>
                    <w:rPr>
                      <w:rFonts w:ascii="仿宋_GB2312" w:hAnsi="仿宋_GB2312" w:cs="仿宋_GB2312" w:eastAsia="仿宋_GB2312"/>
                    </w:rPr>
                    <w:t>≤0.25</w:t>
                  </w:r>
                </w:p>
              </w:tc>
            </w:tr>
            <w:tr>
              <w:tc>
                <w:tcPr>
                  <w:tcW w:type="dxa" w:w="310"/>
                </w:tcPr>
                <w:p>
                  <w:pPr>
                    <w:pStyle w:val="null3"/>
                  </w:pPr>
                  <w:r>
                    <w:rPr>
                      <w:rFonts w:ascii="仿宋_GB2312" w:hAnsi="仿宋_GB2312" w:cs="仿宋_GB2312" w:eastAsia="仿宋_GB2312"/>
                    </w:rPr>
                    <w:t>6</w:t>
                  </w:r>
                </w:p>
              </w:tc>
              <w:tc>
                <w:tcPr>
                  <w:tcW w:type="dxa" w:w="310"/>
                  <w:vMerge/>
                </w:tcPr>
                <w:p/>
              </w:tc>
              <w:tc>
                <w:tcPr>
                  <w:tcW w:type="dxa" w:w="620"/>
                  <w:gridSpan w:val="2"/>
                </w:tcPr>
                <w:p>
                  <w:pPr>
                    <w:pStyle w:val="null3"/>
                  </w:pPr>
                  <w:r>
                    <w:rPr>
                      <w:rFonts w:ascii="仿宋_GB2312" w:hAnsi="仿宋_GB2312" w:cs="仿宋_GB2312" w:eastAsia="仿宋_GB2312"/>
                    </w:rPr>
                    <w:t>饱和发色 光密度值</w:t>
                  </w:r>
                </w:p>
              </w:tc>
              <w:tc>
                <w:tcPr>
                  <w:tcW w:type="dxa" w:w="310"/>
                </w:tcPr>
                <w:p>
                  <w:pPr>
                    <w:pStyle w:val="null3"/>
                  </w:pPr>
                  <w:r>
                    <w:rPr>
                      <w:rFonts w:ascii="仿宋_GB2312" w:hAnsi="仿宋_GB2312" w:cs="仿宋_GB2312" w:eastAsia="仿宋_GB2312"/>
                    </w:rPr>
                    <w:t>--</w:t>
                  </w:r>
                </w:p>
              </w:tc>
              <w:tc>
                <w:tcPr>
                  <w:tcW w:type="dxa" w:w="310"/>
                </w:tcPr>
                <w:p>
                  <w:pPr>
                    <w:pStyle w:val="null3"/>
                  </w:pPr>
                  <w:r>
                    <w:rPr>
                      <w:rFonts w:ascii="仿宋_GB2312" w:hAnsi="仿宋_GB2312" w:cs="仿宋_GB2312" w:eastAsia="仿宋_GB2312"/>
                    </w:rPr>
                    <w:t>≥1.10</w:t>
                  </w:r>
                </w:p>
              </w:tc>
            </w:tr>
            <w:tr>
              <w:tc>
                <w:tcPr>
                  <w:tcW w:type="dxa" w:w="310"/>
                </w:tcPr>
                <w:p>
                  <w:pPr>
                    <w:pStyle w:val="null3"/>
                  </w:pPr>
                  <w:r>
                    <w:rPr>
                      <w:rFonts w:ascii="仿宋_GB2312" w:hAnsi="仿宋_GB2312" w:cs="仿宋_GB2312" w:eastAsia="仿宋_GB2312"/>
                    </w:rPr>
                    <w:t>7</w:t>
                  </w:r>
                </w:p>
              </w:tc>
              <w:tc>
                <w:tcPr>
                  <w:tcW w:type="dxa" w:w="310"/>
                  <w:vMerge w:val="restart"/>
                </w:tcPr>
                <w:p>
                  <w:pPr>
                    <w:pStyle w:val="null3"/>
                  </w:pPr>
                  <w:r>
                    <w:rPr>
                      <w:rFonts w:ascii="仿宋_GB2312" w:hAnsi="仿宋_GB2312" w:cs="仿宋_GB2312" w:eastAsia="仿宋_GB2312"/>
                    </w:rPr>
                    <w:t>图像</w:t>
                  </w:r>
                </w:p>
                <w:p>
                  <w:pPr>
                    <w:pStyle w:val="null3"/>
                  </w:pPr>
                  <w:r>
                    <w:rPr>
                      <w:rFonts w:ascii="仿宋_GB2312" w:hAnsi="仿宋_GB2312" w:cs="仿宋_GB2312" w:eastAsia="仿宋_GB2312"/>
                    </w:rPr>
                    <w:t>保存</w:t>
                  </w:r>
                </w:p>
                <w:p>
                  <w:pPr>
                    <w:pStyle w:val="null3"/>
                  </w:pPr>
                  <w:r>
                    <w:rPr>
                      <w:rFonts w:ascii="仿宋_GB2312" w:hAnsi="仿宋_GB2312" w:cs="仿宋_GB2312" w:eastAsia="仿宋_GB2312"/>
                    </w:rPr>
                    <w:t>性能</w:t>
                  </w:r>
                </w:p>
              </w:tc>
              <w:tc>
                <w:tcPr>
                  <w:tcW w:type="dxa" w:w="310"/>
                  <w:vMerge w:val="restart"/>
                </w:tcPr>
                <w:p>
                  <w:pPr>
                    <w:pStyle w:val="null3"/>
                  </w:pPr>
                  <w:r>
                    <w:rPr>
                      <w:rFonts w:ascii="仿宋_GB2312" w:hAnsi="仿宋_GB2312" w:cs="仿宋_GB2312" w:eastAsia="仿宋_GB2312"/>
                    </w:rPr>
                    <w:t>耐光性能</w:t>
                  </w:r>
                </w:p>
              </w:tc>
              <w:tc>
                <w:tcPr>
                  <w:tcW w:type="dxa" w:w="310"/>
                </w:tcPr>
                <w:p>
                  <w:pPr>
                    <w:pStyle w:val="null3"/>
                  </w:pPr>
                  <w:r>
                    <w:rPr>
                      <w:rFonts w:ascii="仿宋_GB2312" w:hAnsi="仿宋_GB2312" w:cs="仿宋_GB2312" w:eastAsia="仿宋_GB2312"/>
                    </w:rPr>
                    <w:t>空白部分密度值</w:t>
                  </w:r>
                </w:p>
              </w:tc>
              <w:tc>
                <w:tcPr>
                  <w:tcW w:type="dxa" w:w="310"/>
                </w:tcPr>
                <w:p>
                  <w:pPr>
                    <w:pStyle w:val="null3"/>
                  </w:pPr>
                  <w:r>
                    <w:rPr>
                      <w:rFonts w:ascii="仿宋_GB2312" w:hAnsi="仿宋_GB2312" w:cs="仿宋_GB2312" w:eastAsia="仿宋_GB2312"/>
                    </w:rPr>
                    <w:t>--</w:t>
                  </w:r>
                </w:p>
              </w:tc>
              <w:tc>
                <w:tcPr>
                  <w:tcW w:type="dxa" w:w="310"/>
                </w:tcPr>
                <w:p>
                  <w:pPr>
                    <w:pStyle w:val="null3"/>
                  </w:pPr>
                  <w:r>
                    <w:rPr>
                      <w:rFonts w:ascii="仿宋_GB2312" w:hAnsi="仿宋_GB2312" w:cs="仿宋_GB2312" w:eastAsia="仿宋_GB2312"/>
                    </w:rPr>
                    <w:t>≤0.25</w:t>
                  </w:r>
                </w:p>
              </w:tc>
            </w:tr>
            <w:tr>
              <w:tc>
                <w:tcPr>
                  <w:tcW w:type="dxa" w:w="310"/>
                </w:tcPr>
                <w:p>
                  <w:pPr>
                    <w:pStyle w:val="null3"/>
                  </w:pPr>
                  <w:r>
                    <w:rPr>
                      <w:rFonts w:ascii="仿宋_GB2312" w:hAnsi="仿宋_GB2312" w:cs="仿宋_GB2312" w:eastAsia="仿宋_GB2312"/>
                    </w:rPr>
                    <w:t>8</w:t>
                  </w:r>
                </w:p>
              </w:tc>
              <w:tc>
                <w:tcPr>
                  <w:tcW w:type="dxa" w:w="310"/>
                  <w:vMerge/>
                </w:tcPr>
                <w:p/>
              </w:tc>
              <w:tc>
                <w:tcPr>
                  <w:tcW w:type="dxa" w:w="310"/>
                  <w:vMerge/>
                </w:tcPr>
                <w:p/>
              </w:tc>
              <w:tc>
                <w:tcPr>
                  <w:tcW w:type="dxa" w:w="310"/>
                </w:tcPr>
                <w:p>
                  <w:pPr>
                    <w:pStyle w:val="null3"/>
                  </w:pPr>
                  <w:r>
                    <w:rPr>
                      <w:rFonts w:ascii="仿宋_GB2312" w:hAnsi="仿宋_GB2312" w:cs="仿宋_GB2312" w:eastAsia="仿宋_GB2312"/>
                    </w:rPr>
                    <w:t>显色部分密度值</w:t>
                  </w:r>
                </w:p>
              </w:tc>
              <w:tc>
                <w:tcPr>
                  <w:tcW w:type="dxa" w:w="310"/>
                </w:tcPr>
                <w:p>
                  <w:pPr>
                    <w:pStyle w:val="null3"/>
                  </w:pPr>
                  <w:r>
                    <w:rPr>
                      <w:rFonts w:ascii="仿宋_GB2312" w:hAnsi="仿宋_GB2312" w:cs="仿宋_GB2312" w:eastAsia="仿宋_GB2312"/>
                    </w:rPr>
                    <w:t>--</w:t>
                  </w:r>
                </w:p>
              </w:tc>
              <w:tc>
                <w:tcPr>
                  <w:tcW w:type="dxa" w:w="310"/>
                </w:tcPr>
                <w:p>
                  <w:pPr>
                    <w:pStyle w:val="null3"/>
                  </w:pPr>
                  <w:r>
                    <w:rPr>
                      <w:rFonts w:ascii="仿宋_GB2312" w:hAnsi="仿宋_GB2312" w:cs="仿宋_GB2312" w:eastAsia="仿宋_GB2312"/>
                    </w:rPr>
                    <w:t>≥1.0</w:t>
                  </w:r>
                </w:p>
              </w:tc>
            </w:tr>
            <w:tr>
              <w:tc>
                <w:tcPr>
                  <w:tcW w:type="dxa" w:w="310"/>
                </w:tcPr>
                <w:p>
                  <w:pPr>
                    <w:pStyle w:val="null3"/>
                  </w:pPr>
                  <w:r>
                    <w:rPr>
                      <w:rFonts w:ascii="仿宋_GB2312" w:hAnsi="仿宋_GB2312" w:cs="仿宋_GB2312" w:eastAsia="仿宋_GB2312"/>
                    </w:rPr>
                    <w:t>9</w:t>
                  </w:r>
                </w:p>
              </w:tc>
              <w:tc>
                <w:tcPr>
                  <w:tcW w:type="dxa" w:w="310"/>
                  <w:vMerge/>
                </w:tcPr>
                <w:p/>
              </w:tc>
              <w:tc>
                <w:tcPr>
                  <w:tcW w:type="dxa" w:w="310"/>
                  <w:vMerge w:val="restart"/>
                </w:tcPr>
                <w:p>
                  <w:pPr>
                    <w:pStyle w:val="null3"/>
                  </w:pPr>
                  <w:r>
                    <w:rPr>
                      <w:rFonts w:ascii="仿宋_GB2312" w:hAnsi="仿宋_GB2312" w:cs="仿宋_GB2312" w:eastAsia="仿宋_GB2312"/>
                    </w:rPr>
                    <w:t>耐热性能</w:t>
                  </w:r>
                </w:p>
              </w:tc>
              <w:tc>
                <w:tcPr>
                  <w:tcW w:type="dxa" w:w="310"/>
                </w:tcPr>
                <w:p>
                  <w:pPr>
                    <w:pStyle w:val="null3"/>
                  </w:pPr>
                  <w:r>
                    <w:rPr>
                      <w:rFonts w:ascii="仿宋_GB2312" w:hAnsi="仿宋_GB2312" w:cs="仿宋_GB2312" w:eastAsia="仿宋_GB2312"/>
                    </w:rPr>
                    <w:t>空白部分密度值</w:t>
                  </w:r>
                </w:p>
              </w:tc>
              <w:tc>
                <w:tcPr>
                  <w:tcW w:type="dxa" w:w="310"/>
                </w:tcPr>
                <w:p>
                  <w:pPr>
                    <w:pStyle w:val="null3"/>
                  </w:pPr>
                  <w:r>
                    <w:rPr>
                      <w:rFonts w:ascii="仿宋_GB2312" w:hAnsi="仿宋_GB2312" w:cs="仿宋_GB2312" w:eastAsia="仿宋_GB2312"/>
                    </w:rPr>
                    <w:t>--</w:t>
                  </w:r>
                </w:p>
              </w:tc>
              <w:tc>
                <w:tcPr>
                  <w:tcW w:type="dxa" w:w="310"/>
                </w:tcPr>
                <w:p>
                  <w:pPr>
                    <w:pStyle w:val="null3"/>
                  </w:pPr>
                  <w:r>
                    <w:rPr>
                      <w:rFonts w:ascii="仿宋_GB2312" w:hAnsi="仿宋_GB2312" w:cs="仿宋_GB2312" w:eastAsia="仿宋_GB2312"/>
                    </w:rPr>
                    <w:t>≤0.25</w:t>
                  </w:r>
                </w:p>
              </w:tc>
            </w:tr>
            <w:tr>
              <w:tc>
                <w:tcPr>
                  <w:tcW w:type="dxa" w:w="310"/>
                </w:tcPr>
                <w:p>
                  <w:pPr>
                    <w:pStyle w:val="null3"/>
                  </w:pPr>
                  <w:r>
                    <w:rPr>
                      <w:rFonts w:ascii="仿宋_GB2312" w:hAnsi="仿宋_GB2312" w:cs="仿宋_GB2312" w:eastAsia="仿宋_GB2312"/>
                    </w:rPr>
                    <w:t>10</w:t>
                  </w:r>
                </w:p>
              </w:tc>
              <w:tc>
                <w:tcPr>
                  <w:tcW w:type="dxa" w:w="310"/>
                  <w:vMerge/>
                </w:tcPr>
                <w:p/>
              </w:tc>
              <w:tc>
                <w:tcPr>
                  <w:tcW w:type="dxa" w:w="310"/>
                  <w:vMerge/>
                </w:tcPr>
                <w:p/>
              </w:tc>
              <w:tc>
                <w:tcPr>
                  <w:tcW w:type="dxa" w:w="310"/>
                </w:tcPr>
                <w:p>
                  <w:pPr>
                    <w:pStyle w:val="null3"/>
                  </w:pPr>
                  <w:r>
                    <w:rPr>
                      <w:rFonts w:ascii="仿宋_GB2312" w:hAnsi="仿宋_GB2312" w:cs="仿宋_GB2312" w:eastAsia="仿宋_GB2312"/>
                    </w:rPr>
                    <w:t>显色部分密度值</w:t>
                  </w:r>
                </w:p>
              </w:tc>
              <w:tc>
                <w:tcPr>
                  <w:tcW w:type="dxa" w:w="310"/>
                </w:tcPr>
                <w:p>
                  <w:pPr>
                    <w:pStyle w:val="null3"/>
                  </w:pPr>
                  <w:r>
                    <w:rPr>
                      <w:rFonts w:ascii="仿宋_GB2312" w:hAnsi="仿宋_GB2312" w:cs="仿宋_GB2312" w:eastAsia="仿宋_GB2312"/>
                    </w:rPr>
                    <w:t>--</w:t>
                  </w:r>
                </w:p>
              </w:tc>
              <w:tc>
                <w:tcPr>
                  <w:tcW w:type="dxa" w:w="310"/>
                </w:tcPr>
                <w:p>
                  <w:pPr>
                    <w:pStyle w:val="null3"/>
                  </w:pPr>
                  <w:r>
                    <w:rPr>
                      <w:rFonts w:ascii="仿宋_GB2312" w:hAnsi="仿宋_GB2312" w:cs="仿宋_GB2312" w:eastAsia="仿宋_GB2312"/>
                    </w:rPr>
                    <w:t>≥1.0</w:t>
                  </w:r>
                </w:p>
              </w:tc>
            </w:tr>
            <w:tr>
              <w:tc>
                <w:tcPr>
                  <w:tcW w:type="dxa" w:w="310"/>
                </w:tcPr>
                <w:p>
                  <w:pPr>
                    <w:pStyle w:val="null3"/>
                  </w:pPr>
                  <w:r>
                    <w:rPr>
                      <w:rFonts w:ascii="仿宋_GB2312" w:hAnsi="仿宋_GB2312" w:cs="仿宋_GB2312" w:eastAsia="仿宋_GB2312"/>
                    </w:rPr>
                    <w:t>11</w:t>
                  </w:r>
                </w:p>
              </w:tc>
              <w:tc>
                <w:tcPr>
                  <w:tcW w:type="dxa" w:w="310"/>
                  <w:vMerge w:val="restart"/>
                </w:tcPr>
                <w:p>
                  <w:pPr>
                    <w:pStyle w:val="null3"/>
                  </w:pPr>
                  <w:r>
                    <w:rPr>
                      <w:rFonts w:ascii="仿宋_GB2312" w:hAnsi="仿宋_GB2312" w:cs="仿宋_GB2312" w:eastAsia="仿宋_GB2312"/>
                    </w:rPr>
                    <w:t>图像</w:t>
                  </w:r>
                </w:p>
                <w:p>
                  <w:pPr>
                    <w:pStyle w:val="null3"/>
                  </w:pPr>
                  <w:r>
                    <w:rPr>
                      <w:rFonts w:ascii="仿宋_GB2312" w:hAnsi="仿宋_GB2312" w:cs="仿宋_GB2312" w:eastAsia="仿宋_GB2312"/>
                    </w:rPr>
                    <w:t>防护</w:t>
                  </w:r>
                </w:p>
                <w:p>
                  <w:pPr>
                    <w:pStyle w:val="null3"/>
                  </w:pPr>
                  <w:r>
                    <w:rPr>
                      <w:rFonts w:ascii="仿宋_GB2312" w:hAnsi="仿宋_GB2312" w:cs="仿宋_GB2312" w:eastAsia="仿宋_GB2312"/>
                    </w:rPr>
                    <w:t>性能</w:t>
                  </w:r>
                </w:p>
              </w:tc>
              <w:tc>
                <w:tcPr>
                  <w:tcW w:type="dxa" w:w="310"/>
                </w:tcPr>
                <w:p>
                  <w:pPr>
                    <w:pStyle w:val="null3"/>
                  </w:pPr>
                  <w:r>
                    <w:rPr>
                      <w:rFonts w:ascii="仿宋_GB2312" w:hAnsi="仿宋_GB2312" w:cs="仿宋_GB2312" w:eastAsia="仿宋_GB2312"/>
                    </w:rPr>
                    <w:t>防水性能</w:t>
                  </w:r>
                </w:p>
              </w:tc>
              <w:tc>
                <w:tcPr>
                  <w:tcW w:type="dxa" w:w="310"/>
                </w:tcPr>
                <w:p>
                  <w:pPr>
                    <w:pStyle w:val="null3"/>
                  </w:pPr>
                  <w:r>
                    <w:rPr>
                      <w:rFonts w:ascii="仿宋_GB2312" w:hAnsi="仿宋_GB2312" w:cs="仿宋_GB2312" w:eastAsia="仿宋_GB2312"/>
                    </w:rPr>
                    <w:t>图像保留率</w:t>
                  </w:r>
                </w:p>
              </w:tc>
              <w:tc>
                <w:tcPr>
                  <w:tcW w:type="dxa" w:w="310"/>
                </w:tcPr>
                <w:p>
                  <w:pPr>
                    <w:pStyle w:val="null3"/>
                  </w:pPr>
                  <w:r>
                    <w:rPr>
                      <w:rFonts w:ascii="仿宋_GB2312" w:hAnsi="仿宋_GB2312" w:cs="仿宋_GB2312" w:eastAsia="仿宋_GB2312"/>
                    </w:rPr>
                    <w:t>%</w:t>
                  </w:r>
                </w:p>
              </w:tc>
              <w:tc>
                <w:tcPr>
                  <w:tcW w:type="dxa" w:w="310"/>
                </w:tcPr>
                <w:p>
                  <w:pPr>
                    <w:pStyle w:val="null3"/>
                  </w:pPr>
                  <w:r>
                    <w:rPr>
                      <w:rFonts w:ascii="仿宋_GB2312" w:hAnsi="仿宋_GB2312" w:cs="仿宋_GB2312" w:eastAsia="仿宋_GB2312"/>
                    </w:rPr>
                    <w:t>≥85</w:t>
                  </w:r>
                </w:p>
              </w:tc>
            </w:tr>
            <w:tr>
              <w:tc>
                <w:tcPr>
                  <w:tcW w:type="dxa" w:w="310"/>
                </w:tcPr>
                <w:p>
                  <w:pPr>
                    <w:pStyle w:val="null3"/>
                  </w:pPr>
                  <w:r>
                    <w:rPr>
                      <w:rFonts w:ascii="仿宋_GB2312" w:hAnsi="仿宋_GB2312" w:cs="仿宋_GB2312" w:eastAsia="仿宋_GB2312"/>
                    </w:rPr>
                    <w:t>12</w:t>
                  </w:r>
                </w:p>
              </w:tc>
              <w:tc>
                <w:tcPr>
                  <w:tcW w:type="dxa" w:w="310"/>
                  <w:vMerge/>
                </w:tcPr>
                <w:p/>
              </w:tc>
              <w:tc>
                <w:tcPr>
                  <w:tcW w:type="dxa" w:w="310"/>
                </w:tcPr>
                <w:p>
                  <w:pPr>
                    <w:pStyle w:val="null3"/>
                  </w:pPr>
                  <w:r>
                    <w:rPr>
                      <w:rFonts w:ascii="仿宋_GB2312" w:hAnsi="仿宋_GB2312" w:cs="仿宋_GB2312" w:eastAsia="仿宋_GB2312"/>
                    </w:rPr>
                    <w:t>防油性能</w:t>
                  </w:r>
                </w:p>
              </w:tc>
              <w:tc>
                <w:tcPr>
                  <w:tcW w:type="dxa" w:w="310"/>
                </w:tcPr>
                <w:p>
                  <w:pPr>
                    <w:pStyle w:val="null3"/>
                  </w:pPr>
                  <w:r>
                    <w:rPr>
                      <w:rFonts w:ascii="仿宋_GB2312" w:hAnsi="仿宋_GB2312" w:cs="仿宋_GB2312" w:eastAsia="仿宋_GB2312"/>
                    </w:rPr>
                    <w:t>图像保留率</w:t>
                  </w:r>
                </w:p>
              </w:tc>
              <w:tc>
                <w:tcPr>
                  <w:tcW w:type="dxa" w:w="310"/>
                </w:tcPr>
                <w:p>
                  <w:pPr>
                    <w:pStyle w:val="null3"/>
                  </w:pPr>
                  <w:r>
                    <w:rPr>
                      <w:rFonts w:ascii="仿宋_GB2312" w:hAnsi="仿宋_GB2312" w:cs="仿宋_GB2312" w:eastAsia="仿宋_GB2312"/>
                    </w:rPr>
                    <w:t>%</w:t>
                  </w:r>
                </w:p>
              </w:tc>
              <w:tc>
                <w:tcPr>
                  <w:tcW w:type="dxa" w:w="310"/>
                </w:tcPr>
                <w:p>
                  <w:pPr>
                    <w:pStyle w:val="null3"/>
                  </w:pPr>
                  <w:r>
                    <w:rPr>
                      <w:rFonts w:ascii="仿宋_GB2312" w:hAnsi="仿宋_GB2312" w:cs="仿宋_GB2312" w:eastAsia="仿宋_GB2312"/>
                    </w:rPr>
                    <w:t>≥85</w:t>
                  </w:r>
                </w:p>
              </w:tc>
            </w:tr>
            <w:tr>
              <w:tc>
                <w:tcPr>
                  <w:tcW w:type="dxa" w:w="310"/>
                </w:tcPr>
                <w:p>
                  <w:pPr>
                    <w:pStyle w:val="null3"/>
                  </w:pPr>
                  <w:r>
                    <w:rPr>
                      <w:rFonts w:ascii="仿宋_GB2312" w:hAnsi="仿宋_GB2312" w:cs="仿宋_GB2312" w:eastAsia="仿宋_GB2312"/>
                    </w:rPr>
                    <w:t>13</w:t>
                  </w:r>
                </w:p>
              </w:tc>
              <w:tc>
                <w:tcPr>
                  <w:tcW w:type="dxa" w:w="310"/>
                  <w:vMerge/>
                </w:tcPr>
                <w:p/>
              </w:tc>
              <w:tc>
                <w:tcPr>
                  <w:tcW w:type="dxa" w:w="310"/>
                </w:tcPr>
                <w:p>
                  <w:pPr>
                    <w:pStyle w:val="null3"/>
                  </w:pPr>
                  <w:r>
                    <w:rPr>
                      <w:rFonts w:ascii="仿宋_GB2312" w:hAnsi="仿宋_GB2312" w:cs="仿宋_GB2312" w:eastAsia="仿宋_GB2312"/>
                    </w:rPr>
                    <w:t>防乙醇性能</w:t>
                  </w:r>
                </w:p>
              </w:tc>
              <w:tc>
                <w:tcPr>
                  <w:tcW w:type="dxa" w:w="310"/>
                </w:tcPr>
                <w:p>
                  <w:pPr>
                    <w:pStyle w:val="null3"/>
                  </w:pPr>
                  <w:r>
                    <w:rPr>
                      <w:rFonts w:ascii="仿宋_GB2312" w:hAnsi="仿宋_GB2312" w:cs="仿宋_GB2312" w:eastAsia="仿宋_GB2312"/>
                    </w:rPr>
                    <w:t>图像保留率</w:t>
                  </w:r>
                </w:p>
              </w:tc>
              <w:tc>
                <w:tcPr>
                  <w:tcW w:type="dxa" w:w="310"/>
                </w:tcPr>
                <w:p>
                  <w:pPr>
                    <w:pStyle w:val="null3"/>
                  </w:pPr>
                  <w:r>
                    <w:rPr>
                      <w:rFonts w:ascii="仿宋_GB2312" w:hAnsi="仿宋_GB2312" w:cs="仿宋_GB2312" w:eastAsia="仿宋_GB2312"/>
                    </w:rPr>
                    <w:t>%</w:t>
                  </w:r>
                </w:p>
              </w:tc>
              <w:tc>
                <w:tcPr>
                  <w:tcW w:type="dxa" w:w="310"/>
                </w:tcPr>
                <w:p>
                  <w:pPr>
                    <w:pStyle w:val="null3"/>
                  </w:pPr>
                  <w:r>
                    <w:rPr>
                      <w:rFonts w:ascii="仿宋_GB2312" w:hAnsi="仿宋_GB2312" w:cs="仿宋_GB2312" w:eastAsia="仿宋_GB2312"/>
                    </w:rPr>
                    <w:t>≥60</w:t>
                  </w:r>
                </w:p>
              </w:tc>
            </w:tr>
          </w:tbl>
          <w:p>
            <w:pPr>
              <w:pStyle w:val="null3"/>
            </w:pPr>
            <w:r>
              <w:rPr>
                <w:rFonts w:ascii="仿宋_GB2312" w:hAnsi="仿宋_GB2312" w:cs="仿宋_GB2312" w:eastAsia="仿宋_GB2312"/>
              </w:rPr>
              <w:t>2.2 热敏涂层面印刷</w:t>
            </w:r>
          </w:p>
          <w:p>
            <w:pPr>
              <w:pStyle w:val="null3"/>
            </w:pPr>
            <w:r>
              <w:rPr>
                <w:rFonts w:ascii="仿宋_GB2312" w:hAnsi="仿宋_GB2312" w:cs="仿宋_GB2312" w:eastAsia="仿宋_GB2312"/>
              </w:rPr>
              <w:t>2.2.1 单张热敏票印刷图案分为两款.</w:t>
            </w:r>
          </w:p>
          <w:p>
            <w:pPr>
              <w:pStyle w:val="null3"/>
            </w:pPr>
            <w:r>
              <w:rPr>
                <w:rFonts w:ascii="仿宋_GB2312" w:hAnsi="仿宋_GB2312" w:cs="仿宋_GB2312" w:eastAsia="仿宋_GB2312"/>
              </w:rPr>
              <w:t>——版面图案 A：体育彩票标志规格为 40.0mm (宽) ×38.0 mm (高) ，规格偏差≤0.1 mm，裁切后单张票面有 2 个完整标志图形且居中排列，相邻标志间隔为 50.8 mm+0.1 mm,示例图详见图 A.1；</w:t>
            </w:r>
          </w:p>
          <w:p>
            <w:pPr>
              <w:pStyle w:val="null3"/>
            </w:pPr>
            <w:r>
              <w:rPr>
                <w:rFonts w:ascii="仿宋_GB2312" w:hAnsi="仿宋_GB2312" w:cs="仿宋_GB2312" w:eastAsia="仿宋_GB2312"/>
              </w:rPr>
              <w:t>——版面图案 B：体育彩票标志规格为 8.5 mm (宽) ×8.1 mm (高) ，规格偏差≤0.1 mm.，裁切后单张票面有反白处理的6行标志图形且等距排列，相邻2行标志横向间距为8.5mm+ 0.1mm, 均匀排列，示例图详见图 A.2</w:t>
            </w:r>
          </w:p>
          <w:p>
            <w:pPr>
              <w:pStyle w:val="null3"/>
            </w:pPr>
            <w:r>
              <w:drawing>
                <wp:inline distT="0" distR="0" distB="0" distL="0">
                  <wp:extent cx="1181100" cy="1167712"/>
                  <wp:docPr id="18" name="Drawing 18" descr="img"/>
                  <a:graphic xmlns:a="http://schemas.openxmlformats.org/drawingml/2006/main">
                    <a:graphicData uri="http://schemas.openxmlformats.org/drawingml/2006/picture">
                      <pic:pic xmlns:pic="http://schemas.openxmlformats.org/drawingml/2006/picture">
                        <pic:nvPicPr>
                          <pic:cNvPr id="0" name="Picture 18" descr="img"/>
                          <pic:cNvPicPr>
                            <a:picLocks noChangeAspect="true"/>
                          </pic:cNvPicPr>
                        </pic:nvPicPr>
                        <pic:blipFill>
                          <a:blip r:embed="rId6"/>
                          <a:stretch>
                            <a:fillRect/>
                          </a:stretch>
                        </pic:blipFill>
                        <pic:spPr>
                          <a:xfrm>
                            <a:off x="0" y="0"/>
                            <a:ext cx="1181100" cy="1167712"/>
                          </a:xfrm>
                          <a:prstGeom prst="rect">
                            <a:avLst/>
                          </a:prstGeom>
                        </pic:spPr>
                      </pic:pic>
                    </a:graphicData>
                  </a:graphic>
                </wp:inline>
              </w:drawing>
            </w:r>
          </w:p>
          <w:p>
            <w:pPr>
              <w:pStyle w:val="null3"/>
            </w:pPr>
            <w:r>
              <w:rPr>
                <w:rFonts w:ascii="仿宋_GB2312" w:hAnsi="仿宋_GB2312" w:cs="仿宋_GB2312" w:eastAsia="仿宋_GB2312"/>
              </w:rPr>
              <w:t>2.2.2 边条内印刷体育彩票标志和竖版“中国体育彩票”字样，边条宽度为4.0mm±0.1mmm。</w:t>
            </w:r>
          </w:p>
          <w:p>
            <w:pPr>
              <w:pStyle w:val="null3"/>
            </w:pPr>
            <w:r>
              <w:rPr>
                <w:rFonts w:ascii="仿宋_GB2312" w:hAnsi="仿宋_GB2312" w:cs="仿宋_GB2312" w:eastAsia="仿宋_GB2312"/>
              </w:rPr>
              <w:t>2.2.3 印刷底色及边条等图案信息应完整、连续、一致，且不影响后续投注信息的打印和正确识读；印刷油墨干燥充分，版面干净、无污渍、无划痕、不粘脏；热敏涂层面印刷 颜色控制范围应符合表2 要求。</w:t>
            </w:r>
          </w:p>
          <w:p>
            <w:pPr>
              <w:pStyle w:val="null3"/>
            </w:pPr>
            <w:r>
              <w:rPr>
                <w:rFonts w:ascii="仿宋_GB2312" w:hAnsi="仿宋_GB2312" w:cs="仿宋_GB2312" w:eastAsia="仿宋_GB2312"/>
              </w:rPr>
              <w:t>表 2 热敏涂层面印刷颜色控制范围</w:t>
            </w:r>
          </w:p>
          <w:tbl>
            <w:tblPr>
              <w:tblBorders>
                <w:top w:val="single"/>
                <w:left w:val="single"/>
                <w:bottom w:val="single"/>
                <w:right w:val="single"/>
                <w:insideH w:val="single"/>
                <w:insideV w:val="single"/>
              </w:tblBorders>
            </w:tblPr>
            <w:tblGrid>
              <w:gridCol w:w="372"/>
              <w:gridCol w:w="372"/>
              <w:gridCol w:w="372"/>
              <w:gridCol w:w="372"/>
              <w:gridCol w:w="372"/>
            </w:tblGrid>
            <w:tr>
              <w:tc>
                <w:tcPr>
                  <w:tcW w:type="dxa" w:w="372"/>
                  <w:vMerge w:val="restart"/>
                </w:tcPr>
                <w:p>
                  <w:pPr>
                    <w:pStyle w:val="null3"/>
                  </w:pPr>
                  <w:r>
                    <w:rPr>
                      <w:rFonts w:ascii="仿宋_GB2312" w:hAnsi="仿宋_GB2312" w:cs="仿宋_GB2312" w:eastAsia="仿宋_GB2312"/>
                    </w:rPr>
                    <w:t xml:space="preserve"> </w:t>
                  </w:r>
                </w:p>
              </w:tc>
              <w:tc>
                <w:tcPr>
                  <w:tcW w:type="dxa" w:w="1116"/>
                  <w:gridSpan w:val="3"/>
                </w:tcPr>
                <w:p>
                  <w:pPr>
                    <w:pStyle w:val="null3"/>
                  </w:pPr>
                  <w:r>
                    <w:rPr>
                      <w:rFonts w:ascii="仿宋_GB2312" w:hAnsi="仿宋_GB2312" w:cs="仿宋_GB2312" w:eastAsia="仿宋_GB2312"/>
                    </w:rPr>
                    <w:t>版面颜色标准要求</w:t>
                  </w:r>
                </w:p>
              </w:tc>
              <w:tc>
                <w:tcPr>
                  <w:tcW w:type="dxa" w:w="372"/>
                </w:tcPr>
                <w:p>
                  <w:pPr>
                    <w:pStyle w:val="null3"/>
                  </w:pPr>
                  <w:r>
                    <w:rPr>
                      <w:rFonts w:ascii="仿宋_GB2312" w:hAnsi="仿宋_GB2312" w:cs="仿宋_GB2312" w:eastAsia="仿宋_GB2312"/>
                    </w:rPr>
                    <w:t>版面色差控制范围</w:t>
                  </w:r>
                </w:p>
              </w:tc>
            </w:tr>
            <w:tr>
              <w:tc>
                <w:tcPr>
                  <w:tcW w:type="dxa" w:w="372"/>
                  <w:vMerge/>
                </w:tcPr>
                <w:p/>
              </w:tc>
              <w:tc>
                <w:tcPr>
                  <w:tcW w:type="dxa" w:w="372"/>
                </w:tcPr>
                <w:p>
                  <w:pPr>
                    <w:pStyle w:val="null3"/>
                  </w:pPr>
                  <w:r>
                    <w:rPr>
                      <w:rFonts w:ascii="仿宋_GB2312" w:hAnsi="仿宋_GB2312" w:cs="仿宋_GB2312" w:eastAsia="仿宋_GB2312"/>
                    </w:rPr>
                    <w:t>L</w:t>
                  </w:r>
                </w:p>
              </w:tc>
              <w:tc>
                <w:tcPr>
                  <w:tcW w:type="dxa" w:w="372"/>
                </w:tcPr>
                <w:p>
                  <w:pPr>
                    <w:pStyle w:val="null3"/>
                  </w:pPr>
                  <w:r>
                    <w:rPr>
                      <w:rFonts w:ascii="仿宋_GB2312" w:hAnsi="仿宋_GB2312" w:cs="仿宋_GB2312" w:eastAsia="仿宋_GB2312"/>
                    </w:rPr>
                    <w:t>a</w:t>
                  </w:r>
                </w:p>
              </w:tc>
              <w:tc>
                <w:tcPr>
                  <w:tcW w:type="dxa" w:w="372"/>
                </w:tcPr>
                <w:p>
                  <w:pPr>
                    <w:pStyle w:val="null3"/>
                  </w:pPr>
                  <w:r>
                    <w:rPr>
                      <w:rFonts w:ascii="仿宋_GB2312" w:hAnsi="仿宋_GB2312" w:cs="仿宋_GB2312" w:eastAsia="仿宋_GB2312"/>
                    </w:rPr>
                    <w:t>b</w:t>
                  </w:r>
                </w:p>
              </w:tc>
              <w:tc>
                <w:tcPr>
                  <w:tcW w:type="dxa" w:w="372"/>
                </w:tcPr>
                <w:p>
                  <w:pPr>
                    <w:pStyle w:val="null3"/>
                  </w:pPr>
                  <w:r>
                    <w:rPr>
                      <w:rFonts w:ascii="仿宋_GB2312" w:hAnsi="仿宋_GB2312" w:cs="仿宋_GB2312" w:eastAsia="仿宋_GB2312"/>
                    </w:rPr>
                    <w:t>ΔE</w:t>
                  </w:r>
                </w:p>
              </w:tc>
            </w:tr>
            <w:tr>
              <w:tc>
                <w:tcPr>
                  <w:tcW w:type="dxa" w:w="372"/>
                </w:tcPr>
                <w:p>
                  <w:pPr>
                    <w:pStyle w:val="null3"/>
                  </w:pPr>
                  <w:r>
                    <w:rPr>
                      <w:rFonts w:ascii="仿宋_GB2312" w:hAnsi="仿宋_GB2312" w:cs="仿宋_GB2312" w:eastAsia="仿宋_GB2312"/>
                    </w:rPr>
                    <w:t>底色</w:t>
                  </w:r>
                </w:p>
              </w:tc>
              <w:tc>
                <w:tcPr>
                  <w:tcW w:type="dxa" w:w="372"/>
                </w:tcPr>
                <w:p>
                  <w:pPr>
                    <w:pStyle w:val="null3"/>
                  </w:pPr>
                  <w:r>
                    <w:rPr>
                      <w:rFonts w:ascii="仿宋_GB2312" w:hAnsi="仿宋_GB2312" w:cs="仿宋_GB2312" w:eastAsia="仿宋_GB2312"/>
                    </w:rPr>
                    <w:t>88.0</w:t>
                  </w:r>
                </w:p>
              </w:tc>
              <w:tc>
                <w:tcPr>
                  <w:tcW w:type="dxa" w:w="372"/>
                </w:tcPr>
                <w:p>
                  <w:pPr>
                    <w:pStyle w:val="null3"/>
                  </w:pPr>
                  <w:r>
                    <w:rPr>
                      <w:rFonts w:ascii="仿宋_GB2312" w:hAnsi="仿宋_GB2312" w:cs="仿宋_GB2312" w:eastAsia="仿宋_GB2312"/>
                    </w:rPr>
                    <w:t>5.0</w:t>
                  </w:r>
                </w:p>
              </w:tc>
              <w:tc>
                <w:tcPr>
                  <w:tcW w:type="dxa" w:w="372"/>
                </w:tcPr>
                <w:p>
                  <w:pPr>
                    <w:pStyle w:val="null3"/>
                  </w:pPr>
                  <w:r>
                    <w:rPr>
                      <w:rFonts w:ascii="仿宋_GB2312" w:hAnsi="仿宋_GB2312" w:cs="仿宋_GB2312" w:eastAsia="仿宋_GB2312"/>
                    </w:rPr>
                    <w:t>2.5</w:t>
                  </w:r>
                </w:p>
              </w:tc>
              <w:tc>
                <w:tcPr>
                  <w:tcW w:type="dxa" w:w="372"/>
                </w:tcPr>
                <w:p>
                  <w:pPr>
                    <w:pStyle w:val="null3"/>
                  </w:pPr>
                  <w:r>
                    <w:rPr>
                      <w:rFonts w:ascii="仿宋_GB2312" w:hAnsi="仿宋_GB2312" w:cs="仿宋_GB2312" w:eastAsia="仿宋_GB2312"/>
                    </w:rPr>
                    <w:t>ΔE≦4.0</w:t>
                  </w:r>
                </w:p>
              </w:tc>
            </w:tr>
            <w:tr>
              <w:tc>
                <w:tcPr>
                  <w:tcW w:type="dxa" w:w="372"/>
                </w:tcPr>
                <w:p>
                  <w:pPr>
                    <w:pStyle w:val="null3"/>
                  </w:pPr>
                  <w:r>
                    <w:rPr>
                      <w:rFonts w:ascii="仿宋_GB2312" w:hAnsi="仿宋_GB2312" w:cs="仿宋_GB2312" w:eastAsia="仿宋_GB2312"/>
                    </w:rPr>
                    <w:t>边条</w:t>
                  </w:r>
                </w:p>
              </w:tc>
              <w:tc>
                <w:tcPr>
                  <w:tcW w:type="dxa" w:w="372"/>
                </w:tcPr>
                <w:p>
                  <w:pPr>
                    <w:pStyle w:val="null3"/>
                  </w:pPr>
                  <w:r>
                    <w:rPr>
                      <w:rFonts w:ascii="仿宋_GB2312" w:hAnsi="仿宋_GB2312" w:cs="仿宋_GB2312" w:eastAsia="仿宋_GB2312"/>
                    </w:rPr>
                    <w:t>60.0</w:t>
                  </w:r>
                </w:p>
              </w:tc>
              <w:tc>
                <w:tcPr>
                  <w:tcW w:type="dxa" w:w="372"/>
                </w:tcPr>
                <w:p>
                  <w:pPr>
                    <w:pStyle w:val="null3"/>
                  </w:pPr>
                  <w:r>
                    <w:rPr>
                      <w:rFonts w:ascii="仿宋_GB2312" w:hAnsi="仿宋_GB2312" w:cs="仿宋_GB2312" w:eastAsia="仿宋_GB2312"/>
                    </w:rPr>
                    <w:t>40.0</w:t>
                  </w:r>
                </w:p>
              </w:tc>
              <w:tc>
                <w:tcPr>
                  <w:tcW w:type="dxa" w:w="372"/>
                </w:tcPr>
                <w:p>
                  <w:pPr>
                    <w:pStyle w:val="null3"/>
                  </w:pPr>
                  <w:r>
                    <w:rPr>
                      <w:rFonts w:ascii="仿宋_GB2312" w:hAnsi="仿宋_GB2312" w:cs="仿宋_GB2312" w:eastAsia="仿宋_GB2312"/>
                    </w:rPr>
                    <w:t>20.0</w:t>
                  </w:r>
                </w:p>
              </w:tc>
              <w:tc>
                <w:tcPr>
                  <w:tcW w:type="dxa" w:w="372"/>
                </w:tcPr>
                <w:p>
                  <w:pPr>
                    <w:pStyle w:val="null3"/>
                  </w:pPr>
                  <w:r>
                    <w:rPr>
                      <w:rFonts w:ascii="仿宋_GB2312" w:hAnsi="仿宋_GB2312" w:cs="仿宋_GB2312" w:eastAsia="仿宋_GB2312"/>
                    </w:rPr>
                    <w:t>ΔE≦6.0</w:t>
                  </w:r>
                </w:p>
              </w:tc>
            </w:tr>
          </w:tbl>
          <w:p>
            <w:pPr>
              <w:pStyle w:val="null3"/>
            </w:pPr>
            <w:r>
              <w:rPr>
                <w:rFonts w:ascii="仿宋_GB2312" w:hAnsi="仿宋_GB2312" w:cs="仿宋_GB2312" w:eastAsia="仿宋_GB2312"/>
              </w:rPr>
              <w:t>2.2.4 印刷版缝最多允许连续 3 张热敏票出现1条，须处于单张热敏票的上端或下端位置；版缝衔接处无脏迹；整个版面版缝处允许留白或搭边，版缝宽度≤0.3mm。</w:t>
            </w:r>
          </w:p>
          <w:p>
            <w:pPr>
              <w:pStyle w:val="null3"/>
            </w:pPr>
            <w:r>
              <w:rPr>
                <w:rFonts w:ascii="仿宋_GB2312" w:hAnsi="仿宋_GB2312" w:cs="仿宋_GB2312" w:eastAsia="仿宋_GB2312"/>
              </w:rPr>
              <w:t>2.2.5 热敏涂层面与装饰图案面正背印刷套印偏差≤1.0mm。</w:t>
            </w:r>
          </w:p>
          <w:p>
            <w:pPr>
              <w:pStyle w:val="null3"/>
            </w:pPr>
            <w:r>
              <w:rPr>
                <w:rFonts w:ascii="仿宋_GB2312" w:hAnsi="仿宋_GB2312" w:cs="仿宋_GB2312" w:eastAsia="仿宋_GB2312"/>
              </w:rPr>
              <w:t>2.3 装饰图案面</w:t>
            </w:r>
          </w:p>
          <w:p>
            <w:pPr>
              <w:pStyle w:val="null3"/>
            </w:pPr>
            <w:r>
              <w:rPr>
                <w:rFonts w:ascii="仿宋_GB2312" w:hAnsi="仿宋_GB2312" w:cs="仿宋_GB2312" w:eastAsia="仿宋_GB2312"/>
              </w:rPr>
              <w:t>2.3.1 图案挂网线数不低于 150 L/inch,网线角度准确,不出现干涉条纹。</w:t>
            </w:r>
          </w:p>
          <w:p>
            <w:pPr>
              <w:pStyle w:val="null3"/>
            </w:pPr>
            <w:r>
              <w:rPr>
                <w:rFonts w:ascii="仿宋_GB2312" w:hAnsi="仿宋_GB2312" w:cs="仿宋_GB2312" w:eastAsia="仿宋_GB2312"/>
              </w:rPr>
              <w:t>注：lpi——line per inch,即印刷网线，指印刷品在水平或垂直方向上每英寸的网线 数。</w:t>
            </w:r>
          </w:p>
          <w:p>
            <w:pPr>
              <w:pStyle w:val="null3"/>
            </w:pPr>
            <w:r>
              <w:rPr>
                <w:rFonts w:ascii="仿宋_GB2312" w:hAnsi="仿宋_GB2312" w:cs="仿宋_GB2312" w:eastAsia="仿宋_GB2312"/>
              </w:rPr>
              <w:t>2.3.2 图案印刷清晰、完整，多色套印误差≤0.2mm。</w:t>
            </w:r>
          </w:p>
          <w:p>
            <w:pPr>
              <w:pStyle w:val="null3"/>
            </w:pPr>
            <w:r>
              <w:rPr>
                <w:rFonts w:ascii="仿宋_GB2312" w:hAnsi="仿宋_GB2312" w:cs="仿宋_GB2312" w:eastAsia="仿宋_GB2312"/>
              </w:rPr>
              <w:t>2.3.3 图案印刷色彩均匀、自然、协调,符合设计原稿或签样要求； 同批次同部位颜 色无明显差异，色差ΔE≤4.0。</w:t>
            </w:r>
          </w:p>
          <w:p>
            <w:pPr>
              <w:pStyle w:val="null3"/>
            </w:pPr>
            <w:r>
              <w:rPr>
                <w:rFonts w:ascii="仿宋_GB2312" w:hAnsi="仿宋_GB2312" w:cs="仿宋_GB2312" w:eastAsia="仿宋_GB2312"/>
              </w:rPr>
              <w:t>2.3.4 印刷油墨干燥充分，版面干净、无污渍、无划痕、不粘脏，空白处无明显版缝 脏迹。</w:t>
            </w:r>
          </w:p>
          <w:p>
            <w:pPr>
              <w:pStyle w:val="null3"/>
            </w:pPr>
            <w:r>
              <w:rPr>
                <w:rFonts w:ascii="仿宋_GB2312" w:hAnsi="仿宋_GB2312" w:cs="仿宋_GB2312" w:eastAsia="仿宋_GB2312"/>
              </w:rPr>
              <w:t>2.3.5 购票须知等说明文字内容由体育彩票发行机构指定，文字印刷清晰、完整、无缺笔断划、不糊版。</w:t>
            </w:r>
          </w:p>
          <w:p>
            <w:pPr>
              <w:pStyle w:val="null3"/>
            </w:pPr>
            <w:r>
              <w:rPr>
                <w:rFonts w:ascii="仿宋_GB2312" w:hAnsi="仿宋_GB2312" w:cs="仿宋_GB2312" w:eastAsia="仿宋_GB2312"/>
              </w:rPr>
              <w:t>2.3.6 识读标规格、位置符合设计要求。规格为10.0 mm (宽) ×5.0mm (高)，规格偏差≤0.1mm；裁切后位置纵向距底边48.7mm±1.0mm，横向距右侧纸边1.0±0.5mm； 黑密度值D≥1.0。示例图详见图B.1。</w:t>
            </w:r>
          </w:p>
          <w:p>
            <w:pPr>
              <w:pStyle w:val="null3"/>
            </w:pPr>
            <w:r>
              <w:drawing>
                <wp:inline distT="0" distR="0" distB="0" distL="0">
                  <wp:extent cx="1181100" cy="685651"/>
                  <wp:docPr id="19" name="Drawing 19" descr="img"/>
                  <a:graphic xmlns:a="http://schemas.openxmlformats.org/drawingml/2006/main">
                    <a:graphicData uri="http://schemas.openxmlformats.org/drawingml/2006/picture">
                      <pic:pic xmlns:pic="http://schemas.openxmlformats.org/drawingml/2006/picture">
                        <pic:nvPicPr>
                          <pic:cNvPr id="0" name="Picture 19" descr="img"/>
                          <pic:cNvPicPr>
                            <a:picLocks noChangeAspect="true"/>
                          </pic:cNvPicPr>
                        </pic:nvPicPr>
                        <pic:blipFill>
                          <a:blip r:embed="rId7"/>
                          <a:stretch>
                            <a:fillRect/>
                          </a:stretch>
                        </pic:blipFill>
                        <pic:spPr>
                          <a:xfrm>
                            <a:off x="0" y="0"/>
                            <a:ext cx="1181100" cy="685651"/>
                          </a:xfrm>
                          <a:prstGeom prst="rect">
                            <a:avLst/>
                          </a:prstGeom>
                        </pic:spPr>
                      </pic:pic>
                    </a:graphicData>
                  </a:graphic>
                </wp:inline>
              </w:drawing>
            </w:r>
          </w:p>
          <w:p>
            <w:pPr>
              <w:pStyle w:val="null3"/>
            </w:pPr>
            <w:r>
              <w:rPr>
                <w:rFonts w:ascii="仿宋_GB2312" w:hAnsi="仿宋_GB2312" w:cs="仿宋_GB2312" w:eastAsia="仿宋_GB2312"/>
              </w:rPr>
              <w:t>2.4 序列号</w:t>
            </w:r>
          </w:p>
          <w:p>
            <w:pPr>
              <w:pStyle w:val="null3"/>
            </w:pPr>
            <w:r>
              <w:rPr>
                <w:rFonts w:ascii="仿宋_GB2312" w:hAnsi="仿宋_GB2312" w:cs="仿宋_GB2312" w:eastAsia="仿宋_GB2312"/>
              </w:rPr>
              <w:t>2.4.1 序列号位于热敏纸装饰图案面左侧从上至下纵向排列。首字符上端距识读标上端垂直距离为30.0mm±2.0mm；首字符左端距识读标左端垂直距离为64.0mm±1.0mm。</w:t>
            </w:r>
          </w:p>
          <w:p>
            <w:pPr>
              <w:pStyle w:val="null3"/>
            </w:pPr>
            <w:r>
              <w:rPr>
                <w:rFonts w:ascii="仿宋_GB2312" w:hAnsi="仿宋_GB2312" w:cs="仿宋_GB2312" w:eastAsia="仿宋_GB2312"/>
              </w:rPr>
              <w:t>2.4.2 每张热敏纸应有唯一序列号，由13位或14位字母和数字组成。具体为：箱号 (4—5位字母和5位数字)+张序列号(4位数字)；采用宋体，分辨率≥150dpi×150dpi分辨率、字高为3.0mm±0.5mm；颜色为黑色。如图1所示：</w:t>
            </w:r>
          </w:p>
          <w:p>
            <w:pPr>
              <w:pStyle w:val="null3"/>
            </w:pPr>
            <w:r>
              <w:drawing>
                <wp:inline distT="0" distR="0" distB="0" distL="0">
                  <wp:extent cx="1181100" cy="348395"/>
                  <wp:docPr id="20" name="Drawing 20" descr="img"/>
                  <a:graphic xmlns:a="http://schemas.openxmlformats.org/drawingml/2006/main">
                    <a:graphicData uri="http://schemas.openxmlformats.org/drawingml/2006/picture">
                      <pic:pic xmlns:pic="http://schemas.openxmlformats.org/drawingml/2006/picture">
                        <pic:nvPicPr>
                          <pic:cNvPr id="0" name="Picture 20" descr="img"/>
                          <pic:cNvPicPr>
                            <a:picLocks noChangeAspect="true"/>
                          </pic:cNvPicPr>
                        </pic:nvPicPr>
                        <pic:blipFill>
                          <a:blip r:embed="rId8"/>
                          <a:stretch>
                            <a:fillRect/>
                          </a:stretch>
                        </pic:blipFill>
                        <pic:spPr>
                          <a:xfrm>
                            <a:off x="0" y="0"/>
                            <a:ext cx="1181100" cy="348395"/>
                          </a:xfrm>
                          <a:prstGeom prst="rect">
                            <a:avLst/>
                          </a:prstGeom>
                        </pic:spPr>
                      </pic:pic>
                    </a:graphicData>
                  </a:graphic>
                </wp:inline>
              </w:drawing>
            </w:r>
          </w:p>
          <w:p>
            <w:pPr>
              <w:pStyle w:val="null3"/>
            </w:pPr>
            <w:r>
              <w:rPr>
                <w:rFonts w:ascii="仿宋_GB2312" w:hAnsi="仿宋_GB2312" w:cs="仿宋_GB2312" w:eastAsia="仿宋_GB2312"/>
              </w:rPr>
              <w:t>图1  单张热敏纸序列号示意</w:t>
            </w:r>
          </w:p>
          <w:p>
            <w:pPr>
              <w:pStyle w:val="null3"/>
            </w:pPr>
            <w:r>
              <w:rPr>
                <w:rFonts w:ascii="仿宋_GB2312" w:hAnsi="仿宋_GB2312" w:cs="仿宋_GB2312" w:eastAsia="仿宋_GB2312"/>
              </w:rPr>
              <w:t>2.4.3 每个卷票由4张测试用纸和500张有效用纸组成。测试用纸为卷首第1张和卷尾最后3张，测试用纸专用序列号统一为 AAA1、BBB1、BBB2、BBB3；测试用纸和有效用纸在实际使用中不做区分，有效用纸专用序列号应符合表3要求：</w:t>
            </w:r>
          </w:p>
          <w:p>
            <w:pPr>
              <w:pStyle w:val="null3"/>
            </w:pPr>
            <w:r>
              <w:rPr>
                <w:rFonts w:ascii="仿宋_GB2312" w:hAnsi="仿宋_GB2312" w:cs="仿宋_GB2312" w:eastAsia="仿宋_GB2312"/>
              </w:rPr>
              <w:t>表3有效用纸专用序列号范围</w:t>
            </w:r>
          </w:p>
          <w:tbl>
            <w:tblPr>
              <w:tblBorders>
                <w:top w:val="single"/>
                <w:left w:val="single"/>
                <w:bottom w:val="single"/>
                <w:right w:val="single"/>
                <w:insideH w:val="single"/>
                <w:insideV w:val="single"/>
              </w:tblBorders>
            </w:tblPr>
            <w:tblGrid>
              <w:gridCol w:w="232"/>
              <w:gridCol w:w="232"/>
              <w:gridCol w:w="232"/>
              <w:gridCol w:w="232"/>
              <w:gridCol w:w="232"/>
              <w:gridCol w:w="232"/>
              <w:gridCol w:w="232"/>
              <w:gridCol w:w="232"/>
            </w:tblGrid>
            <w:tr>
              <w:tc>
                <w:tcPr>
                  <w:tcW w:type="dxa" w:w="232"/>
                </w:tcPr>
                <w:p>
                  <w:pPr>
                    <w:pStyle w:val="null3"/>
                  </w:pPr>
                  <w:r>
                    <w:rPr>
                      <w:rFonts w:ascii="仿宋_GB2312" w:hAnsi="仿宋_GB2312" w:cs="仿宋_GB2312" w:eastAsia="仿宋_GB2312"/>
                    </w:rPr>
                    <w:t>卷号</w:t>
                  </w:r>
                </w:p>
              </w:tc>
              <w:tc>
                <w:tcPr>
                  <w:tcW w:type="dxa" w:w="232"/>
                </w:tcPr>
                <w:p>
                  <w:pPr>
                    <w:pStyle w:val="null3"/>
                  </w:pPr>
                  <w:r>
                    <w:rPr>
                      <w:rFonts w:ascii="仿宋_GB2312" w:hAnsi="仿宋_GB2312" w:cs="仿宋_GB2312" w:eastAsia="仿宋_GB2312"/>
                    </w:rPr>
                    <w:t>序列号范围</w:t>
                  </w:r>
                </w:p>
              </w:tc>
              <w:tc>
                <w:tcPr>
                  <w:tcW w:type="dxa" w:w="232"/>
                </w:tcPr>
                <w:p>
                  <w:pPr>
                    <w:pStyle w:val="null3"/>
                  </w:pPr>
                  <w:r>
                    <w:rPr>
                      <w:rFonts w:ascii="仿宋_GB2312" w:hAnsi="仿宋_GB2312" w:cs="仿宋_GB2312" w:eastAsia="仿宋_GB2312"/>
                    </w:rPr>
                    <w:t>卷号</w:t>
                  </w:r>
                </w:p>
              </w:tc>
              <w:tc>
                <w:tcPr>
                  <w:tcW w:type="dxa" w:w="232"/>
                </w:tcPr>
                <w:p>
                  <w:pPr>
                    <w:pStyle w:val="null3"/>
                  </w:pPr>
                  <w:r>
                    <w:rPr>
                      <w:rFonts w:ascii="仿宋_GB2312" w:hAnsi="仿宋_GB2312" w:cs="仿宋_GB2312" w:eastAsia="仿宋_GB2312"/>
                    </w:rPr>
                    <w:t>序列号</w:t>
                  </w:r>
                </w:p>
                <w:p>
                  <w:pPr>
                    <w:pStyle w:val="null3"/>
                  </w:pPr>
                  <w:r>
                    <w:rPr>
                      <w:rFonts w:ascii="仿宋_GB2312" w:hAnsi="仿宋_GB2312" w:cs="仿宋_GB2312" w:eastAsia="仿宋_GB2312"/>
                    </w:rPr>
                    <w:t>范围</w:t>
                  </w:r>
                </w:p>
              </w:tc>
              <w:tc>
                <w:tcPr>
                  <w:tcW w:type="dxa" w:w="232"/>
                </w:tcPr>
                <w:p>
                  <w:pPr>
                    <w:pStyle w:val="null3"/>
                  </w:pPr>
                  <w:r>
                    <w:rPr>
                      <w:rFonts w:ascii="仿宋_GB2312" w:hAnsi="仿宋_GB2312" w:cs="仿宋_GB2312" w:eastAsia="仿宋_GB2312"/>
                    </w:rPr>
                    <w:t>卷号</w:t>
                  </w:r>
                </w:p>
              </w:tc>
              <w:tc>
                <w:tcPr>
                  <w:tcW w:type="dxa" w:w="232"/>
                </w:tcPr>
                <w:p>
                  <w:pPr>
                    <w:pStyle w:val="null3"/>
                  </w:pPr>
                  <w:r>
                    <w:rPr>
                      <w:rFonts w:ascii="仿宋_GB2312" w:hAnsi="仿宋_GB2312" w:cs="仿宋_GB2312" w:eastAsia="仿宋_GB2312"/>
                    </w:rPr>
                    <w:t>序列号</w:t>
                  </w:r>
                </w:p>
                <w:p>
                  <w:pPr>
                    <w:pStyle w:val="null3"/>
                  </w:pPr>
                  <w:r>
                    <w:rPr>
                      <w:rFonts w:ascii="仿宋_GB2312" w:hAnsi="仿宋_GB2312" w:cs="仿宋_GB2312" w:eastAsia="仿宋_GB2312"/>
                    </w:rPr>
                    <w:t>范围</w:t>
                  </w:r>
                </w:p>
              </w:tc>
              <w:tc>
                <w:tcPr>
                  <w:tcW w:type="dxa" w:w="232"/>
                </w:tcPr>
                <w:p>
                  <w:pPr>
                    <w:pStyle w:val="null3"/>
                  </w:pPr>
                  <w:r>
                    <w:rPr>
                      <w:rFonts w:ascii="仿宋_GB2312" w:hAnsi="仿宋_GB2312" w:cs="仿宋_GB2312" w:eastAsia="仿宋_GB2312"/>
                    </w:rPr>
                    <w:t>卷号</w:t>
                  </w:r>
                </w:p>
              </w:tc>
              <w:tc>
                <w:tcPr>
                  <w:tcW w:type="dxa" w:w="232"/>
                </w:tcPr>
                <w:p>
                  <w:pPr>
                    <w:pStyle w:val="null3"/>
                  </w:pPr>
                  <w:r>
                    <w:rPr>
                      <w:rFonts w:ascii="仿宋_GB2312" w:hAnsi="仿宋_GB2312" w:cs="仿宋_GB2312" w:eastAsia="仿宋_GB2312"/>
                    </w:rPr>
                    <w:t>序列号</w:t>
                  </w:r>
                </w:p>
                <w:p>
                  <w:pPr>
                    <w:pStyle w:val="null3"/>
                  </w:pPr>
                  <w:r>
                    <w:rPr>
                      <w:rFonts w:ascii="仿宋_GB2312" w:hAnsi="仿宋_GB2312" w:cs="仿宋_GB2312" w:eastAsia="仿宋_GB2312"/>
                    </w:rPr>
                    <w:t>范围</w:t>
                  </w:r>
                </w:p>
              </w:tc>
            </w:tr>
            <w:tr>
              <w:tc>
                <w:tcPr>
                  <w:tcW w:type="dxa" w:w="232"/>
                </w:tcPr>
                <w:p>
                  <w:pPr>
                    <w:pStyle w:val="null3"/>
                  </w:pPr>
                  <w:r>
                    <w:rPr>
                      <w:rFonts w:ascii="仿宋_GB2312" w:hAnsi="仿宋_GB2312" w:cs="仿宋_GB2312" w:eastAsia="仿宋_GB2312"/>
                    </w:rPr>
                    <w:t>1</w:t>
                  </w:r>
                </w:p>
              </w:tc>
              <w:tc>
                <w:tcPr>
                  <w:tcW w:type="dxa" w:w="232"/>
                </w:tcPr>
                <w:p>
                  <w:pPr>
                    <w:pStyle w:val="null3"/>
                  </w:pPr>
                  <w:r>
                    <w:rPr>
                      <w:rFonts w:ascii="仿宋_GB2312" w:hAnsi="仿宋_GB2312" w:cs="仿宋_GB2312" w:eastAsia="仿宋_GB2312"/>
                    </w:rPr>
                    <w:t>0000-0499</w:t>
                  </w:r>
                </w:p>
              </w:tc>
              <w:tc>
                <w:tcPr>
                  <w:tcW w:type="dxa" w:w="232"/>
                </w:tcPr>
                <w:p>
                  <w:pPr>
                    <w:pStyle w:val="null3"/>
                  </w:pPr>
                  <w:r>
                    <w:rPr>
                      <w:rFonts w:ascii="仿宋_GB2312" w:hAnsi="仿宋_GB2312" w:cs="仿宋_GB2312" w:eastAsia="仿宋_GB2312"/>
                    </w:rPr>
                    <w:t>2</w:t>
                  </w:r>
                </w:p>
              </w:tc>
              <w:tc>
                <w:tcPr>
                  <w:tcW w:type="dxa" w:w="232"/>
                </w:tcPr>
                <w:p>
                  <w:pPr>
                    <w:pStyle w:val="null3"/>
                  </w:pPr>
                  <w:r>
                    <w:rPr>
                      <w:rFonts w:ascii="仿宋_GB2312" w:hAnsi="仿宋_GB2312" w:cs="仿宋_GB2312" w:eastAsia="仿宋_GB2312"/>
                    </w:rPr>
                    <w:t>0500-0999</w:t>
                  </w:r>
                </w:p>
              </w:tc>
              <w:tc>
                <w:tcPr>
                  <w:tcW w:type="dxa" w:w="232"/>
                </w:tcPr>
                <w:p>
                  <w:pPr>
                    <w:pStyle w:val="null3"/>
                  </w:pPr>
                  <w:r>
                    <w:rPr>
                      <w:rFonts w:ascii="仿宋_GB2312" w:hAnsi="仿宋_GB2312" w:cs="仿宋_GB2312" w:eastAsia="仿宋_GB2312"/>
                    </w:rPr>
                    <w:t>3</w:t>
                  </w:r>
                </w:p>
              </w:tc>
              <w:tc>
                <w:tcPr>
                  <w:tcW w:type="dxa" w:w="232"/>
                </w:tcPr>
                <w:p>
                  <w:pPr>
                    <w:pStyle w:val="null3"/>
                  </w:pPr>
                  <w:r>
                    <w:rPr>
                      <w:rFonts w:ascii="仿宋_GB2312" w:hAnsi="仿宋_GB2312" w:cs="仿宋_GB2312" w:eastAsia="仿宋_GB2312"/>
                    </w:rPr>
                    <w:t>1000-1499</w:t>
                  </w:r>
                </w:p>
              </w:tc>
              <w:tc>
                <w:tcPr>
                  <w:tcW w:type="dxa" w:w="232"/>
                </w:tcPr>
                <w:p>
                  <w:pPr>
                    <w:pStyle w:val="null3"/>
                  </w:pPr>
                  <w:r>
                    <w:rPr>
                      <w:rFonts w:ascii="仿宋_GB2312" w:hAnsi="仿宋_GB2312" w:cs="仿宋_GB2312" w:eastAsia="仿宋_GB2312"/>
                    </w:rPr>
                    <w:t>4</w:t>
                  </w:r>
                </w:p>
              </w:tc>
              <w:tc>
                <w:tcPr>
                  <w:tcW w:type="dxa" w:w="232"/>
                </w:tcPr>
                <w:p>
                  <w:pPr>
                    <w:pStyle w:val="null3"/>
                  </w:pPr>
                  <w:r>
                    <w:rPr>
                      <w:rFonts w:ascii="仿宋_GB2312" w:hAnsi="仿宋_GB2312" w:cs="仿宋_GB2312" w:eastAsia="仿宋_GB2312"/>
                    </w:rPr>
                    <w:t>1500-1999</w:t>
                  </w:r>
                </w:p>
              </w:tc>
            </w:tr>
            <w:tr>
              <w:tc>
                <w:tcPr>
                  <w:tcW w:type="dxa" w:w="232"/>
                </w:tcPr>
                <w:p>
                  <w:pPr>
                    <w:pStyle w:val="null3"/>
                  </w:pPr>
                  <w:r>
                    <w:rPr>
                      <w:rFonts w:ascii="仿宋_GB2312" w:hAnsi="仿宋_GB2312" w:cs="仿宋_GB2312" w:eastAsia="仿宋_GB2312"/>
                    </w:rPr>
                    <w:t>5</w:t>
                  </w:r>
                </w:p>
              </w:tc>
              <w:tc>
                <w:tcPr>
                  <w:tcW w:type="dxa" w:w="232"/>
                </w:tcPr>
                <w:p>
                  <w:pPr>
                    <w:pStyle w:val="null3"/>
                  </w:pPr>
                  <w:r>
                    <w:rPr>
                      <w:rFonts w:ascii="仿宋_GB2312" w:hAnsi="仿宋_GB2312" w:cs="仿宋_GB2312" w:eastAsia="仿宋_GB2312"/>
                    </w:rPr>
                    <w:t>2000-2499</w:t>
                  </w:r>
                </w:p>
              </w:tc>
              <w:tc>
                <w:tcPr>
                  <w:tcW w:type="dxa" w:w="232"/>
                </w:tcPr>
                <w:p>
                  <w:pPr>
                    <w:pStyle w:val="null3"/>
                  </w:pPr>
                  <w:r>
                    <w:rPr>
                      <w:rFonts w:ascii="仿宋_GB2312" w:hAnsi="仿宋_GB2312" w:cs="仿宋_GB2312" w:eastAsia="仿宋_GB2312"/>
                    </w:rPr>
                    <w:t>6</w:t>
                  </w:r>
                </w:p>
              </w:tc>
              <w:tc>
                <w:tcPr>
                  <w:tcW w:type="dxa" w:w="232"/>
                </w:tcPr>
                <w:p>
                  <w:pPr>
                    <w:pStyle w:val="null3"/>
                  </w:pPr>
                  <w:r>
                    <w:rPr>
                      <w:rFonts w:ascii="仿宋_GB2312" w:hAnsi="仿宋_GB2312" w:cs="仿宋_GB2312" w:eastAsia="仿宋_GB2312"/>
                    </w:rPr>
                    <w:t>2500-2999</w:t>
                  </w:r>
                </w:p>
              </w:tc>
              <w:tc>
                <w:tcPr>
                  <w:tcW w:type="dxa" w:w="232"/>
                </w:tcPr>
                <w:p>
                  <w:pPr>
                    <w:pStyle w:val="null3"/>
                  </w:pPr>
                  <w:r>
                    <w:rPr>
                      <w:rFonts w:ascii="仿宋_GB2312" w:hAnsi="仿宋_GB2312" w:cs="仿宋_GB2312" w:eastAsia="仿宋_GB2312"/>
                    </w:rPr>
                    <w:t>7</w:t>
                  </w:r>
                </w:p>
              </w:tc>
              <w:tc>
                <w:tcPr>
                  <w:tcW w:type="dxa" w:w="232"/>
                </w:tcPr>
                <w:p>
                  <w:pPr>
                    <w:pStyle w:val="null3"/>
                  </w:pPr>
                  <w:r>
                    <w:rPr>
                      <w:rFonts w:ascii="仿宋_GB2312" w:hAnsi="仿宋_GB2312" w:cs="仿宋_GB2312" w:eastAsia="仿宋_GB2312"/>
                    </w:rPr>
                    <w:t>3000-3499</w:t>
                  </w:r>
                </w:p>
              </w:tc>
              <w:tc>
                <w:tcPr>
                  <w:tcW w:type="dxa" w:w="232"/>
                </w:tcPr>
                <w:p>
                  <w:pPr>
                    <w:pStyle w:val="null3"/>
                  </w:pPr>
                  <w:r>
                    <w:rPr>
                      <w:rFonts w:ascii="仿宋_GB2312" w:hAnsi="仿宋_GB2312" w:cs="仿宋_GB2312" w:eastAsia="仿宋_GB2312"/>
                    </w:rPr>
                    <w:t>8</w:t>
                  </w:r>
                </w:p>
              </w:tc>
              <w:tc>
                <w:tcPr>
                  <w:tcW w:type="dxa" w:w="232"/>
                </w:tcPr>
                <w:p>
                  <w:pPr>
                    <w:pStyle w:val="null3"/>
                  </w:pPr>
                  <w:r>
                    <w:rPr>
                      <w:rFonts w:ascii="仿宋_GB2312" w:hAnsi="仿宋_GB2312" w:cs="仿宋_GB2312" w:eastAsia="仿宋_GB2312"/>
                    </w:rPr>
                    <w:t>3500-3999</w:t>
                  </w:r>
                </w:p>
              </w:tc>
            </w:tr>
            <w:tr>
              <w:tc>
                <w:tcPr>
                  <w:tcW w:type="dxa" w:w="232"/>
                </w:tcPr>
                <w:p>
                  <w:pPr>
                    <w:pStyle w:val="null3"/>
                  </w:pPr>
                  <w:r>
                    <w:rPr>
                      <w:rFonts w:ascii="仿宋_GB2312" w:hAnsi="仿宋_GB2312" w:cs="仿宋_GB2312" w:eastAsia="仿宋_GB2312"/>
                    </w:rPr>
                    <w:t>9</w:t>
                  </w:r>
                </w:p>
              </w:tc>
              <w:tc>
                <w:tcPr>
                  <w:tcW w:type="dxa" w:w="232"/>
                </w:tcPr>
                <w:p>
                  <w:pPr>
                    <w:pStyle w:val="null3"/>
                  </w:pPr>
                  <w:r>
                    <w:rPr>
                      <w:rFonts w:ascii="仿宋_GB2312" w:hAnsi="仿宋_GB2312" w:cs="仿宋_GB2312" w:eastAsia="仿宋_GB2312"/>
                    </w:rPr>
                    <w:t>4000-4499</w:t>
                  </w:r>
                </w:p>
              </w:tc>
              <w:tc>
                <w:tcPr>
                  <w:tcW w:type="dxa" w:w="232"/>
                </w:tcPr>
                <w:p>
                  <w:pPr>
                    <w:pStyle w:val="null3"/>
                  </w:pPr>
                  <w:r>
                    <w:rPr>
                      <w:rFonts w:ascii="仿宋_GB2312" w:hAnsi="仿宋_GB2312" w:cs="仿宋_GB2312" w:eastAsia="仿宋_GB2312"/>
                    </w:rPr>
                    <w:t>10</w:t>
                  </w:r>
                </w:p>
              </w:tc>
              <w:tc>
                <w:tcPr>
                  <w:tcW w:type="dxa" w:w="232"/>
                </w:tcPr>
                <w:p>
                  <w:pPr>
                    <w:pStyle w:val="null3"/>
                  </w:pPr>
                  <w:r>
                    <w:rPr>
                      <w:rFonts w:ascii="仿宋_GB2312" w:hAnsi="仿宋_GB2312" w:cs="仿宋_GB2312" w:eastAsia="仿宋_GB2312"/>
                    </w:rPr>
                    <w:t>4500-4999</w:t>
                  </w:r>
                </w:p>
              </w:tc>
              <w:tc>
                <w:tcPr>
                  <w:tcW w:type="dxa" w:w="232"/>
                </w:tcPr>
                <w:p>
                  <w:pPr>
                    <w:pStyle w:val="null3"/>
                  </w:pPr>
                  <w:r>
                    <w:rPr>
                      <w:rFonts w:ascii="仿宋_GB2312" w:hAnsi="仿宋_GB2312" w:cs="仿宋_GB2312" w:eastAsia="仿宋_GB2312"/>
                    </w:rPr>
                    <w:t>11</w:t>
                  </w:r>
                </w:p>
              </w:tc>
              <w:tc>
                <w:tcPr>
                  <w:tcW w:type="dxa" w:w="232"/>
                </w:tcPr>
                <w:p>
                  <w:pPr>
                    <w:pStyle w:val="null3"/>
                  </w:pPr>
                  <w:r>
                    <w:rPr>
                      <w:rFonts w:ascii="仿宋_GB2312" w:hAnsi="仿宋_GB2312" w:cs="仿宋_GB2312" w:eastAsia="仿宋_GB2312"/>
                    </w:rPr>
                    <w:t>5000-5499</w:t>
                  </w:r>
                </w:p>
              </w:tc>
              <w:tc>
                <w:tcPr>
                  <w:tcW w:type="dxa" w:w="232"/>
                </w:tcPr>
                <w:p>
                  <w:pPr>
                    <w:pStyle w:val="null3"/>
                  </w:pPr>
                  <w:r>
                    <w:rPr>
                      <w:rFonts w:ascii="仿宋_GB2312" w:hAnsi="仿宋_GB2312" w:cs="仿宋_GB2312" w:eastAsia="仿宋_GB2312"/>
                    </w:rPr>
                    <w:t>12</w:t>
                  </w:r>
                </w:p>
              </w:tc>
              <w:tc>
                <w:tcPr>
                  <w:tcW w:type="dxa" w:w="232"/>
                </w:tcPr>
                <w:p>
                  <w:pPr>
                    <w:pStyle w:val="null3"/>
                  </w:pPr>
                  <w:r>
                    <w:rPr>
                      <w:rFonts w:ascii="仿宋_GB2312" w:hAnsi="仿宋_GB2312" w:cs="仿宋_GB2312" w:eastAsia="仿宋_GB2312"/>
                    </w:rPr>
                    <w:t>5500-5999</w:t>
                  </w:r>
                </w:p>
              </w:tc>
            </w:tr>
            <w:tr>
              <w:tc>
                <w:tcPr>
                  <w:tcW w:type="dxa" w:w="232"/>
                </w:tcPr>
                <w:p>
                  <w:pPr>
                    <w:pStyle w:val="null3"/>
                  </w:pPr>
                  <w:r>
                    <w:rPr>
                      <w:rFonts w:ascii="仿宋_GB2312" w:hAnsi="仿宋_GB2312" w:cs="仿宋_GB2312" w:eastAsia="仿宋_GB2312"/>
                    </w:rPr>
                    <w:t>13</w:t>
                  </w:r>
                </w:p>
              </w:tc>
              <w:tc>
                <w:tcPr>
                  <w:tcW w:type="dxa" w:w="232"/>
                </w:tcPr>
                <w:p>
                  <w:pPr>
                    <w:pStyle w:val="null3"/>
                  </w:pPr>
                  <w:r>
                    <w:rPr>
                      <w:rFonts w:ascii="仿宋_GB2312" w:hAnsi="仿宋_GB2312" w:cs="仿宋_GB2312" w:eastAsia="仿宋_GB2312"/>
                    </w:rPr>
                    <w:t>6000-6499</w:t>
                  </w:r>
                </w:p>
              </w:tc>
              <w:tc>
                <w:tcPr>
                  <w:tcW w:type="dxa" w:w="232"/>
                </w:tcPr>
                <w:p>
                  <w:pPr>
                    <w:pStyle w:val="null3"/>
                  </w:pPr>
                  <w:r>
                    <w:rPr>
                      <w:rFonts w:ascii="仿宋_GB2312" w:hAnsi="仿宋_GB2312" w:cs="仿宋_GB2312" w:eastAsia="仿宋_GB2312"/>
                    </w:rPr>
                    <w:t>14</w:t>
                  </w:r>
                </w:p>
              </w:tc>
              <w:tc>
                <w:tcPr>
                  <w:tcW w:type="dxa" w:w="232"/>
                </w:tcPr>
                <w:p>
                  <w:pPr>
                    <w:pStyle w:val="null3"/>
                  </w:pPr>
                  <w:r>
                    <w:rPr>
                      <w:rFonts w:ascii="仿宋_GB2312" w:hAnsi="仿宋_GB2312" w:cs="仿宋_GB2312" w:eastAsia="仿宋_GB2312"/>
                    </w:rPr>
                    <w:t>6500-6999</w:t>
                  </w:r>
                </w:p>
              </w:tc>
              <w:tc>
                <w:tcPr>
                  <w:tcW w:type="dxa" w:w="232"/>
                </w:tcPr>
                <w:p>
                  <w:pPr>
                    <w:pStyle w:val="null3"/>
                  </w:pPr>
                  <w:r>
                    <w:rPr>
                      <w:rFonts w:ascii="仿宋_GB2312" w:hAnsi="仿宋_GB2312" w:cs="仿宋_GB2312" w:eastAsia="仿宋_GB2312"/>
                    </w:rPr>
                    <w:t>15</w:t>
                  </w:r>
                </w:p>
              </w:tc>
              <w:tc>
                <w:tcPr>
                  <w:tcW w:type="dxa" w:w="232"/>
                </w:tcPr>
                <w:p>
                  <w:pPr>
                    <w:pStyle w:val="null3"/>
                  </w:pPr>
                  <w:r>
                    <w:rPr>
                      <w:rFonts w:ascii="仿宋_GB2312" w:hAnsi="仿宋_GB2312" w:cs="仿宋_GB2312" w:eastAsia="仿宋_GB2312"/>
                    </w:rPr>
                    <w:t>7000-7499</w:t>
                  </w:r>
                </w:p>
              </w:tc>
              <w:tc>
                <w:tcPr>
                  <w:tcW w:type="dxa" w:w="232"/>
                </w:tcPr>
                <w:p>
                  <w:pPr>
                    <w:pStyle w:val="null3"/>
                  </w:pPr>
                  <w:r>
                    <w:rPr>
                      <w:rFonts w:ascii="仿宋_GB2312" w:hAnsi="仿宋_GB2312" w:cs="仿宋_GB2312" w:eastAsia="仿宋_GB2312"/>
                    </w:rPr>
                    <w:t>16</w:t>
                  </w:r>
                </w:p>
              </w:tc>
              <w:tc>
                <w:tcPr>
                  <w:tcW w:type="dxa" w:w="232"/>
                </w:tcPr>
                <w:p>
                  <w:pPr>
                    <w:pStyle w:val="null3"/>
                  </w:pPr>
                  <w:r>
                    <w:rPr>
                      <w:rFonts w:ascii="仿宋_GB2312" w:hAnsi="仿宋_GB2312" w:cs="仿宋_GB2312" w:eastAsia="仿宋_GB2312"/>
                    </w:rPr>
                    <w:t>7500-7999</w:t>
                  </w:r>
                </w:p>
              </w:tc>
            </w:tr>
            <w:tr>
              <w:tc>
                <w:tcPr>
                  <w:tcW w:type="dxa" w:w="232"/>
                </w:tcPr>
                <w:p>
                  <w:pPr>
                    <w:pStyle w:val="null3"/>
                  </w:pPr>
                  <w:r>
                    <w:rPr>
                      <w:rFonts w:ascii="仿宋_GB2312" w:hAnsi="仿宋_GB2312" w:cs="仿宋_GB2312" w:eastAsia="仿宋_GB2312"/>
                    </w:rPr>
                    <w:t>17</w:t>
                  </w:r>
                </w:p>
              </w:tc>
              <w:tc>
                <w:tcPr>
                  <w:tcW w:type="dxa" w:w="232"/>
                </w:tcPr>
                <w:p>
                  <w:pPr>
                    <w:pStyle w:val="null3"/>
                  </w:pPr>
                  <w:r>
                    <w:rPr>
                      <w:rFonts w:ascii="仿宋_GB2312" w:hAnsi="仿宋_GB2312" w:cs="仿宋_GB2312" w:eastAsia="仿宋_GB2312"/>
                    </w:rPr>
                    <w:t>8000-8499</w:t>
                  </w:r>
                </w:p>
              </w:tc>
              <w:tc>
                <w:tcPr>
                  <w:tcW w:type="dxa" w:w="232"/>
                </w:tcPr>
                <w:p>
                  <w:pPr>
                    <w:pStyle w:val="null3"/>
                  </w:pPr>
                  <w:r>
                    <w:rPr>
                      <w:rFonts w:ascii="仿宋_GB2312" w:hAnsi="仿宋_GB2312" w:cs="仿宋_GB2312" w:eastAsia="仿宋_GB2312"/>
                    </w:rPr>
                    <w:t>18</w:t>
                  </w:r>
                </w:p>
              </w:tc>
              <w:tc>
                <w:tcPr>
                  <w:tcW w:type="dxa" w:w="232"/>
                </w:tcPr>
                <w:p>
                  <w:pPr>
                    <w:pStyle w:val="null3"/>
                  </w:pPr>
                  <w:r>
                    <w:rPr>
                      <w:rFonts w:ascii="仿宋_GB2312" w:hAnsi="仿宋_GB2312" w:cs="仿宋_GB2312" w:eastAsia="仿宋_GB2312"/>
                    </w:rPr>
                    <w:t>8500-8999</w:t>
                  </w:r>
                </w:p>
              </w:tc>
              <w:tc>
                <w:tcPr>
                  <w:tcW w:type="dxa" w:w="232"/>
                </w:tcPr>
                <w:p>
                  <w:pPr>
                    <w:pStyle w:val="null3"/>
                  </w:pPr>
                  <w:r>
                    <w:rPr>
                      <w:rFonts w:ascii="仿宋_GB2312" w:hAnsi="仿宋_GB2312" w:cs="仿宋_GB2312" w:eastAsia="仿宋_GB2312"/>
                    </w:rPr>
                    <w:t>19</w:t>
                  </w:r>
                </w:p>
              </w:tc>
              <w:tc>
                <w:tcPr>
                  <w:tcW w:type="dxa" w:w="232"/>
                </w:tcPr>
                <w:p>
                  <w:pPr>
                    <w:pStyle w:val="null3"/>
                  </w:pPr>
                  <w:r>
                    <w:rPr>
                      <w:rFonts w:ascii="仿宋_GB2312" w:hAnsi="仿宋_GB2312" w:cs="仿宋_GB2312" w:eastAsia="仿宋_GB2312"/>
                    </w:rPr>
                    <w:t>9000-9499</w:t>
                  </w:r>
                </w:p>
              </w:tc>
              <w:tc>
                <w:tcPr>
                  <w:tcW w:type="dxa" w:w="232"/>
                </w:tcPr>
                <w:p>
                  <w:pPr>
                    <w:pStyle w:val="null3"/>
                  </w:pPr>
                  <w:r>
                    <w:rPr>
                      <w:rFonts w:ascii="仿宋_GB2312" w:hAnsi="仿宋_GB2312" w:cs="仿宋_GB2312" w:eastAsia="仿宋_GB2312"/>
                    </w:rPr>
                    <w:t>20</w:t>
                  </w:r>
                </w:p>
              </w:tc>
              <w:tc>
                <w:tcPr>
                  <w:tcW w:type="dxa" w:w="232"/>
                </w:tcPr>
                <w:p>
                  <w:pPr>
                    <w:pStyle w:val="null3"/>
                  </w:pPr>
                  <w:r>
                    <w:rPr>
                      <w:rFonts w:ascii="仿宋_GB2312" w:hAnsi="仿宋_GB2312" w:cs="仿宋_GB2312" w:eastAsia="仿宋_GB2312"/>
                    </w:rPr>
                    <w:t>9500-9999</w:t>
                  </w:r>
                </w:p>
              </w:tc>
            </w:tr>
          </w:tbl>
          <w:p>
            <w:pPr>
              <w:pStyle w:val="null3"/>
            </w:pPr>
            <w:r>
              <w:rPr>
                <w:rFonts w:ascii="仿宋_GB2312" w:hAnsi="仿宋_GB2312" w:cs="仿宋_GB2312" w:eastAsia="仿宋_GB2312"/>
              </w:rPr>
              <w:t>2.4.4 序列号字符清晰、唯一、不得进入图文区域，不得出现透印和粘脏现象。</w:t>
            </w:r>
          </w:p>
          <w:p>
            <w:pPr>
              <w:pStyle w:val="null3"/>
            </w:pPr>
            <w:r>
              <w:rPr>
                <w:rFonts w:ascii="仿宋_GB2312" w:hAnsi="仿宋_GB2312" w:cs="仿宋_GB2312" w:eastAsia="仿宋_GB2312"/>
              </w:rPr>
              <w:t>2.5 警示线</w:t>
            </w:r>
          </w:p>
          <w:p>
            <w:pPr>
              <w:pStyle w:val="null3"/>
            </w:pPr>
            <w:r>
              <w:rPr>
                <w:rFonts w:ascii="仿宋_GB2312" w:hAnsi="仿宋_GB2312" w:cs="仿宋_GB2312" w:eastAsia="仿宋_GB2312"/>
              </w:rPr>
              <w:t>卷票卷尾在热敏涂层面任一侧设置宽度为2.0-5.0mm 的红色警示线，总长度为5张—10张(含测试用纸)。要求划线连续、清晰、无粘脏、无透印、无拖尾、票面无蹭脏，卷票端面无红色脏迹。</w:t>
            </w:r>
          </w:p>
          <w:p>
            <w:pPr>
              <w:pStyle w:val="null3"/>
            </w:pPr>
            <w:r>
              <w:rPr>
                <w:rFonts w:ascii="仿宋_GB2312" w:hAnsi="仿宋_GB2312" w:cs="仿宋_GB2312" w:eastAsia="仿宋_GB2312"/>
              </w:rPr>
              <w:t>2.6 卷票</w:t>
            </w:r>
          </w:p>
          <w:p>
            <w:pPr>
              <w:pStyle w:val="null3"/>
            </w:pPr>
            <w:r>
              <w:rPr>
                <w:rFonts w:ascii="仿宋_GB2312" w:hAnsi="仿宋_GB2312" w:cs="仿宋_GB2312" w:eastAsia="仿宋_GB2312"/>
              </w:rPr>
              <w:t>2.6.1 卷票规格尺寸应符合表4要求：</w:t>
            </w:r>
          </w:p>
          <w:p>
            <w:pPr>
              <w:pStyle w:val="null3"/>
            </w:pPr>
            <w:r>
              <w:rPr>
                <w:rFonts w:ascii="仿宋_GB2312" w:hAnsi="仿宋_GB2312" w:cs="仿宋_GB2312" w:eastAsia="仿宋_GB2312"/>
              </w:rPr>
              <w:t>表4卷票规格</w:t>
            </w:r>
          </w:p>
          <w:tbl>
            <w:tblPr>
              <w:tblBorders>
                <w:top w:val="single"/>
                <w:left w:val="single"/>
                <w:bottom w:val="single"/>
                <w:right w:val="single"/>
                <w:insideH w:val="single"/>
                <w:insideV w:val="single"/>
              </w:tblBorders>
            </w:tblPr>
            <w:tblGrid>
              <w:gridCol w:w="465"/>
              <w:gridCol w:w="465"/>
              <w:gridCol w:w="465"/>
              <w:gridCol w:w="465"/>
            </w:tblGrid>
            <w:tr>
              <w:tc>
                <w:tcPr>
                  <w:tcW w:type="dxa" w:w="930"/>
                  <w:gridSpan w:val="2"/>
                </w:tcPr>
                <w:p>
                  <w:pPr>
                    <w:pStyle w:val="null3"/>
                  </w:pPr>
                  <w:r>
                    <w:rPr>
                      <w:rFonts w:ascii="仿宋_GB2312" w:hAnsi="仿宋_GB2312" w:cs="仿宋_GB2312" w:eastAsia="仿宋_GB2312"/>
                    </w:rPr>
                    <w:t>指标名称</w:t>
                  </w:r>
                </w:p>
              </w:tc>
              <w:tc>
                <w:tcPr>
                  <w:tcW w:type="dxa" w:w="465"/>
                </w:tcPr>
                <w:p>
                  <w:pPr>
                    <w:pStyle w:val="null3"/>
                  </w:pPr>
                  <w:r>
                    <w:rPr>
                      <w:rFonts w:ascii="仿宋_GB2312" w:hAnsi="仿宋_GB2312" w:cs="仿宋_GB2312" w:eastAsia="仿宋_GB2312"/>
                    </w:rPr>
                    <w:t>单位</w:t>
                  </w:r>
                </w:p>
              </w:tc>
              <w:tc>
                <w:tcPr>
                  <w:tcW w:type="dxa" w:w="465"/>
                </w:tcPr>
                <w:p>
                  <w:pPr>
                    <w:pStyle w:val="null3"/>
                  </w:pPr>
                  <w:r>
                    <w:rPr>
                      <w:rFonts w:ascii="仿宋_GB2312" w:hAnsi="仿宋_GB2312" w:cs="仿宋_GB2312" w:eastAsia="仿宋_GB2312"/>
                    </w:rPr>
                    <w:t>技术要求</w:t>
                  </w:r>
                </w:p>
              </w:tc>
            </w:tr>
            <w:tr>
              <w:tc>
                <w:tcPr>
                  <w:tcW w:type="dxa" w:w="465"/>
                  <w:vMerge w:val="restart"/>
                </w:tcPr>
                <w:p>
                  <w:pPr>
                    <w:pStyle w:val="null3"/>
                  </w:pPr>
                  <w:r>
                    <w:rPr>
                      <w:rFonts w:ascii="仿宋_GB2312" w:hAnsi="仿宋_GB2312" w:cs="仿宋_GB2312" w:eastAsia="仿宋_GB2312"/>
                    </w:rPr>
                    <w:t xml:space="preserve"> </w:t>
                  </w:r>
                </w:p>
                <w:p>
                  <w:pPr>
                    <w:pStyle w:val="null3"/>
                  </w:pPr>
                  <w:r>
                    <w:rPr>
                      <w:rFonts w:ascii="仿宋_GB2312" w:hAnsi="仿宋_GB2312" w:cs="仿宋_GB2312" w:eastAsia="仿宋_GB2312"/>
                    </w:rPr>
                    <w:t>规格</w:t>
                  </w:r>
                </w:p>
              </w:tc>
              <w:tc>
                <w:tcPr>
                  <w:tcW w:type="dxa" w:w="465"/>
                </w:tcPr>
                <w:p>
                  <w:pPr>
                    <w:pStyle w:val="null3"/>
                  </w:pPr>
                  <w:r>
                    <w:rPr>
                      <w:rFonts w:ascii="仿宋_GB2312" w:hAnsi="仿宋_GB2312" w:cs="仿宋_GB2312" w:eastAsia="仿宋_GB2312"/>
                    </w:rPr>
                    <w:t>卷宽</w:t>
                  </w:r>
                </w:p>
              </w:tc>
              <w:tc>
                <w:tcPr>
                  <w:tcW w:type="dxa" w:w="465"/>
                  <w:vMerge w:val="restart"/>
                </w:tcPr>
                <w:p>
                  <w:pPr>
                    <w:pStyle w:val="null3"/>
                  </w:pPr>
                  <w:r>
                    <w:rPr>
                      <w:rFonts w:ascii="仿宋_GB2312" w:hAnsi="仿宋_GB2312" w:cs="仿宋_GB2312" w:eastAsia="仿宋_GB2312"/>
                    </w:rPr>
                    <w:t xml:space="preserve"> </w:t>
                  </w:r>
                </w:p>
                <w:p>
                  <w:pPr>
                    <w:pStyle w:val="null3"/>
                  </w:pPr>
                  <w:r>
                    <w:rPr>
                      <w:rFonts w:ascii="仿宋_GB2312" w:hAnsi="仿宋_GB2312" w:cs="仿宋_GB2312" w:eastAsia="仿宋_GB2312"/>
                    </w:rPr>
                    <w:t>mm</w:t>
                  </w:r>
                </w:p>
              </w:tc>
              <w:tc>
                <w:tcPr>
                  <w:tcW w:type="dxa" w:w="465"/>
                </w:tcPr>
                <w:p>
                  <w:pPr>
                    <w:pStyle w:val="null3"/>
                  </w:pPr>
                  <w:r>
                    <w:rPr>
                      <w:rFonts w:ascii="仿宋_GB2312" w:hAnsi="仿宋_GB2312" w:cs="仿宋_GB2312" w:eastAsia="仿宋_GB2312"/>
                    </w:rPr>
                    <w:t>79.0±0.5</w:t>
                  </w:r>
                </w:p>
              </w:tc>
            </w:tr>
            <w:tr>
              <w:tc>
                <w:tcPr>
                  <w:tcW w:type="dxa" w:w="465"/>
                  <w:vMerge/>
                </w:tcPr>
                <w:p/>
              </w:tc>
              <w:tc>
                <w:tcPr>
                  <w:tcW w:type="dxa" w:w="465"/>
                </w:tcPr>
                <w:p>
                  <w:pPr>
                    <w:pStyle w:val="null3"/>
                  </w:pPr>
                  <w:r>
                    <w:rPr>
                      <w:rFonts w:ascii="仿宋_GB2312" w:hAnsi="仿宋_GB2312" w:cs="仿宋_GB2312" w:eastAsia="仿宋_GB2312"/>
                    </w:rPr>
                    <w:t>卷直径</w:t>
                  </w:r>
                </w:p>
              </w:tc>
              <w:tc>
                <w:tcPr>
                  <w:tcW w:type="dxa" w:w="465"/>
                  <w:vMerge/>
                </w:tcPr>
                <w:p/>
              </w:tc>
              <w:tc>
                <w:tcPr>
                  <w:tcW w:type="dxa" w:w="465"/>
                </w:tcPr>
                <w:p>
                  <w:pPr>
                    <w:pStyle w:val="null3"/>
                  </w:pPr>
                  <w:r>
                    <w:rPr>
                      <w:rFonts w:ascii="仿宋_GB2312" w:hAnsi="仿宋_GB2312" w:cs="仿宋_GB2312" w:eastAsia="仿宋_GB2312"/>
                    </w:rPr>
                    <w:t>73.0±1.0</w:t>
                  </w:r>
                </w:p>
              </w:tc>
            </w:tr>
            <w:tr>
              <w:tc>
                <w:tcPr>
                  <w:tcW w:type="dxa" w:w="465"/>
                  <w:vMerge/>
                </w:tcPr>
                <w:p/>
              </w:tc>
              <w:tc>
                <w:tcPr>
                  <w:tcW w:type="dxa" w:w="465"/>
                </w:tcPr>
                <w:p>
                  <w:pPr>
                    <w:pStyle w:val="null3"/>
                  </w:pPr>
                  <w:r>
                    <w:rPr>
                      <w:rFonts w:ascii="仿宋_GB2312" w:hAnsi="仿宋_GB2312" w:cs="仿宋_GB2312" w:eastAsia="仿宋_GB2312"/>
                    </w:rPr>
                    <w:t>内径</w:t>
                  </w:r>
                </w:p>
              </w:tc>
              <w:tc>
                <w:tcPr>
                  <w:tcW w:type="dxa" w:w="465"/>
                  <w:vMerge/>
                </w:tcPr>
                <w:p/>
              </w:tc>
              <w:tc>
                <w:tcPr>
                  <w:tcW w:type="dxa" w:w="465"/>
                </w:tcPr>
                <w:p>
                  <w:pPr>
                    <w:pStyle w:val="null3"/>
                  </w:pPr>
                  <w:r>
                    <w:rPr>
                      <w:rFonts w:ascii="仿宋_GB2312" w:hAnsi="仿宋_GB2312" w:cs="仿宋_GB2312" w:eastAsia="仿宋_GB2312"/>
                    </w:rPr>
                    <w:t>12.0±0.5</w:t>
                  </w:r>
                </w:p>
              </w:tc>
            </w:tr>
          </w:tbl>
          <w:p>
            <w:pPr>
              <w:pStyle w:val="null3"/>
            </w:pPr>
            <w:r>
              <w:rPr>
                <w:rFonts w:ascii="仿宋_GB2312" w:hAnsi="仿宋_GB2312" w:cs="仿宋_GB2312" w:eastAsia="仿宋_GB2312"/>
              </w:rPr>
              <w:t>2.6.2 边条距离右侧纸边≤1.0mm，不允许裁切到边条。</w:t>
            </w:r>
          </w:p>
          <w:p>
            <w:pPr>
              <w:pStyle w:val="null3"/>
            </w:pPr>
            <w:r>
              <w:rPr>
                <w:rFonts w:ascii="仿宋_GB2312" w:hAnsi="仿宋_GB2312" w:cs="仿宋_GB2312" w:eastAsia="仿宋_GB2312"/>
              </w:rPr>
              <w:t>2.6.3 卷票中不应有接头和夹杂其他纸片、纸屑的现象；卷票端面平滑、干净、不发黑、可视警示线印迹;卷票缠绕松紧适中，管芯与热敏票间不能使用胶带或黏合剂，不应有滑移现象;开卷处不能使用胶带、不干胶或黏合剂固定。</w:t>
            </w:r>
          </w:p>
          <w:p>
            <w:pPr>
              <w:pStyle w:val="null3"/>
            </w:pPr>
            <w:r>
              <w:rPr>
                <w:rFonts w:ascii="仿宋_GB2312" w:hAnsi="仿宋_GB2312" w:cs="仿宋_GB2312" w:eastAsia="仿宋_GB2312"/>
              </w:rPr>
              <w:t>2.6.4 卷票圆周方向具有一定抗压性能，在350N的持续压力承压1h 下卷芯不变形。</w:t>
            </w:r>
          </w:p>
          <w:p>
            <w:pPr>
              <w:pStyle w:val="null3"/>
            </w:pPr>
            <w:r>
              <w:rPr>
                <w:rFonts w:ascii="仿宋_GB2312" w:hAnsi="仿宋_GB2312" w:cs="仿宋_GB2312" w:eastAsia="仿宋_GB2312"/>
              </w:rPr>
              <w:t>2.6.5 单张热敏票标准宽度为79.0mm±0.5mm；标准长度为101.6 mm ±0.1 mm；体育彩票投注专用设备可根据打印投注信息内容，设置打印长度为标准长度的1倍~3 倍。</w:t>
            </w:r>
          </w:p>
          <w:p>
            <w:pPr>
              <w:pStyle w:val="null3"/>
            </w:pPr>
            <w:r>
              <w:rPr>
                <w:rFonts w:ascii="仿宋_GB2312" w:hAnsi="仿宋_GB2312" w:cs="仿宋_GB2312" w:eastAsia="仿宋_GB2312"/>
              </w:rPr>
              <w:t>2.7 包装</w:t>
            </w:r>
          </w:p>
          <w:p>
            <w:pPr>
              <w:pStyle w:val="null3"/>
            </w:pPr>
            <w:r>
              <w:rPr>
                <w:rFonts w:ascii="仿宋_GB2312" w:hAnsi="仿宋_GB2312" w:cs="仿宋_GB2312" w:eastAsia="仿宋_GB2312"/>
              </w:rPr>
              <w:t>2.7.1 卷票独立包装，包装材料具有防潮、防光性能。</w:t>
            </w:r>
          </w:p>
          <w:p>
            <w:pPr>
              <w:pStyle w:val="null3"/>
            </w:pPr>
            <w:r>
              <w:rPr>
                <w:rFonts w:ascii="仿宋_GB2312" w:hAnsi="仿宋_GB2312" w:cs="仿宋_GB2312" w:eastAsia="仿宋_GB2312"/>
              </w:rPr>
              <w:t>2.7.2 一箱20卷，分置上下两层；每层2行5列，层间放置隔板，箱体内壁与卷票间距≤10.0mm。</w:t>
            </w:r>
          </w:p>
          <w:p>
            <w:pPr>
              <w:pStyle w:val="null3"/>
            </w:pPr>
            <w:r>
              <w:rPr>
                <w:rFonts w:ascii="仿宋_GB2312" w:hAnsi="仿宋_GB2312" w:cs="仿宋_GB2312" w:eastAsia="仿宋_GB2312"/>
              </w:rPr>
              <w:t>2.8 装箱</w:t>
            </w:r>
          </w:p>
          <w:p>
            <w:pPr>
              <w:pStyle w:val="null3"/>
            </w:pPr>
            <w:r>
              <w:rPr>
                <w:rFonts w:ascii="仿宋_GB2312" w:hAnsi="仿宋_GB2312" w:cs="仿宋_GB2312" w:eastAsia="仿宋_GB2312"/>
              </w:rPr>
              <w:t>2.8.1 使用空箱抗压强度≥1200N的5层瓦楞纸箱。</w:t>
            </w:r>
          </w:p>
          <w:p>
            <w:pPr>
              <w:pStyle w:val="null3"/>
            </w:pPr>
            <w:r>
              <w:rPr>
                <w:rFonts w:ascii="仿宋_GB2312" w:hAnsi="仿宋_GB2312" w:cs="仿宋_GB2312" w:eastAsia="仿宋_GB2312"/>
              </w:rPr>
              <w:t>2.8.2 包装箱摇盖耐折度，纸箱支撑成型后，摇盖经开、合180°往复3次，箱面层和里层裂缝≤10.0mm。</w:t>
            </w:r>
          </w:p>
          <w:p>
            <w:pPr>
              <w:pStyle w:val="null3"/>
            </w:pPr>
            <w:r>
              <w:rPr>
                <w:rFonts w:ascii="仿宋_GB2312" w:hAnsi="仿宋_GB2312" w:cs="仿宋_GB2312" w:eastAsia="仿宋_GB2312"/>
              </w:rPr>
              <w:t>2.8.3 包装箱体上要求有防潮、防晒、防火、小心轻放、请勿倒置、堆码极限、禁止脚踏等包装储运图示标志，应符合GB/T191-2008 规定。</w:t>
            </w:r>
          </w:p>
          <w:p>
            <w:pPr>
              <w:pStyle w:val="null3"/>
            </w:pPr>
            <w:r>
              <w:rPr>
                <w:rFonts w:ascii="仿宋_GB2312" w:hAnsi="仿宋_GB2312" w:cs="仿宋_GB2312" w:eastAsia="仿宋_GB2312"/>
              </w:rPr>
              <w:t>2.8.4 包装箱体上应有产品名称、箱号、产品执行标准、产品合格标志、生产企业、 数量等信息标注;标注信息应打印清晰、位置准确。</w:t>
            </w:r>
          </w:p>
          <w:p>
            <w:pPr>
              <w:pStyle w:val="null3"/>
            </w:pPr>
            <w:r>
              <w:rPr>
                <w:rFonts w:ascii="仿宋_GB2312" w:hAnsi="仿宋_GB2312" w:cs="仿宋_GB2312" w:eastAsia="仿宋_GB2312"/>
              </w:rPr>
              <w:t>2.8.5 包装箱用胶带上下封口，封箱紧度适宜，胶带平整居中。</w:t>
            </w:r>
          </w:p>
          <w:p>
            <w:pPr>
              <w:pStyle w:val="null3"/>
            </w:pPr>
            <w:r>
              <w:rPr>
                <w:rFonts w:ascii="仿宋_GB2312" w:hAnsi="仿宋_GB2312" w:cs="仿宋_GB2312" w:eastAsia="仿宋_GB2312"/>
              </w:rPr>
              <w:t>2.8.6 包装箱箱外用打包带加固，打包带松紧适度、无歪斜。</w:t>
            </w:r>
          </w:p>
          <w:p>
            <w:pPr>
              <w:pStyle w:val="null3"/>
            </w:pPr>
            <w:r>
              <w:rPr>
                <w:rFonts w:ascii="仿宋_GB2312" w:hAnsi="仿宋_GB2312" w:cs="仿宋_GB2312" w:eastAsia="仿宋_GB2312"/>
              </w:rPr>
              <w:t>2.9 使用</w:t>
            </w:r>
          </w:p>
          <w:p>
            <w:pPr>
              <w:pStyle w:val="null3"/>
            </w:pPr>
            <w:r>
              <w:rPr>
                <w:rFonts w:ascii="仿宋_GB2312" w:hAnsi="仿宋_GB2312" w:cs="仿宋_GB2312" w:eastAsia="仿宋_GB2312"/>
              </w:rPr>
              <w:t>2.9.1 使用环境要求：温度-5℃~40℃，相对湿度 (20~95) % 。</w:t>
            </w:r>
          </w:p>
          <w:p>
            <w:pPr>
              <w:pStyle w:val="null3"/>
            </w:pPr>
            <w:r>
              <w:rPr>
                <w:rFonts w:ascii="仿宋_GB2312" w:hAnsi="仿宋_GB2312" w:cs="仿宋_GB2312" w:eastAsia="仿宋_GB2312"/>
              </w:rPr>
              <w:t>2.9.2 使用前应在彩票投注专用设备使用环境下进行干湿平衡存放，存放时间≥4小时。</w:t>
            </w:r>
          </w:p>
          <w:p>
            <w:pPr>
              <w:pStyle w:val="null3"/>
            </w:pPr>
            <w:r>
              <w:rPr>
                <w:rFonts w:ascii="仿宋_GB2312" w:hAnsi="仿宋_GB2312" w:cs="仿宋_GB2312" w:eastAsia="仿宋_GB2312"/>
              </w:rPr>
              <w:t>2.9.3 使用时，体育彩票投注专用设备应符合 GB/ T 28165-2011 的要求。打印速度 均匀、连续，打印分辨率≥1200dpi，动态显色感度≥0.30mJ/dol(7.0 mJ/mm2) 。</w:t>
            </w:r>
          </w:p>
          <w:p>
            <w:pPr>
              <w:pStyle w:val="null3"/>
            </w:pPr>
            <w:r>
              <w:rPr>
                <w:rFonts w:ascii="仿宋_GB2312" w:hAnsi="仿宋_GB2312" w:cs="仿宋_GB2312" w:eastAsia="仿宋_GB2312"/>
              </w:rPr>
              <w:t>2.9.4 使用时，打印内容清晰、完整、容易识读，打印头无明显墨迹，印刷图文内容不粘脏。</w:t>
            </w:r>
          </w:p>
          <w:p>
            <w:pPr>
              <w:pStyle w:val="null3"/>
            </w:pPr>
            <w:r>
              <w:rPr>
                <w:rFonts w:ascii="仿宋_GB2312" w:hAnsi="仿宋_GB2312" w:cs="仿宋_GB2312" w:eastAsia="仿宋_GB2312"/>
              </w:rPr>
              <w:t>2.9.5 光老化性能、热老化性能和耐摩擦性能，显色密度保留率≥80% ;正常保存条件下，热敏票打印显色保留期限≥1年。</w:t>
            </w:r>
          </w:p>
          <w:p>
            <w:pPr>
              <w:pStyle w:val="null3"/>
            </w:pPr>
            <w:r>
              <w:rPr>
                <w:rFonts w:ascii="仿宋_GB2312" w:hAnsi="仿宋_GB2312" w:cs="仿宋_GB2312" w:eastAsia="仿宋_GB2312"/>
              </w:rPr>
              <w:t>3.质保期：打印使用前贮存有效期≥5年。</w:t>
            </w:r>
          </w:p>
          <w:p>
            <w:pPr>
              <w:pStyle w:val="null3"/>
            </w:pPr>
            <w:r>
              <w:rPr>
                <w:rFonts w:ascii="仿宋_GB2312" w:hAnsi="仿宋_GB2312" w:cs="仿宋_GB2312" w:eastAsia="仿宋_GB2312"/>
              </w:rPr>
              <w:t>4.为保障热敏票印制的安全、质量和保密，未经陕西省体育彩票管理中心书面许可，在采购有效期 (合同期限) 内，供应商不得将此次热敏票采购相关权利、义务进行转让或转包给第三方。</w:t>
            </w:r>
          </w:p>
          <w:p>
            <w:pPr>
              <w:pStyle w:val="null3"/>
            </w:pPr>
            <w:r>
              <w:rPr>
                <w:rFonts w:ascii="仿宋_GB2312" w:hAnsi="仿宋_GB2312" w:cs="仿宋_GB2312" w:eastAsia="仿宋_GB2312"/>
              </w:rPr>
              <w:t>5.投标人必须建立完善的保密制度，所有相关雇员均不泄露任何关联热敏票的商业及技术秘密。</w:t>
            </w:r>
          </w:p>
          <w:p>
            <w:pPr>
              <w:pStyle w:val="null3"/>
            </w:pPr>
            <w:r>
              <w:rPr>
                <w:rFonts w:ascii="仿宋_GB2312" w:hAnsi="仿宋_GB2312" w:cs="仿宋_GB2312" w:eastAsia="仿宋_GB2312"/>
              </w:rPr>
              <w:t>6.供应商不得同任何第三方讨论、透露、交易、转让或合作与此次政府采购有关的任 何信息和资料，包括但不限于我中心委托供应商印制热敏票的材料、质量、种类、数量、 目的、作用、工作进度、各项费用标准、相关管理规定、技术标准以及热敏票安全防伪措 施本身的全部技术秘密和商业秘密等。同时，投标人对交付采购人产品类型、数量、起止 编号、移送单位、送达地址等内容负有保密责任。须提供书面承诺，未提供为无效投标。</w:t>
            </w:r>
          </w:p>
          <w:p>
            <w:pPr>
              <w:pStyle w:val="null3"/>
            </w:pPr>
            <w:r>
              <w:rPr>
                <w:rFonts w:ascii="仿宋_GB2312" w:hAnsi="仿宋_GB2312" w:cs="仿宋_GB2312" w:eastAsia="仿宋_GB2312"/>
              </w:rPr>
              <w:t>三、样品要求</w:t>
            </w:r>
          </w:p>
          <w:p>
            <w:pPr>
              <w:pStyle w:val="null3"/>
            </w:pPr>
            <w:r>
              <w:rPr>
                <w:rFonts w:ascii="仿宋_GB2312" w:hAnsi="仿宋_GB2312" w:cs="仿宋_GB2312" w:eastAsia="仿宋_GB2312"/>
              </w:rPr>
              <w:t>1、投标人需提供1套样品：1整箱+1卷体育彩票热敏票样品(卷外用塑料热缩包装)。</w:t>
            </w:r>
          </w:p>
          <w:p>
            <w:pPr>
              <w:pStyle w:val="null3"/>
            </w:pPr>
            <w:r>
              <w:rPr>
                <w:rFonts w:ascii="仿宋_GB2312" w:hAnsi="仿宋_GB2312" w:cs="仿宋_GB2312" w:eastAsia="仿宋_GB2312"/>
              </w:rPr>
              <w:t>2、投标人递交样品时需同时提供单独的加盖公章样品清单，注明项目名称、采购编号、样品名称及数量、投标人名称，随样品摆放在一起。样品及包装上不得有可以识别投标人的任何标志与标识。评审采用盲样，由现场监督在评审前随机编号进入评审。</w:t>
            </w:r>
          </w:p>
          <w:p>
            <w:pPr>
              <w:pStyle w:val="null3"/>
            </w:pPr>
            <w:r>
              <w:rPr>
                <w:rFonts w:ascii="仿宋_GB2312" w:hAnsi="仿宋_GB2312" w:cs="仿宋_GB2312" w:eastAsia="仿宋_GB2312"/>
              </w:rPr>
              <w:t>注：投标多包的仅需提供1套样品。</w:t>
            </w:r>
          </w:p>
          <w:p>
            <w:pPr>
              <w:pStyle w:val="null3"/>
            </w:pPr>
            <w:r>
              <w:rPr>
                <w:rFonts w:ascii="仿宋_GB2312" w:hAnsi="仿宋_GB2312" w:cs="仿宋_GB2312" w:eastAsia="仿宋_GB2312"/>
              </w:rPr>
              <w:t>3、样品要求：1整箱样品要求原包装；1卷样票样品版面按采购人提供的图案制作。其它技术要求按照《体育彩票专用热敏票技术要求及检验方法》(TY/T3902-2019) 标准。</w:t>
            </w:r>
          </w:p>
          <w:p>
            <w:pPr>
              <w:pStyle w:val="null3"/>
            </w:pPr>
            <w:r>
              <w:rPr>
                <w:rFonts w:ascii="仿宋_GB2312" w:hAnsi="仿宋_GB2312" w:cs="仿宋_GB2312" w:eastAsia="仿宋_GB2312"/>
              </w:rPr>
              <w:t>4、样品测量表 (评审使用)</w:t>
            </w:r>
          </w:p>
          <w:tbl>
            <w:tblPr>
              <w:tblBorders>
                <w:top w:val="single"/>
                <w:left w:val="single"/>
                <w:bottom w:val="single"/>
                <w:right w:val="single"/>
                <w:insideH w:val="single"/>
                <w:insideV w:val="single"/>
              </w:tblBorders>
            </w:tblPr>
            <w:tblGrid>
              <w:gridCol w:w="310"/>
              <w:gridCol w:w="310"/>
              <w:gridCol w:w="310"/>
              <w:gridCol w:w="310"/>
              <w:gridCol w:w="310"/>
              <w:gridCol w:w="310"/>
            </w:tblGrid>
            <w:tr>
              <w:tc>
                <w:tcPr>
                  <w:tcW w:type="dxa" w:w="310"/>
                </w:tcPr>
                <w:p>
                  <w:pPr>
                    <w:pStyle w:val="null3"/>
                  </w:pPr>
                  <w:r>
                    <w:rPr>
                      <w:rFonts w:ascii="仿宋_GB2312" w:hAnsi="仿宋_GB2312" w:cs="仿宋_GB2312" w:eastAsia="仿宋_GB2312"/>
                    </w:rPr>
                    <w:t>测量序号</w:t>
                  </w:r>
                </w:p>
              </w:tc>
              <w:tc>
                <w:tcPr>
                  <w:tcW w:type="dxa" w:w="310"/>
                </w:tcPr>
                <w:p>
                  <w:pPr>
                    <w:pStyle w:val="null3"/>
                  </w:pPr>
                  <w:r>
                    <w:rPr>
                      <w:rFonts w:ascii="仿宋_GB2312" w:hAnsi="仿宋_GB2312" w:cs="仿宋_GB2312" w:eastAsia="仿宋_GB2312"/>
                    </w:rPr>
                    <w:t>图片</w:t>
                  </w:r>
                </w:p>
                <w:p>
                  <w:pPr>
                    <w:pStyle w:val="null3"/>
                  </w:pPr>
                  <w:r>
                    <w:rPr>
                      <w:rFonts w:ascii="仿宋_GB2312" w:hAnsi="仿宋_GB2312" w:cs="仿宋_GB2312" w:eastAsia="仿宋_GB2312"/>
                    </w:rPr>
                    <w:t>主题</w:t>
                  </w:r>
                </w:p>
              </w:tc>
              <w:tc>
                <w:tcPr>
                  <w:tcW w:type="dxa" w:w="310"/>
                </w:tcPr>
                <w:p>
                  <w:pPr>
                    <w:pStyle w:val="null3"/>
                  </w:pPr>
                  <w:r>
                    <w:rPr>
                      <w:rFonts w:ascii="仿宋_GB2312" w:hAnsi="仿宋_GB2312" w:cs="仿宋_GB2312" w:eastAsia="仿宋_GB2312"/>
                    </w:rPr>
                    <w:t>标准</w:t>
                  </w:r>
                </w:p>
                <w:p>
                  <w:pPr>
                    <w:pStyle w:val="null3"/>
                  </w:pPr>
                  <w:r>
                    <w:rPr>
                      <w:rFonts w:ascii="仿宋_GB2312" w:hAnsi="仿宋_GB2312" w:cs="仿宋_GB2312" w:eastAsia="仿宋_GB2312"/>
                    </w:rPr>
                    <w:t>色值</w:t>
                  </w:r>
                </w:p>
              </w:tc>
              <w:tc>
                <w:tcPr>
                  <w:tcW w:type="dxa" w:w="310"/>
                </w:tcPr>
                <w:p>
                  <w:pPr>
                    <w:pStyle w:val="null3"/>
                  </w:pPr>
                  <w:r>
                    <w:rPr>
                      <w:rFonts w:ascii="仿宋_GB2312" w:hAnsi="仿宋_GB2312" w:cs="仿宋_GB2312" w:eastAsia="仿宋_GB2312"/>
                    </w:rPr>
                    <w:t>实测</w:t>
                  </w:r>
                </w:p>
                <w:p>
                  <w:pPr>
                    <w:pStyle w:val="null3"/>
                  </w:pPr>
                  <w:r>
                    <w:rPr>
                      <w:rFonts w:ascii="仿宋_GB2312" w:hAnsi="仿宋_GB2312" w:cs="仿宋_GB2312" w:eastAsia="仿宋_GB2312"/>
                    </w:rPr>
                    <w:t>数值</w:t>
                  </w:r>
                </w:p>
              </w:tc>
              <w:tc>
                <w:tcPr>
                  <w:tcW w:type="dxa" w:w="310"/>
                </w:tcPr>
                <w:p>
                  <w:pPr>
                    <w:pStyle w:val="null3"/>
                  </w:pPr>
                  <w:r>
                    <w:rPr>
                      <w:rFonts w:ascii="仿宋_GB2312" w:hAnsi="仿宋_GB2312" w:cs="仿宋_GB2312" w:eastAsia="仿宋_GB2312"/>
                    </w:rPr>
                    <w:t>测量差值</w:t>
                  </w:r>
                </w:p>
              </w:tc>
              <w:tc>
                <w:tcPr>
                  <w:tcW w:type="dxa" w:w="310"/>
                </w:tcPr>
                <w:p>
                  <w:pPr>
                    <w:pStyle w:val="null3"/>
                  </w:pPr>
                  <w:r>
                    <w:rPr>
                      <w:rFonts w:ascii="仿宋_GB2312" w:hAnsi="仿宋_GB2312" w:cs="仿宋_GB2312" w:eastAsia="仿宋_GB2312"/>
                    </w:rPr>
                    <w:t>得分</w:t>
                  </w:r>
                </w:p>
              </w:tc>
            </w:tr>
            <w:tr>
              <w:tc>
                <w:tcPr>
                  <w:tcW w:type="dxa" w:w="310"/>
                </w:tcPr>
                <w:p>
                  <w:pPr>
                    <w:pStyle w:val="null3"/>
                  </w:pPr>
                  <w:r>
                    <w:rPr>
                      <w:rFonts w:ascii="仿宋_GB2312" w:hAnsi="仿宋_GB2312" w:cs="仿宋_GB2312" w:eastAsia="仿宋_GB2312"/>
                    </w:rPr>
                    <w:t>06-01</w:t>
                  </w:r>
                </w:p>
              </w:tc>
              <w:tc>
                <w:tcPr>
                  <w:tcW w:type="dxa" w:w="310"/>
                </w:tcPr>
                <w:p>
                  <w:pPr>
                    <w:pStyle w:val="null3"/>
                  </w:pPr>
                  <w:r>
                    <w:rPr>
                      <w:rFonts w:ascii="仿宋_GB2312" w:hAnsi="仿宋_GB2312" w:cs="仿宋_GB2312" w:eastAsia="仿宋_GB2312"/>
                    </w:rPr>
                    <w:t>社保</w:t>
                  </w:r>
                </w:p>
                <w:p>
                  <w:pPr>
                    <w:pStyle w:val="null3"/>
                  </w:pPr>
                  <w:r>
                    <w:rPr>
                      <w:rFonts w:ascii="仿宋_GB2312" w:hAnsi="仿宋_GB2312" w:cs="仿宋_GB2312" w:eastAsia="仿宋_GB2312"/>
                    </w:rPr>
                    <w:t>基金</w:t>
                  </w:r>
                </w:p>
              </w:tc>
              <w:tc>
                <w:tcPr>
                  <w:tcW w:type="dxa" w:w="310"/>
                </w:tcPr>
                <w:p>
                  <w:pPr>
                    <w:pStyle w:val="null3"/>
                  </w:pPr>
                  <w:r>
                    <w:rPr>
                      <w:rFonts w:ascii="仿宋_GB2312" w:hAnsi="仿宋_GB2312" w:cs="仿宋_GB2312" w:eastAsia="仿宋_GB2312"/>
                    </w:rPr>
                    <w:t>L*</w:t>
                  </w:r>
                </w:p>
                <w:p>
                  <w:pPr>
                    <w:pStyle w:val="null3"/>
                  </w:pPr>
                  <w:r>
                    <w:rPr>
                      <w:rFonts w:ascii="仿宋_GB2312" w:hAnsi="仿宋_GB2312" w:cs="仿宋_GB2312" w:eastAsia="仿宋_GB2312"/>
                    </w:rPr>
                    <w:t>a*</w:t>
                  </w:r>
                </w:p>
                <w:p>
                  <w:pPr>
                    <w:pStyle w:val="null3"/>
                  </w:pPr>
                  <w:r>
                    <w:rPr>
                      <w:rFonts w:ascii="仿宋_GB2312" w:hAnsi="仿宋_GB2312" w:cs="仿宋_GB2312" w:eastAsia="仿宋_GB2312"/>
                    </w:rPr>
                    <w:t>b*</w:t>
                  </w:r>
                </w:p>
              </w:tc>
              <w:tc>
                <w:tcPr>
                  <w:tcW w:type="dxa" w:w="310"/>
                </w:tcPr>
                <w:p>
                  <w:pPr>
                    <w:pStyle w:val="null3"/>
                  </w:pPr>
                  <w:r>
                    <w:rPr>
                      <w:rFonts w:ascii="仿宋_GB2312" w:hAnsi="仿宋_GB2312" w:cs="仿宋_GB2312" w:eastAsia="仿宋_GB2312"/>
                    </w:rPr>
                    <w:t>L*=</w:t>
                  </w:r>
                </w:p>
                <w:p>
                  <w:pPr>
                    <w:pStyle w:val="null3"/>
                  </w:pPr>
                  <w:r>
                    <w:rPr>
                      <w:rFonts w:ascii="仿宋_GB2312" w:hAnsi="仿宋_GB2312" w:cs="仿宋_GB2312" w:eastAsia="仿宋_GB2312"/>
                    </w:rPr>
                    <w:t>a*=</w:t>
                  </w:r>
                </w:p>
                <w:p>
                  <w:pPr>
                    <w:pStyle w:val="null3"/>
                  </w:pPr>
                  <w:r>
                    <w:rPr>
                      <w:rFonts w:ascii="仿宋_GB2312" w:hAnsi="仿宋_GB2312" w:cs="仿宋_GB2312" w:eastAsia="仿宋_GB2312"/>
                    </w:rPr>
                    <w:t>b*=</w:t>
                  </w:r>
                </w:p>
              </w:tc>
              <w:tc>
                <w:tcPr>
                  <w:tcW w:type="dxa" w:w="310"/>
                </w:tcPr>
                <w:p>
                  <w:pPr>
                    <w:pStyle w:val="null3"/>
                  </w:pPr>
                  <w:r>
                    <w:rPr>
                      <w:rFonts w:ascii="仿宋_GB2312" w:hAnsi="仿宋_GB2312" w:cs="仿宋_GB2312" w:eastAsia="仿宋_GB2312"/>
                    </w:rPr>
                    <w:t>△L*=</w:t>
                  </w:r>
                </w:p>
                <w:p>
                  <w:pPr>
                    <w:pStyle w:val="null3"/>
                  </w:pPr>
                  <w:r>
                    <w:rPr>
                      <w:rFonts w:ascii="仿宋_GB2312" w:hAnsi="仿宋_GB2312" w:cs="仿宋_GB2312" w:eastAsia="仿宋_GB2312"/>
                    </w:rPr>
                    <w:t>△a*=</w:t>
                  </w:r>
                </w:p>
                <w:p>
                  <w:pPr>
                    <w:pStyle w:val="null3"/>
                  </w:pPr>
                  <w:r>
                    <w:rPr>
                      <w:rFonts w:ascii="仿宋_GB2312" w:hAnsi="仿宋_GB2312" w:cs="仿宋_GB2312" w:eastAsia="仿宋_GB2312"/>
                    </w:rPr>
                    <w:t>△b*=</w:t>
                  </w:r>
                </w:p>
              </w:tc>
              <w:tc>
                <w:tcPr>
                  <w:tcW w:type="dxa" w:w="310"/>
                </w:tcPr>
                <w:p>
                  <w:pPr>
                    <w:pStyle w:val="null3"/>
                  </w:pPr>
                  <w:r>
                    <w:rPr>
                      <w:rFonts w:ascii="仿宋_GB2312" w:hAnsi="仿宋_GB2312" w:cs="仿宋_GB2312" w:eastAsia="仿宋_GB2312"/>
                    </w:rPr>
                    <w:t xml:space="preserve"> </w:t>
                  </w:r>
                </w:p>
              </w:tc>
            </w:tr>
            <w:tr>
              <w:tc>
                <w:tcPr>
                  <w:tcW w:type="dxa" w:w="310"/>
                </w:tcPr>
                <w:p>
                  <w:pPr>
                    <w:pStyle w:val="null3"/>
                  </w:pPr>
                  <w:r>
                    <w:rPr>
                      <w:rFonts w:ascii="仿宋_GB2312" w:hAnsi="仿宋_GB2312" w:cs="仿宋_GB2312" w:eastAsia="仿宋_GB2312"/>
                    </w:rPr>
                    <w:t>06-02</w:t>
                  </w:r>
                </w:p>
              </w:tc>
              <w:tc>
                <w:tcPr>
                  <w:tcW w:type="dxa" w:w="310"/>
                </w:tcPr>
                <w:p>
                  <w:pPr>
                    <w:pStyle w:val="null3"/>
                  </w:pPr>
                  <w:r>
                    <w:rPr>
                      <w:rFonts w:ascii="仿宋_GB2312" w:hAnsi="仿宋_GB2312" w:cs="仿宋_GB2312" w:eastAsia="仿宋_GB2312"/>
                    </w:rPr>
                    <w:t>教育</w:t>
                  </w:r>
                </w:p>
                <w:p>
                  <w:pPr>
                    <w:pStyle w:val="null3"/>
                  </w:pPr>
                  <w:r>
                    <w:rPr>
                      <w:rFonts w:ascii="仿宋_GB2312" w:hAnsi="仿宋_GB2312" w:cs="仿宋_GB2312" w:eastAsia="仿宋_GB2312"/>
                    </w:rPr>
                    <w:t>助学</w:t>
                  </w:r>
                </w:p>
              </w:tc>
              <w:tc>
                <w:tcPr>
                  <w:tcW w:type="dxa" w:w="310"/>
                </w:tcPr>
                <w:p>
                  <w:pPr>
                    <w:pStyle w:val="null3"/>
                  </w:pPr>
                  <w:r>
                    <w:rPr>
                      <w:rFonts w:ascii="仿宋_GB2312" w:hAnsi="仿宋_GB2312" w:cs="仿宋_GB2312" w:eastAsia="仿宋_GB2312"/>
                    </w:rPr>
                    <w:t>L*</w:t>
                  </w:r>
                </w:p>
                <w:p>
                  <w:pPr>
                    <w:pStyle w:val="null3"/>
                  </w:pPr>
                  <w:r>
                    <w:rPr>
                      <w:rFonts w:ascii="仿宋_GB2312" w:hAnsi="仿宋_GB2312" w:cs="仿宋_GB2312" w:eastAsia="仿宋_GB2312"/>
                    </w:rPr>
                    <w:t>a*</w:t>
                  </w:r>
                </w:p>
                <w:p>
                  <w:pPr>
                    <w:pStyle w:val="null3"/>
                  </w:pPr>
                  <w:r>
                    <w:rPr>
                      <w:rFonts w:ascii="仿宋_GB2312" w:hAnsi="仿宋_GB2312" w:cs="仿宋_GB2312" w:eastAsia="仿宋_GB2312"/>
                    </w:rPr>
                    <w:t>b*</w:t>
                  </w:r>
                </w:p>
              </w:tc>
              <w:tc>
                <w:tcPr>
                  <w:tcW w:type="dxa" w:w="310"/>
                </w:tcPr>
                <w:p>
                  <w:pPr>
                    <w:pStyle w:val="null3"/>
                  </w:pPr>
                  <w:r>
                    <w:rPr>
                      <w:rFonts w:ascii="仿宋_GB2312" w:hAnsi="仿宋_GB2312" w:cs="仿宋_GB2312" w:eastAsia="仿宋_GB2312"/>
                    </w:rPr>
                    <w:t>L*=</w:t>
                  </w:r>
                </w:p>
                <w:p>
                  <w:pPr>
                    <w:pStyle w:val="null3"/>
                  </w:pPr>
                  <w:r>
                    <w:rPr>
                      <w:rFonts w:ascii="仿宋_GB2312" w:hAnsi="仿宋_GB2312" w:cs="仿宋_GB2312" w:eastAsia="仿宋_GB2312"/>
                    </w:rPr>
                    <w:t>a*=</w:t>
                  </w:r>
                </w:p>
                <w:p>
                  <w:pPr>
                    <w:pStyle w:val="null3"/>
                  </w:pPr>
                  <w:r>
                    <w:rPr>
                      <w:rFonts w:ascii="仿宋_GB2312" w:hAnsi="仿宋_GB2312" w:cs="仿宋_GB2312" w:eastAsia="仿宋_GB2312"/>
                    </w:rPr>
                    <w:t>b*=</w:t>
                  </w:r>
                </w:p>
              </w:tc>
              <w:tc>
                <w:tcPr>
                  <w:tcW w:type="dxa" w:w="310"/>
                </w:tcPr>
                <w:p>
                  <w:pPr>
                    <w:pStyle w:val="null3"/>
                  </w:pPr>
                  <w:r>
                    <w:rPr>
                      <w:rFonts w:ascii="仿宋_GB2312" w:hAnsi="仿宋_GB2312" w:cs="仿宋_GB2312" w:eastAsia="仿宋_GB2312"/>
                    </w:rPr>
                    <w:t>△L*=</w:t>
                  </w:r>
                </w:p>
                <w:p>
                  <w:pPr>
                    <w:pStyle w:val="null3"/>
                  </w:pPr>
                  <w:r>
                    <w:rPr>
                      <w:rFonts w:ascii="仿宋_GB2312" w:hAnsi="仿宋_GB2312" w:cs="仿宋_GB2312" w:eastAsia="仿宋_GB2312"/>
                    </w:rPr>
                    <w:t>△a*=</w:t>
                  </w:r>
                </w:p>
                <w:p>
                  <w:pPr>
                    <w:pStyle w:val="null3"/>
                  </w:pPr>
                  <w:r>
                    <w:rPr>
                      <w:rFonts w:ascii="仿宋_GB2312" w:hAnsi="仿宋_GB2312" w:cs="仿宋_GB2312" w:eastAsia="仿宋_GB2312"/>
                    </w:rPr>
                    <w:t>△b*=</w:t>
                  </w:r>
                </w:p>
              </w:tc>
              <w:tc>
                <w:tcPr>
                  <w:tcW w:type="dxa" w:w="310"/>
                </w:tcPr>
                <w:p>
                  <w:pPr>
                    <w:pStyle w:val="null3"/>
                  </w:pPr>
                  <w:r>
                    <w:rPr>
                      <w:rFonts w:ascii="仿宋_GB2312" w:hAnsi="仿宋_GB2312" w:cs="仿宋_GB2312" w:eastAsia="仿宋_GB2312"/>
                    </w:rPr>
                    <w:t xml:space="preserve"> </w:t>
                  </w:r>
                </w:p>
              </w:tc>
            </w:tr>
            <w:tr>
              <w:tc>
                <w:tcPr>
                  <w:tcW w:type="dxa" w:w="310"/>
                </w:tcPr>
                <w:p>
                  <w:pPr>
                    <w:pStyle w:val="null3"/>
                  </w:pPr>
                  <w:r>
                    <w:rPr>
                      <w:rFonts w:ascii="仿宋_GB2312" w:hAnsi="仿宋_GB2312" w:cs="仿宋_GB2312" w:eastAsia="仿宋_GB2312"/>
                    </w:rPr>
                    <w:t>06-03</w:t>
                  </w:r>
                </w:p>
              </w:tc>
              <w:tc>
                <w:tcPr>
                  <w:tcW w:type="dxa" w:w="310"/>
                </w:tcPr>
                <w:p>
                  <w:pPr>
                    <w:pStyle w:val="null3"/>
                  </w:pPr>
                  <w:r>
                    <w:rPr>
                      <w:rFonts w:ascii="仿宋_GB2312" w:hAnsi="仿宋_GB2312" w:cs="仿宋_GB2312" w:eastAsia="仿宋_GB2312"/>
                    </w:rPr>
                    <w:t>乡村</w:t>
                  </w:r>
                </w:p>
                <w:p>
                  <w:pPr>
                    <w:pStyle w:val="null3"/>
                  </w:pPr>
                  <w:r>
                    <w:rPr>
                      <w:rFonts w:ascii="仿宋_GB2312" w:hAnsi="仿宋_GB2312" w:cs="仿宋_GB2312" w:eastAsia="仿宋_GB2312"/>
                    </w:rPr>
                    <w:t>振兴</w:t>
                  </w:r>
                </w:p>
              </w:tc>
              <w:tc>
                <w:tcPr>
                  <w:tcW w:type="dxa" w:w="310"/>
                </w:tcPr>
                <w:p>
                  <w:pPr>
                    <w:pStyle w:val="null3"/>
                  </w:pPr>
                  <w:r>
                    <w:rPr>
                      <w:rFonts w:ascii="仿宋_GB2312" w:hAnsi="仿宋_GB2312" w:cs="仿宋_GB2312" w:eastAsia="仿宋_GB2312"/>
                    </w:rPr>
                    <w:t>L*</w:t>
                  </w:r>
                </w:p>
                <w:p>
                  <w:pPr>
                    <w:pStyle w:val="null3"/>
                  </w:pPr>
                  <w:r>
                    <w:rPr>
                      <w:rFonts w:ascii="仿宋_GB2312" w:hAnsi="仿宋_GB2312" w:cs="仿宋_GB2312" w:eastAsia="仿宋_GB2312"/>
                    </w:rPr>
                    <w:t>a*</w:t>
                  </w:r>
                </w:p>
                <w:p>
                  <w:pPr>
                    <w:pStyle w:val="null3"/>
                  </w:pPr>
                  <w:r>
                    <w:rPr>
                      <w:rFonts w:ascii="仿宋_GB2312" w:hAnsi="仿宋_GB2312" w:cs="仿宋_GB2312" w:eastAsia="仿宋_GB2312"/>
                    </w:rPr>
                    <w:t>b*</w:t>
                  </w:r>
                </w:p>
              </w:tc>
              <w:tc>
                <w:tcPr>
                  <w:tcW w:type="dxa" w:w="310"/>
                </w:tcPr>
                <w:p>
                  <w:pPr>
                    <w:pStyle w:val="null3"/>
                  </w:pPr>
                  <w:r>
                    <w:rPr>
                      <w:rFonts w:ascii="仿宋_GB2312" w:hAnsi="仿宋_GB2312" w:cs="仿宋_GB2312" w:eastAsia="仿宋_GB2312"/>
                    </w:rPr>
                    <w:t>L*=</w:t>
                  </w:r>
                </w:p>
                <w:p>
                  <w:pPr>
                    <w:pStyle w:val="null3"/>
                  </w:pPr>
                  <w:r>
                    <w:rPr>
                      <w:rFonts w:ascii="仿宋_GB2312" w:hAnsi="仿宋_GB2312" w:cs="仿宋_GB2312" w:eastAsia="仿宋_GB2312"/>
                    </w:rPr>
                    <w:t>a*=</w:t>
                  </w:r>
                </w:p>
                <w:p>
                  <w:pPr>
                    <w:pStyle w:val="null3"/>
                  </w:pPr>
                  <w:r>
                    <w:rPr>
                      <w:rFonts w:ascii="仿宋_GB2312" w:hAnsi="仿宋_GB2312" w:cs="仿宋_GB2312" w:eastAsia="仿宋_GB2312"/>
                    </w:rPr>
                    <w:t>b*=</w:t>
                  </w:r>
                </w:p>
              </w:tc>
              <w:tc>
                <w:tcPr>
                  <w:tcW w:type="dxa" w:w="310"/>
                </w:tcPr>
                <w:p>
                  <w:pPr>
                    <w:pStyle w:val="null3"/>
                  </w:pPr>
                  <w:r>
                    <w:rPr>
                      <w:rFonts w:ascii="仿宋_GB2312" w:hAnsi="仿宋_GB2312" w:cs="仿宋_GB2312" w:eastAsia="仿宋_GB2312"/>
                    </w:rPr>
                    <w:t>△L*=</w:t>
                  </w:r>
                </w:p>
                <w:p>
                  <w:pPr>
                    <w:pStyle w:val="null3"/>
                  </w:pPr>
                  <w:r>
                    <w:rPr>
                      <w:rFonts w:ascii="仿宋_GB2312" w:hAnsi="仿宋_GB2312" w:cs="仿宋_GB2312" w:eastAsia="仿宋_GB2312"/>
                    </w:rPr>
                    <w:t>△a*=</w:t>
                  </w:r>
                </w:p>
                <w:p>
                  <w:pPr>
                    <w:pStyle w:val="null3"/>
                  </w:pPr>
                  <w:r>
                    <w:rPr>
                      <w:rFonts w:ascii="仿宋_GB2312" w:hAnsi="仿宋_GB2312" w:cs="仿宋_GB2312" w:eastAsia="仿宋_GB2312"/>
                    </w:rPr>
                    <w:t>△b*=</w:t>
                  </w:r>
                </w:p>
              </w:tc>
              <w:tc>
                <w:tcPr>
                  <w:tcW w:type="dxa" w:w="310"/>
                </w:tcPr>
                <w:p>
                  <w:pPr>
                    <w:pStyle w:val="null3"/>
                  </w:pPr>
                  <w:r>
                    <w:rPr>
                      <w:rFonts w:ascii="仿宋_GB2312" w:hAnsi="仿宋_GB2312" w:cs="仿宋_GB2312" w:eastAsia="仿宋_GB2312"/>
                    </w:rPr>
                    <w:t xml:space="preserve"> </w:t>
                  </w:r>
                </w:p>
              </w:tc>
            </w:tr>
            <w:tr>
              <w:tc>
                <w:tcPr>
                  <w:tcW w:type="dxa" w:w="310"/>
                </w:tcPr>
                <w:p>
                  <w:pPr>
                    <w:pStyle w:val="null3"/>
                  </w:pPr>
                  <w:r>
                    <w:rPr>
                      <w:rFonts w:ascii="仿宋_GB2312" w:hAnsi="仿宋_GB2312" w:cs="仿宋_GB2312" w:eastAsia="仿宋_GB2312"/>
                    </w:rPr>
                    <w:t>06-04</w:t>
                  </w:r>
                </w:p>
              </w:tc>
              <w:tc>
                <w:tcPr>
                  <w:tcW w:type="dxa" w:w="310"/>
                </w:tcPr>
                <w:p>
                  <w:pPr>
                    <w:pStyle w:val="null3"/>
                  </w:pPr>
                  <w:r>
                    <w:rPr>
                      <w:rFonts w:ascii="仿宋_GB2312" w:hAnsi="仿宋_GB2312" w:cs="仿宋_GB2312" w:eastAsia="仿宋_GB2312"/>
                    </w:rPr>
                    <w:t>竞技</w:t>
                  </w:r>
                </w:p>
                <w:p>
                  <w:pPr>
                    <w:pStyle w:val="null3"/>
                  </w:pPr>
                  <w:r>
                    <w:rPr>
                      <w:rFonts w:ascii="仿宋_GB2312" w:hAnsi="仿宋_GB2312" w:cs="仿宋_GB2312" w:eastAsia="仿宋_GB2312"/>
                    </w:rPr>
                    <w:t>体育</w:t>
                  </w:r>
                </w:p>
              </w:tc>
              <w:tc>
                <w:tcPr>
                  <w:tcW w:type="dxa" w:w="310"/>
                </w:tcPr>
                <w:p>
                  <w:pPr>
                    <w:pStyle w:val="null3"/>
                  </w:pPr>
                  <w:r>
                    <w:rPr>
                      <w:rFonts w:ascii="仿宋_GB2312" w:hAnsi="仿宋_GB2312" w:cs="仿宋_GB2312" w:eastAsia="仿宋_GB2312"/>
                    </w:rPr>
                    <w:t>L*</w:t>
                  </w:r>
                </w:p>
                <w:p>
                  <w:pPr>
                    <w:pStyle w:val="null3"/>
                  </w:pPr>
                  <w:r>
                    <w:rPr>
                      <w:rFonts w:ascii="仿宋_GB2312" w:hAnsi="仿宋_GB2312" w:cs="仿宋_GB2312" w:eastAsia="仿宋_GB2312"/>
                    </w:rPr>
                    <w:t>a*</w:t>
                  </w:r>
                </w:p>
                <w:p>
                  <w:pPr>
                    <w:pStyle w:val="null3"/>
                  </w:pPr>
                  <w:r>
                    <w:rPr>
                      <w:rFonts w:ascii="仿宋_GB2312" w:hAnsi="仿宋_GB2312" w:cs="仿宋_GB2312" w:eastAsia="仿宋_GB2312"/>
                    </w:rPr>
                    <w:t>b*</w:t>
                  </w:r>
                </w:p>
              </w:tc>
              <w:tc>
                <w:tcPr>
                  <w:tcW w:type="dxa" w:w="310"/>
                </w:tcPr>
                <w:p>
                  <w:pPr>
                    <w:pStyle w:val="null3"/>
                  </w:pPr>
                  <w:r>
                    <w:rPr>
                      <w:rFonts w:ascii="仿宋_GB2312" w:hAnsi="仿宋_GB2312" w:cs="仿宋_GB2312" w:eastAsia="仿宋_GB2312"/>
                    </w:rPr>
                    <w:t>L*=</w:t>
                  </w:r>
                </w:p>
                <w:p>
                  <w:pPr>
                    <w:pStyle w:val="null3"/>
                  </w:pPr>
                  <w:r>
                    <w:rPr>
                      <w:rFonts w:ascii="仿宋_GB2312" w:hAnsi="仿宋_GB2312" w:cs="仿宋_GB2312" w:eastAsia="仿宋_GB2312"/>
                    </w:rPr>
                    <w:t>a*=</w:t>
                  </w:r>
                </w:p>
                <w:p>
                  <w:pPr>
                    <w:pStyle w:val="null3"/>
                  </w:pPr>
                  <w:r>
                    <w:rPr>
                      <w:rFonts w:ascii="仿宋_GB2312" w:hAnsi="仿宋_GB2312" w:cs="仿宋_GB2312" w:eastAsia="仿宋_GB2312"/>
                    </w:rPr>
                    <w:t>b*=</w:t>
                  </w:r>
                </w:p>
              </w:tc>
              <w:tc>
                <w:tcPr>
                  <w:tcW w:type="dxa" w:w="310"/>
                </w:tcPr>
                <w:p>
                  <w:pPr>
                    <w:pStyle w:val="null3"/>
                  </w:pPr>
                  <w:r>
                    <w:rPr>
                      <w:rFonts w:ascii="仿宋_GB2312" w:hAnsi="仿宋_GB2312" w:cs="仿宋_GB2312" w:eastAsia="仿宋_GB2312"/>
                    </w:rPr>
                    <w:t>△L*=</w:t>
                  </w:r>
                </w:p>
                <w:p>
                  <w:pPr>
                    <w:pStyle w:val="null3"/>
                  </w:pPr>
                  <w:r>
                    <w:rPr>
                      <w:rFonts w:ascii="仿宋_GB2312" w:hAnsi="仿宋_GB2312" w:cs="仿宋_GB2312" w:eastAsia="仿宋_GB2312"/>
                    </w:rPr>
                    <w:t>△a*=</w:t>
                  </w:r>
                </w:p>
                <w:p>
                  <w:pPr>
                    <w:pStyle w:val="null3"/>
                  </w:pPr>
                  <w:r>
                    <w:rPr>
                      <w:rFonts w:ascii="仿宋_GB2312" w:hAnsi="仿宋_GB2312" w:cs="仿宋_GB2312" w:eastAsia="仿宋_GB2312"/>
                    </w:rPr>
                    <w:t>△b*=</w:t>
                  </w:r>
                </w:p>
              </w:tc>
              <w:tc>
                <w:tcPr>
                  <w:tcW w:type="dxa" w:w="310"/>
                </w:tcPr>
                <w:p>
                  <w:pPr>
                    <w:pStyle w:val="null3"/>
                  </w:pPr>
                  <w:r>
                    <w:rPr>
                      <w:rFonts w:ascii="仿宋_GB2312" w:hAnsi="仿宋_GB2312" w:cs="仿宋_GB2312" w:eastAsia="仿宋_GB2312"/>
                    </w:rPr>
                    <w:t xml:space="preserve"> </w:t>
                  </w:r>
                </w:p>
              </w:tc>
            </w:tr>
            <w:tr>
              <w:tc>
                <w:tcPr>
                  <w:tcW w:type="dxa" w:w="310"/>
                </w:tcPr>
                <w:p>
                  <w:pPr>
                    <w:pStyle w:val="null3"/>
                  </w:pPr>
                  <w:r>
                    <w:rPr>
                      <w:rFonts w:ascii="仿宋_GB2312" w:hAnsi="仿宋_GB2312" w:cs="仿宋_GB2312" w:eastAsia="仿宋_GB2312"/>
                    </w:rPr>
                    <w:t>06-05</w:t>
                  </w:r>
                </w:p>
              </w:tc>
              <w:tc>
                <w:tcPr>
                  <w:tcW w:type="dxa" w:w="310"/>
                </w:tcPr>
                <w:p>
                  <w:pPr>
                    <w:pStyle w:val="null3"/>
                  </w:pPr>
                  <w:r>
                    <w:rPr>
                      <w:rFonts w:ascii="仿宋_GB2312" w:hAnsi="仿宋_GB2312" w:cs="仿宋_GB2312" w:eastAsia="仿宋_GB2312"/>
                    </w:rPr>
                    <w:t>全民</w:t>
                  </w:r>
                </w:p>
                <w:p>
                  <w:pPr>
                    <w:pStyle w:val="null3"/>
                  </w:pPr>
                  <w:r>
                    <w:rPr>
                      <w:rFonts w:ascii="仿宋_GB2312" w:hAnsi="仿宋_GB2312" w:cs="仿宋_GB2312" w:eastAsia="仿宋_GB2312"/>
                    </w:rPr>
                    <w:t>健身</w:t>
                  </w:r>
                </w:p>
              </w:tc>
              <w:tc>
                <w:tcPr>
                  <w:tcW w:type="dxa" w:w="310"/>
                </w:tcPr>
                <w:p>
                  <w:pPr>
                    <w:pStyle w:val="null3"/>
                  </w:pPr>
                  <w:r>
                    <w:rPr>
                      <w:rFonts w:ascii="仿宋_GB2312" w:hAnsi="仿宋_GB2312" w:cs="仿宋_GB2312" w:eastAsia="仿宋_GB2312"/>
                    </w:rPr>
                    <w:t>L*</w:t>
                  </w:r>
                </w:p>
                <w:p>
                  <w:pPr>
                    <w:pStyle w:val="null3"/>
                  </w:pPr>
                  <w:r>
                    <w:rPr>
                      <w:rFonts w:ascii="仿宋_GB2312" w:hAnsi="仿宋_GB2312" w:cs="仿宋_GB2312" w:eastAsia="仿宋_GB2312"/>
                    </w:rPr>
                    <w:t>a*</w:t>
                  </w:r>
                </w:p>
                <w:p>
                  <w:pPr>
                    <w:pStyle w:val="null3"/>
                  </w:pPr>
                  <w:r>
                    <w:rPr>
                      <w:rFonts w:ascii="仿宋_GB2312" w:hAnsi="仿宋_GB2312" w:cs="仿宋_GB2312" w:eastAsia="仿宋_GB2312"/>
                    </w:rPr>
                    <w:t>b*</w:t>
                  </w:r>
                </w:p>
              </w:tc>
              <w:tc>
                <w:tcPr>
                  <w:tcW w:type="dxa" w:w="310"/>
                </w:tcPr>
                <w:p>
                  <w:pPr>
                    <w:pStyle w:val="null3"/>
                  </w:pPr>
                  <w:r>
                    <w:rPr>
                      <w:rFonts w:ascii="仿宋_GB2312" w:hAnsi="仿宋_GB2312" w:cs="仿宋_GB2312" w:eastAsia="仿宋_GB2312"/>
                    </w:rPr>
                    <w:t>L*=</w:t>
                  </w:r>
                </w:p>
                <w:p>
                  <w:pPr>
                    <w:pStyle w:val="null3"/>
                  </w:pPr>
                  <w:r>
                    <w:rPr>
                      <w:rFonts w:ascii="仿宋_GB2312" w:hAnsi="仿宋_GB2312" w:cs="仿宋_GB2312" w:eastAsia="仿宋_GB2312"/>
                    </w:rPr>
                    <w:t>a*=</w:t>
                  </w:r>
                </w:p>
                <w:p>
                  <w:pPr>
                    <w:pStyle w:val="null3"/>
                  </w:pPr>
                  <w:r>
                    <w:rPr>
                      <w:rFonts w:ascii="仿宋_GB2312" w:hAnsi="仿宋_GB2312" w:cs="仿宋_GB2312" w:eastAsia="仿宋_GB2312"/>
                    </w:rPr>
                    <w:t>b*=</w:t>
                  </w:r>
                </w:p>
              </w:tc>
              <w:tc>
                <w:tcPr>
                  <w:tcW w:type="dxa" w:w="310"/>
                </w:tcPr>
                <w:p>
                  <w:pPr>
                    <w:pStyle w:val="null3"/>
                  </w:pPr>
                  <w:r>
                    <w:rPr>
                      <w:rFonts w:ascii="仿宋_GB2312" w:hAnsi="仿宋_GB2312" w:cs="仿宋_GB2312" w:eastAsia="仿宋_GB2312"/>
                    </w:rPr>
                    <w:t>△L*=</w:t>
                  </w:r>
                </w:p>
                <w:p>
                  <w:pPr>
                    <w:pStyle w:val="null3"/>
                  </w:pPr>
                  <w:r>
                    <w:rPr>
                      <w:rFonts w:ascii="仿宋_GB2312" w:hAnsi="仿宋_GB2312" w:cs="仿宋_GB2312" w:eastAsia="仿宋_GB2312"/>
                    </w:rPr>
                    <w:t>△a*=</w:t>
                  </w:r>
                </w:p>
                <w:p>
                  <w:pPr>
                    <w:pStyle w:val="null3"/>
                  </w:pPr>
                  <w:r>
                    <w:rPr>
                      <w:rFonts w:ascii="仿宋_GB2312" w:hAnsi="仿宋_GB2312" w:cs="仿宋_GB2312" w:eastAsia="仿宋_GB2312"/>
                    </w:rPr>
                    <w:t>△b*=</w:t>
                  </w:r>
                </w:p>
              </w:tc>
              <w:tc>
                <w:tcPr>
                  <w:tcW w:type="dxa" w:w="310"/>
                </w:tcPr>
                <w:p>
                  <w:pPr>
                    <w:pStyle w:val="null3"/>
                  </w:pPr>
                  <w:r>
                    <w:rPr>
                      <w:rFonts w:ascii="仿宋_GB2312" w:hAnsi="仿宋_GB2312" w:cs="仿宋_GB2312" w:eastAsia="仿宋_GB2312"/>
                    </w:rPr>
                    <w:t xml:space="preserve"> </w:t>
                  </w:r>
                </w:p>
              </w:tc>
            </w:tr>
            <w:tr>
              <w:tc>
                <w:tcPr>
                  <w:tcW w:type="dxa" w:w="310"/>
                </w:tcPr>
                <w:p>
                  <w:pPr>
                    <w:pStyle w:val="null3"/>
                  </w:pPr>
                  <w:r>
                    <w:rPr>
                      <w:rFonts w:ascii="仿宋_GB2312" w:hAnsi="仿宋_GB2312" w:cs="仿宋_GB2312" w:eastAsia="仿宋_GB2312"/>
                    </w:rPr>
                    <w:t>06-06</w:t>
                  </w:r>
                </w:p>
              </w:tc>
              <w:tc>
                <w:tcPr>
                  <w:tcW w:type="dxa" w:w="310"/>
                </w:tcPr>
                <w:p>
                  <w:pPr>
                    <w:pStyle w:val="null3"/>
                  </w:pPr>
                  <w:r>
                    <w:rPr>
                      <w:rFonts w:ascii="仿宋_GB2312" w:hAnsi="仿宋_GB2312" w:cs="仿宋_GB2312" w:eastAsia="仿宋_GB2312"/>
                    </w:rPr>
                    <w:t>健身</w:t>
                  </w:r>
                </w:p>
                <w:p>
                  <w:pPr>
                    <w:pStyle w:val="null3"/>
                  </w:pPr>
                  <w:r>
                    <w:rPr>
                      <w:rFonts w:ascii="仿宋_GB2312" w:hAnsi="仿宋_GB2312" w:cs="仿宋_GB2312" w:eastAsia="仿宋_GB2312"/>
                    </w:rPr>
                    <w:t>路径</w:t>
                  </w:r>
                </w:p>
              </w:tc>
              <w:tc>
                <w:tcPr>
                  <w:tcW w:type="dxa" w:w="310"/>
                </w:tcPr>
                <w:p>
                  <w:pPr>
                    <w:pStyle w:val="null3"/>
                  </w:pPr>
                  <w:r>
                    <w:rPr>
                      <w:rFonts w:ascii="仿宋_GB2312" w:hAnsi="仿宋_GB2312" w:cs="仿宋_GB2312" w:eastAsia="仿宋_GB2312"/>
                    </w:rPr>
                    <w:t>L*</w:t>
                  </w:r>
                </w:p>
                <w:p>
                  <w:pPr>
                    <w:pStyle w:val="null3"/>
                  </w:pPr>
                  <w:r>
                    <w:rPr>
                      <w:rFonts w:ascii="仿宋_GB2312" w:hAnsi="仿宋_GB2312" w:cs="仿宋_GB2312" w:eastAsia="仿宋_GB2312"/>
                    </w:rPr>
                    <w:t>a*</w:t>
                  </w:r>
                </w:p>
                <w:p>
                  <w:pPr>
                    <w:pStyle w:val="null3"/>
                  </w:pPr>
                  <w:r>
                    <w:rPr>
                      <w:rFonts w:ascii="仿宋_GB2312" w:hAnsi="仿宋_GB2312" w:cs="仿宋_GB2312" w:eastAsia="仿宋_GB2312"/>
                    </w:rPr>
                    <w:t>b*</w:t>
                  </w:r>
                </w:p>
              </w:tc>
              <w:tc>
                <w:tcPr>
                  <w:tcW w:type="dxa" w:w="310"/>
                </w:tcPr>
                <w:p>
                  <w:pPr>
                    <w:pStyle w:val="null3"/>
                  </w:pPr>
                  <w:r>
                    <w:rPr>
                      <w:rFonts w:ascii="仿宋_GB2312" w:hAnsi="仿宋_GB2312" w:cs="仿宋_GB2312" w:eastAsia="仿宋_GB2312"/>
                    </w:rPr>
                    <w:t>L*=</w:t>
                  </w:r>
                </w:p>
                <w:p>
                  <w:pPr>
                    <w:pStyle w:val="null3"/>
                  </w:pPr>
                  <w:r>
                    <w:rPr>
                      <w:rFonts w:ascii="仿宋_GB2312" w:hAnsi="仿宋_GB2312" w:cs="仿宋_GB2312" w:eastAsia="仿宋_GB2312"/>
                    </w:rPr>
                    <w:t>a*=</w:t>
                  </w:r>
                </w:p>
                <w:p>
                  <w:pPr>
                    <w:pStyle w:val="null3"/>
                  </w:pPr>
                  <w:r>
                    <w:rPr>
                      <w:rFonts w:ascii="仿宋_GB2312" w:hAnsi="仿宋_GB2312" w:cs="仿宋_GB2312" w:eastAsia="仿宋_GB2312"/>
                    </w:rPr>
                    <w:t>b*=</w:t>
                  </w:r>
                </w:p>
              </w:tc>
              <w:tc>
                <w:tcPr>
                  <w:tcW w:type="dxa" w:w="310"/>
                </w:tcPr>
                <w:p>
                  <w:pPr>
                    <w:pStyle w:val="null3"/>
                  </w:pPr>
                  <w:r>
                    <w:rPr>
                      <w:rFonts w:ascii="仿宋_GB2312" w:hAnsi="仿宋_GB2312" w:cs="仿宋_GB2312" w:eastAsia="仿宋_GB2312"/>
                    </w:rPr>
                    <w:t>△L*=</w:t>
                  </w:r>
                </w:p>
                <w:p>
                  <w:pPr>
                    <w:pStyle w:val="null3"/>
                  </w:pPr>
                  <w:r>
                    <w:rPr>
                      <w:rFonts w:ascii="仿宋_GB2312" w:hAnsi="仿宋_GB2312" w:cs="仿宋_GB2312" w:eastAsia="仿宋_GB2312"/>
                    </w:rPr>
                    <w:t>△a*=</w:t>
                  </w:r>
                </w:p>
                <w:p>
                  <w:pPr>
                    <w:pStyle w:val="null3"/>
                  </w:pPr>
                  <w:r>
                    <w:rPr>
                      <w:rFonts w:ascii="仿宋_GB2312" w:hAnsi="仿宋_GB2312" w:cs="仿宋_GB2312" w:eastAsia="仿宋_GB2312"/>
                    </w:rPr>
                    <w:t>△b*=</w:t>
                  </w:r>
                </w:p>
              </w:tc>
              <w:tc>
                <w:tcPr>
                  <w:tcW w:type="dxa" w:w="310"/>
                </w:tcPr>
                <w:p>
                  <w:pPr>
                    <w:pStyle w:val="null3"/>
                  </w:pPr>
                  <w:r>
                    <w:rPr>
                      <w:rFonts w:ascii="仿宋_GB2312" w:hAnsi="仿宋_GB2312" w:cs="仿宋_GB2312" w:eastAsia="仿宋_GB2312"/>
                    </w:rPr>
                    <w:t xml:space="preserve"> </w:t>
                  </w:r>
                </w:p>
              </w:tc>
            </w:tr>
          </w:tbl>
          <w:p>
            <w:pPr>
              <w:pStyle w:val="null3"/>
            </w:pPr>
            <w:r>
              <w:rPr>
                <w:rFonts w:ascii="仿宋_GB2312" w:hAnsi="仿宋_GB2312" w:cs="仿宋_GB2312" w:eastAsia="仿宋_GB2312"/>
              </w:rPr>
              <w:t>5、样品版面</w:t>
            </w:r>
          </w:p>
          <w:p>
            <w:pPr>
              <w:pStyle w:val="null3"/>
            </w:pPr>
            <w:r>
              <w:rPr>
                <w:rFonts w:ascii="仿宋_GB2312" w:hAnsi="仿宋_GB2312" w:cs="仿宋_GB2312" w:eastAsia="仿宋_GB2312"/>
              </w:rPr>
              <w:t>热敏涂层面：</w:t>
            </w:r>
          </w:p>
          <w:p>
            <w:pPr>
              <w:pStyle w:val="null3"/>
            </w:pPr>
            <w:r>
              <w:drawing>
                <wp:inline distT="0" distR="0" distB="0" distL="0">
                  <wp:extent cx="1181100" cy="1519543"/>
                  <wp:docPr id="21" name="Drawing 21" descr="img"/>
                  <a:graphic xmlns:a="http://schemas.openxmlformats.org/drawingml/2006/main">
                    <a:graphicData uri="http://schemas.openxmlformats.org/drawingml/2006/picture">
                      <pic:pic xmlns:pic="http://schemas.openxmlformats.org/drawingml/2006/picture">
                        <pic:nvPicPr>
                          <pic:cNvPr id="0" name="Picture 21" descr="img"/>
                          <pic:cNvPicPr>
                            <a:picLocks noChangeAspect="true"/>
                          </pic:cNvPicPr>
                        </pic:nvPicPr>
                        <pic:blipFill>
                          <a:blip r:embed="rId9"/>
                          <a:stretch>
                            <a:fillRect/>
                          </a:stretch>
                        </pic:blipFill>
                        <pic:spPr>
                          <a:xfrm>
                            <a:off x="0" y="0"/>
                            <a:ext cx="1181100" cy="1519543"/>
                          </a:xfrm>
                          <a:prstGeom prst="rect">
                            <a:avLst/>
                          </a:prstGeom>
                        </pic:spPr>
                      </pic:pic>
                    </a:graphicData>
                  </a:graphic>
                </wp:inline>
              </w:drawing>
            </w:r>
            <w:r>
              <w:drawing>
                <wp:inline distT="0" distR="0" distB="0" distL="0">
                  <wp:extent cx="1181100" cy="1519543"/>
                  <wp:docPr id="22" name="Drawing 22" descr="img"/>
                  <a:graphic xmlns:a="http://schemas.openxmlformats.org/drawingml/2006/main">
                    <a:graphicData uri="http://schemas.openxmlformats.org/drawingml/2006/picture">
                      <pic:pic xmlns:pic="http://schemas.openxmlformats.org/drawingml/2006/picture">
                        <pic:nvPicPr>
                          <pic:cNvPr id="0" name="Picture 22" descr="img"/>
                          <pic:cNvPicPr>
                            <a:picLocks noChangeAspect="true"/>
                          </pic:cNvPicPr>
                        </pic:nvPicPr>
                        <pic:blipFill>
                          <a:blip r:embed="rId10"/>
                          <a:stretch>
                            <a:fillRect/>
                          </a:stretch>
                        </pic:blipFill>
                        <pic:spPr>
                          <a:xfrm>
                            <a:off x="0" y="0"/>
                            <a:ext cx="1181100" cy="1519543"/>
                          </a:xfrm>
                          <a:prstGeom prst="rect">
                            <a:avLst/>
                          </a:prstGeom>
                        </pic:spPr>
                      </pic:pic>
                    </a:graphicData>
                  </a:graphic>
                </wp:inline>
              </w:drawing>
            </w:r>
          </w:p>
          <w:p>
            <w:pPr>
              <w:pStyle w:val="null3"/>
            </w:pPr>
            <w:r>
              <w:rPr>
                <w:rFonts w:ascii="仿宋_GB2312" w:hAnsi="仿宋_GB2312" w:cs="仿宋_GB2312" w:eastAsia="仿宋_GB2312"/>
              </w:rPr>
              <w:t>装饰图案面：</w:t>
            </w:r>
          </w:p>
          <w:p>
            <w:pPr>
              <w:pStyle w:val="null3"/>
            </w:pPr>
            <w:r>
              <w:drawing>
                <wp:inline distT="0" distR="0" distB="0" distL="0">
                  <wp:extent cx="1181100" cy="1517325"/>
                  <wp:docPr id="23" name="Drawing 23" descr="img"/>
                  <a:graphic xmlns:a="http://schemas.openxmlformats.org/drawingml/2006/main">
                    <a:graphicData uri="http://schemas.openxmlformats.org/drawingml/2006/picture">
                      <pic:pic xmlns:pic="http://schemas.openxmlformats.org/drawingml/2006/picture">
                        <pic:nvPicPr>
                          <pic:cNvPr id="0" name="Picture 23" descr="img"/>
                          <pic:cNvPicPr>
                            <a:picLocks noChangeAspect="true"/>
                          </pic:cNvPicPr>
                        </pic:nvPicPr>
                        <pic:blipFill>
                          <a:blip r:embed="rId11"/>
                          <a:stretch>
                            <a:fillRect/>
                          </a:stretch>
                        </pic:blipFill>
                        <pic:spPr>
                          <a:xfrm>
                            <a:off x="0" y="0"/>
                            <a:ext cx="1181100" cy="1517325"/>
                          </a:xfrm>
                          <a:prstGeom prst="rect">
                            <a:avLst/>
                          </a:prstGeom>
                        </pic:spPr>
                      </pic:pic>
                    </a:graphicData>
                  </a:graphic>
                </wp:inline>
              </w:drawing>
            </w:r>
            <w:r>
              <w:drawing>
                <wp:inline distT="0" distR="0" distB="0" distL="0">
                  <wp:extent cx="1181100" cy="936367"/>
                  <wp:docPr id="24" name="Drawing 24" descr="img"/>
                  <a:graphic xmlns:a="http://schemas.openxmlformats.org/drawingml/2006/main">
                    <a:graphicData uri="http://schemas.openxmlformats.org/drawingml/2006/picture">
                      <pic:pic xmlns:pic="http://schemas.openxmlformats.org/drawingml/2006/picture">
                        <pic:nvPicPr>
                          <pic:cNvPr id="0" name="Picture 24" descr="img"/>
                          <pic:cNvPicPr>
                            <a:picLocks noChangeAspect="true"/>
                          </pic:cNvPicPr>
                        </pic:nvPicPr>
                        <pic:blipFill>
                          <a:blip r:embed="rId12"/>
                          <a:stretch>
                            <a:fillRect/>
                          </a:stretch>
                        </pic:blipFill>
                        <pic:spPr>
                          <a:xfrm>
                            <a:off x="0" y="0"/>
                            <a:ext cx="1181100" cy="936367"/>
                          </a:xfrm>
                          <a:prstGeom prst="rect">
                            <a:avLst/>
                          </a:prstGeom>
                        </pic:spPr>
                      </pic:pic>
                    </a:graphicData>
                  </a:graphic>
                </wp:inline>
              </w:drawing>
            </w:r>
          </w:p>
          <w:p>
            <w:pPr>
              <w:pStyle w:val="null3"/>
            </w:pPr>
            <w:r>
              <w:rPr>
                <w:rFonts w:ascii="仿宋_GB2312" w:hAnsi="仿宋_GB2312" w:cs="仿宋_GB2312" w:eastAsia="仿宋_GB2312"/>
              </w:rPr>
              <w:t xml:space="preserve"> </w:t>
            </w:r>
          </w:p>
          <w:p>
            <w:pPr>
              <w:pStyle w:val="null3"/>
            </w:pPr>
            <w:r>
              <w:drawing>
                <wp:inline distT="0" distR="0" distB="0" distL="0">
                  <wp:extent cx="1181100" cy="1517325"/>
                  <wp:docPr id="25" name="Drawing 25" descr="img"/>
                  <a:graphic xmlns:a="http://schemas.openxmlformats.org/drawingml/2006/main">
                    <a:graphicData uri="http://schemas.openxmlformats.org/drawingml/2006/picture">
                      <pic:pic xmlns:pic="http://schemas.openxmlformats.org/drawingml/2006/picture">
                        <pic:nvPicPr>
                          <pic:cNvPr id="0" name="Picture 25" descr="img"/>
                          <pic:cNvPicPr>
                            <a:picLocks noChangeAspect="true"/>
                          </pic:cNvPicPr>
                        </pic:nvPicPr>
                        <pic:blipFill>
                          <a:blip r:embed="rId13"/>
                          <a:stretch>
                            <a:fillRect/>
                          </a:stretch>
                        </pic:blipFill>
                        <pic:spPr>
                          <a:xfrm>
                            <a:off x="0" y="0"/>
                            <a:ext cx="1181100" cy="1517325"/>
                          </a:xfrm>
                          <a:prstGeom prst="rect">
                            <a:avLst/>
                          </a:prstGeom>
                        </pic:spPr>
                      </pic:pic>
                    </a:graphicData>
                  </a:graphic>
                </wp:inline>
              </w:drawing>
            </w:r>
            <w:r>
              <w:drawing>
                <wp:inline distT="0" distR="0" distB="0" distL="0">
                  <wp:extent cx="1181100" cy="936367"/>
                  <wp:docPr id="26" name="Drawing 26" descr="img"/>
                  <a:graphic xmlns:a="http://schemas.openxmlformats.org/drawingml/2006/main">
                    <a:graphicData uri="http://schemas.openxmlformats.org/drawingml/2006/picture">
                      <pic:pic xmlns:pic="http://schemas.openxmlformats.org/drawingml/2006/picture">
                        <pic:nvPicPr>
                          <pic:cNvPr id="0" name="Picture 26" descr="img"/>
                          <pic:cNvPicPr>
                            <a:picLocks noChangeAspect="true"/>
                          </pic:cNvPicPr>
                        </pic:nvPicPr>
                        <pic:blipFill>
                          <a:blip r:embed="rId14"/>
                          <a:stretch>
                            <a:fillRect/>
                          </a:stretch>
                        </pic:blipFill>
                        <pic:spPr>
                          <a:xfrm>
                            <a:off x="0" y="0"/>
                            <a:ext cx="1181100" cy="936367"/>
                          </a:xfrm>
                          <a:prstGeom prst="rect">
                            <a:avLst/>
                          </a:prstGeom>
                        </pic:spPr>
                      </pic:pic>
                    </a:graphicData>
                  </a:graphic>
                </wp:inline>
              </w:drawing>
            </w:r>
          </w:p>
          <w:p>
            <w:pPr>
              <w:pStyle w:val="null3"/>
            </w:pPr>
            <w:r>
              <w:rPr>
                <w:rFonts w:ascii="仿宋_GB2312" w:hAnsi="仿宋_GB2312" w:cs="仿宋_GB2312" w:eastAsia="仿宋_GB2312"/>
              </w:rPr>
              <w:t xml:space="preserve"> </w:t>
            </w:r>
          </w:p>
          <w:p>
            <w:pPr>
              <w:pStyle w:val="null3"/>
            </w:pPr>
            <w:r>
              <w:drawing>
                <wp:inline distT="0" distR="0" distB="0" distL="0">
                  <wp:extent cx="1181100" cy="1517325"/>
                  <wp:docPr id="27" name="Drawing 27" descr="img"/>
                  <a:graphic xmlns:a="http://schemas.openxmlformats.org/drawingml/2006/main">
                    <a:graphicData uri="http://schemas.openxmlformats.org/drawingml/2006/picture">
                      <pic:pic xmlns:pic="http://schemas.openxmlformats.org/drawingml/2006/picture">
                        <pic:nvPicPr>
                          <pic:cNvPr id="0" name="Picture 27" descr="img"/>
                          <pic:cNvPicPr>
                            <a:picLocks noChangeAspect="true"/>
                          </pic:cNvPicPr>
                        </pic:nvPicPr>
                        <pic:blipFill>
                          <a:blip r:embed="rId15"/>
                          <a:stretch>
                            <a:fillRect/>
                          </a:stretch>
                        </pic:blipFill>
                        <pic:spPr>
                          <a:xfrm>
                            <a:off x="0" y="0"/>
                            <a:ext cx="1181100" cy="1517325"/>
                          </a:xfrm>
                          <a:prstGeom prst="rect">
                            <a:avLst/>
                          </a:prstGeom>
                        </pic:spPr>
                      </pic:pic>
                    </a:graphicData>
                  </a:graphic>
                </wp:inline>
              </w:drawing>
            </w:r>
            <w:r>
              <w:drawing>
                <wp:inline distT="0" distR="0" distB="0" distL="0">
                  <wp:extent cx="1181100" cy="936367"/>
                  <wp:docPr id="28" name="Drawing 28" descr="img"/>
                  <a:graphic xmlns:a="http://schemas.openxmlformats.org/drawingml/2006/main">
                    <a:graphicData uri="http://schemas.openxmlformats.org/drawingml/2006/picture">
                      <pic:pic xmlns:pic="http://schemas.openxmlformats.org/drawingml/2006/picture">
                        <pic:nvPicPr>
                          <pic:cNvPr id="0" name="Picture 28" descr="img"/>
                          <pic:cNvPicPr>
                            <a:picLocks noChangeAspect="true"/>
                          </pic:cNvPicPr>
                        </pic:nvPicPr>
                        <pic:blipFill>
                          <a:blip r:embed="rId16"/>
                          <a:stretch>
                            <a:fillRect/>
                          </a:stretch>
                        </pic:blipFill>
                        <pic:spPr>
                          <a:xfrm>
                            <a:off x="0" y="0"/>
                            <a:ext cx="1181100" cy="936367"/>
                          </a:xfrm>
                          <a:prstGeom prst="rect">
                            <a:avLst/>
                          </a:prstGeom>
                        </pic:spPr>
                      </pic:pic>
                    </a:graphicData>
                  </a:graphic>
                </wp:inline>
              </w:drawing>
            </w:r>
          </w:p>
          <w:p>
            <w:pPr>
              <w:pStyle w:val="null3"/>
            </w:pPr>
            <w:r>
              <w:rPr>
                <w:rFonts w:ascii="仿宋_GB2312" w:hAnsi="仿宋_GB2312" w:cs="仿宋_GB2312" w:eastAsia="仿宋_GB2312"/>
              </w:rPr>
              <w:t xml:space="preserve"> </w:t>
            </w:r>
          </w:p>
          <w:p>
            <w:pPr>
              <w:pStyle w:val="null3"/>
            </w:pPr>
            <w:r>
              <w:drawing>
                <wp:inline distT="0" distR="0" distB="0" distL="0">
                  <wp:extent cx="1181100" cy="1517325"/>
                  <wp:docPr id="29" name="Drawing 29" descr="img"/>
                  <a:graphic xmlns:a="http://schemas.openxmlformats.org/drawingml/2006/main">
                    <a:graphicData uri="http://schemas.openxmlformats.org/drawingml/2006/picture">
                      <pic:pic xmlns:pic="http://schemas.openxmlformats.org/drawingml/2006/picture">
                        <pic:nvPicPr>
                          <pic:cNvPr id="0" name="Picture 29" descr="img"/>
                          <pic:cNvPicPr>
                            <a:picLocks noChangeAspect="true"/>
                          </pic:cNvPicPr>
                        </pic:nvPicPr>
                        <pic:blipFill>
                          <a:blip r:embed="rId17"/>
                          <a:stretch>
                            <a:fillRect/>
                          </a:stretch>
                        </pic:blipFill>
                        <pic:spPr>
                          <a:xfrm>
                            <a:off x="0" y="0"/>
                            <a:ext cx="1181100" cy="1517325"/>
                          </a:xfrm>
                          <a:prstGeom prst="rect">
                            <a:avLst/>
                          </a:prstGeom>
                        </pic:spPr>
                      </pic:pic>
                    </a:graphicData>
                  </a:graphic>
                </wp:inline>
              </w:drawing>
            </w:r>
            <w:r>
              <w:drawing>
                <wp:inline distT="0" distR="0" distB="0" distL="0">
                  <wp:extent cx="1181100" cy="936367"/>
                  <wp:docPr id="30" name="Drawing 30" descr="img"/>
                  <a:graphic xmlns:a="http://schemas.openxmlformats.org/drawingml/2006/main">
                    <a:graphicData uri="http://schemas.openxmlformats.org/drawingml/2006/picture">
                      <pic:pic xmlns:pic="http://schemas.openxmlformats.org/drawingml/2006/picture">
                        <pic:nvPicPr>
                          <pic:cNvPr id="0" name="Picture 30" descr="img"/>
                          <pic:cNvPicPr>
                            <a:picLocks noChangeAspect="true"/>
                          </pic:cNvPicPr>
                        </pic:nvPicPr>
                        <pic:blipFill>
                          <a:blip r:embed="rId18"/>
                          <a:stretch>
                            <a:fillRect/>
                          </a:stretch>
                        </pic:blipFill>
                        <pic:spPr>
                          <a:xfrm>
                            <a:off x="0" y="0"/>
                            <a:ext cx="1181100" cy="936367"/>
                          </a:xfrm>
                          <a:prstGeom prst="rect">
                            <a:avLst/>
                          </a:prstGeom>
                        </pic:spPr>
                      </pic:pic>
                    </a:graphicData>
                  </a:graphic>
                </wp:inline>
              </w:drawing>
            </w:r>
          </w:p>
          <w:p>
            <w:pPr>
              <w:pStyle w:val="null3"/>
            </w:pPr>
            <w:r>
              <w:rPr>
                <w:rFonts w:ascii="仿宋_GB2312" w:hAnsi="仿宋_GB2312" w:cs="仿宋_GB2312" w:eastAsia="仿宋_GB2312"/>
              </w:rPr>
              <w:t xml:space="preserve"> </w:t>
            </w:r>
          </w:p>
          <w:p>
            <w:pPr>
              <w:pStyle w:val="null3"/>
            </w:pPr>
            <w:r>
              <w:drawing>
                <wp:inline distT="0" distR="0" distB="0" distL="0">
                  <wp:extent cx="1181100" cy="1517325"/>
                  <wp:docPr id="31" name="Drawing 31" descr="img"/>
                  <a:graphic xmlns:a="http://schemas.openxmlformats.org/drawingml/2006/main">
                    <a:graphicData uri="http://schemas.openxmlformats.org/drawingml/2006/picture">
                      <pic:pic xmlns:pic="http://schemas.openxmlformats.org/drawingml/2006/picture">
                        <pic:nvPicPr>
                          <pic:cNvPr id="0" name="Picture 31" descr="img"/>
                          <pic:cNvPicPr>
                            <a:picLocks noChangeAspect="true"/>
                          </pic:cNvPicPr>
                        </pic:nvPicPr>
                        <pic:blipFill>
                          <a:blip r:embed="rId19"/>
                          <a:stretch>
                            <a:fillRect/>
                          </a:stretch>
                        </pic:blipFill>
                        <pic:spPr>
                          <a:xfrm>
                            <a:off x="0" y="0"/>
                            <a:ext cx="1181100" cy="1517325"/>
                          </a:xfrm>
                          <a:prstGeom prst="rect">
                            <a:avLst/>
                          </a:prstGeom>
                        </pic:spPr>
                      </pic:pic>
                    </a:graphicData>
                  </a:graphic>
                </wp:inline>
              </w:drawing>
            </w:r>
            <w:r>
              <w:drawing>
                <wp:inline distT="0" distR="0" distB="0" distL="0">
                  <wp:extent cx="1181100" cy="936367"/>
                  <wp:docPr id="32" name="Drawing 32" descr="img"/>
                  <a:graphic xmlns:a="http://schemas.openxmlformats.org/drawingml/2006/main">
                    <a:graphicData uri="http://schemas.openxmlformats.org/drawingml/2006/picture">
                      <pic:pic xmlns:pic="http://schemas.openxmlformats.org/drawingml/2006/picture">
                        <pic:nvPicPr>
                          <pic:cNvPr id="0" name="Picture 32" descr="img"/>
                          <pic:cNvPicPr>
                            <a:picLocks noChangeAspect="true"/>
                          </pic:cNvPicPr>
                        </pic:nvPicPr>
                        <pic:blipFill>
                          <a:blip r:embed="rId20"/>
                          <a:stretch>
                            <a:fillRect/>
                          </a:stretch>
                        </pic:blipFill>
                        <pic:spPr>
                          <a:xfrm>
                            <a:off x="0" y="0"/>
                            <a:ext cx="1181100" cy="936367"/>
                          </a:xfrm>
                          <a:prstGeom prst="rect">
                            <a:avLst/>
                          </a:prstGeom>
                        </pic:spPr>
                      </pic:pic>
                    </a:graphicData>
                  </a:graphic>
                </wp:inline>
              </w:drawing>
            </w:r>
          </w:p>
          <w:p>
            <w:pPr>
              <w:pStyle w:val="null3"/>
            </w:pPr>
            <w:r>
              <w:drawing>
                <wp:inline distT="0" distR="0" distB="0" distL="0">
                  <wp:extent cx="1181100" cy="1517325"/>
                  <wp:docPr id="33" name="Drawing 33" descr="img"/>
                  <a:graphic xmlns:a="http://schemas.openxmlformats.org/drawingml/2006/main">
                    <a:graphicData uri="http://schemas.openxmlformats.org/drawingml/2006/picture">
                      <pic:pic xmlns:pic="http://schemas.openxmlformats.org/drawingml/2006/picture">
                        <pic:nvPicPr>
                          <pic:cNvPr id="0" name="Picture 33" descr="img"/>
                          <pic:cNvPicPr>
                            <a:picLocks noChangeAspect="true"/>
                          </pic:cNvPicPr>
                        </pic:nvPicPr>
                        <pic:blipFill>
                          <a:blip r:embed="rId21"/>
                          <a:stretch>
                            <a:fillRect/>
                          </a:stretch>
                        </pic:blipFill>
                        <pic:spPr>
                          <a:xfrm>
                            <a:off x="0" y="0"/>
                            <a:ext cx="1181100" cy="1517325"/>
                          </a:xfrm>
                          <a:prstGeom prst="rect">
                            <a:avLst/>
                          </a:prstGeom>
                        </pic:spPr>
                      </pic:pic>
                    </a:graphicData>
                  </a:graphic>
                </wp:inline>
              </w:drawing>
            </w:r>
            <w:r>
              <w:drawing>
                <wp:inline distT="0" distR="0" distB="0" distL="0">
                  <wp:extent cx="1181100" cy="936367"/>
                  <wp:docPr id="34" name="Drawing 34" descr="img"/>
                  <a:graphic xmlns:a="http://schemas.openxmlformats.org/drawingml/2006/main">
                    <a:graphicData uri="http://schemas.openxmlformats.org/drawingml/2006/picture">
                      <pic:pic xmlns:pic="http://schemas.openxmlformats.org/drawingml/2006/picture">
                        <pic:nvPicPr>
                          <pic:cNvPr id="0" name="Picture 34" descr="img"/>
                          <pic:cNvPicPr>
                            <a:picLocks noChangeAspect="true"/>
                          </pic:cNvPicPr>
                        </pic:nvPicPr>
                        <pic:blipFill>
                          <a:blip r:embed="rId22"/>
                          <a:stretch>
                            <a:fillRect/>
                          </a:stretch>
                        </pic:blipFill>
                        <pic:spPr>
                          <a:xfrm>
                            <a:off x="0" y="0"/>
                            <a:ext cx="1181100" cy="936367"/>
                          </a:xfrm>
                          <a:prstGeom prst="rect">
                            <a:avLst/>
                          </a:prstGeom>
                        </pic:spPr>
                      </pic:pic>
                    </a:graphicData>
                  </a:graphic>
                </wp:inline>
              </w:drawing>
            </w:r>
          </w:p>
          <w:p>
            <w:pPr>
              <w:pStyle w:val="null3"/>
            </w:pPr>
            <w:r>
              <w:rPr>
                <w:rFonts w:ascii="仿宋_GB2312" w:hAnsi="仿宋_GB2312" w:cs="仿宋_GB2312" w:eastAsia="仿宋_GB2312"/>
              </w:rPr>
              <w:t>注：（1）热敏涂层面图案二选一；</w:t>
            </w:r>
          </w:p>
          <w:p>
            <w:pPr>
              <w:pStyle w:val="null3"/>
            </w:pPr>
            <w:r>
              <w:rPr>
                <w:rFonts w:ascii="仿宋_GB2312" w:hAnsi="仿宋_GB2312" w:cs="仿宋_GB2312" w:eastAsia="仿宋_GB2312"/>
              </w:rPr>
              <w:t>（2）以上为样品版面示例，递交的样品需喷流水序列号。</w:t>
            </w:r>
          </w:p>
          <w:p>
            <w:pPr>
              <w:pStyle w:val="null3"/>
            </w:pPr>
            <w:r>
              <w:rPr>
                <w:rFonts w:ascii="仿宋_GB2312" w:hAnsi="仿宋_GB2312" w:cs="仿宋_GB2312" w:eastAsia="仿宋_GB2312"/>
              </w:rPr>
              <w:t>6、投标人未提供样品的，则评分时样品分为零分，但不影响其投标有效性。</w:t>
            </w:r>
          </w:p>
          <w:p>
            <w:pPr>
              <w:pStyle w:val="null3"/>
            </w:pPr>
            <w:r>
              <w:rPr>
                <w:rFonts w:ascii="仿宋_GB2312" w:hAnsi="仿宋_GB2312" w:cs="仿宋_GB2312" w:eastAsia="仿宋_GB2312"/>
              </w:rPr>
              <w:t>7、样品递交要求：</w:t>
            </w:r>
          </w:p>
          <w:p>
            <w:pPr>
              <w:pStyle w:val="null3"/>
            </w:pPr>
            <w:r>
              <w:rPr>
                <w:rFonts w:ascii="仿宋_GB2312" w:hAnsi="仿宋_GB2312" w:cs="仿宋_GB2312" w:eastAsia="仿宋_GB2312"/>
              </w:rPr>
              <w:t>7.1 样品数量：投标人需提供1套 ( 1整箱+1卷) 体育彩票热敏票样品</w:t>
            </w:r>
          </w:p>
          <w:p>
            <w:pPr>
              <w:pStyle w:val="null3"/>
            </w:pPr>
            <w:r>
              <w:rPr>
                <w:rFonts w:ascii="仿宋_GB2312" w:hAnsi="仿宋_GB2312" w:cs="仿宋_GB2312" w:eastAsia="仿宋_GB2312"/>
              </w:rPr>
              <w:t>（1）整箱 (1整箱) 专用包装箱 (装箱20卷)</w:t>
            </w:r>
            <w:r>
              <w:br/>
            </w:r>
            <w:r>
              <w:rPr>
                <w:rFonts w:ascii="仿宋_GB2312" w:hAnsi="仿宋_GB2312" w:cs="仿宋_GB2312" w:eastAsia="仿宋_GB2312"/>
              </w:rPr>
              <w:t xml:space="preserve"> （2）样票 (1卷)</w:t>
            </w:r>
            <w:r>
              <w:br/>
            </w:r>
            <w:r>
              <w:rPr>
                <w:rFonts w:ascii="仿宋_GB2312" w:hAnsi="仿宋_GB2312" w:cs="仿宋_GB2312" w:eastAsia="仿宋_GB2312"/>
              </w:rPr>
              <w:t xml:space="preserve"> 样品（含包装等）均不得明示任何商标、厂家及品牌标识或其他特殊标记等信息。</w:t>
            </w:r>
          </w:p>
          <w:p>
            <w:pPr>
              <w:pStyle w:val="null3"/>
            </w:pPr>
            <w:r>
              <w:rPr>
                <w:rFonts w:ascii="仿宋_GB2312" w:hAnsi="仿宋_GB2312" w:cs="仿宋_GB2312" w:eastAsia="仿宋_GB2312"/>
              </w:rPr>
              <w:t>7.2 递交样品截止时间：同提交投标文件截止时间。</w:t>
            </w:r>
          </w:p>
          <w:p>
            <w:pPr>
              <w:pStyle w:val="null3"/>
            </w:pPr>
            <w:r>
              <w:rPr>
                <w:rFonts w:ascii="仿宋_GB2312" w:hAnsi="仿宋_GB2312" w:cs="仿宋_GB2312" w:eastAsia="仿宋_GB2312"/>
              </w:rPr>
              <w:t>7.3 递交地点：西安市莲湖区环城西路南段元晟合中心6层。</w:t>
            </w:r>
          </w:p>
          <w:p>
            <w:pPr>
              <w:pStyle w:val="null3"/>
            </w:pPr>
            <w:r>
              <w:rPr>
                <w:rFonts w:ascii="仿宋_GB2312" w:hAnsi="仿宋_GB2312" w:cs="仿宋_GB2312" w:eastAsia="仿宋_GB2312"/>
              </w:rPr>
              <w:t>7.4 投标人代表必须在递交样品截止时间前将样品送达指定地点，逾期不予受理。</w:t>
            </w:r>
          </w:p>
          <w:p>
            <w:pPr>
              <w:pStyle w:val="null3"/>
            </w:pPr>
            <w:r>
              <w:rPr>
                <w:rFonts w:ascii="仿宋_GB2312" w:hAnsi="仿宋_GB2312" w:cs="仿宋_GB2312" w:eastAsia="仿宋_GB2312"/>
              </w:rPr>
              <w:t>7.5 采购人、采购代理机构对递交的样品进行检查，统一编号并封样留存，作为产品检验的依据，如质量下降，将依法追究中标人责任。</w:t>
            </w:r>
          </w:p>
          <w:p>
            <w:pPr>
              <w:pStyle w:val="null3"/>
            </w:pPr>
            <w:r>
              <w:rPr>
                <w:rFonts w:ascii="仿宋_GB2312" w:hAnsi="仿宋_GB2312" w:cs="仿宋_GB2312" w:eastAsia="仿宋_GB2312"/>
              </w:rPr>
              <w:t>7.6 样品必须由投标人原厂制作，如果发现转包制作，该投标人的投标保证金将不予退还，其投标也将被拒绝。</w:t>
            </w:r>
          </w:p>
          <w:p>
            <w:pPr>
              <w:pStyle w:val="null3"/>
            </w:pPr>
            <w:r>
              <w:rPr>
                <w:rFonts w:ascii="仿宋_GB2312" w:hAnsi="仿宋_GB2312" w:cs="仿宋_GB2312" w:eastAsia="仿宋_GB2312"/>
              </w:rPr>
              <w:t>7.7 样品退还办法：无效投标人样品开标当天退还，未中标人样品在中标公告发出后五个工作日内自行领取，如未在规定时间内领取样品，则样品由采购代理机构代为处理，后期不得有任何异议。中标人样品在全部产品验收合格后由采购人退还。</w:t>
            </w:r>
          </w:p>
          <w:p>
            <w:pPr>
              <w:pStyle w:val="null3"/>
            </w:pPr>
            <w:r>
              <w:rPr>
                <w:rFonts w:ascii="仿宋_GB2312" w:hAnsi="仿宋_GB2312" w:cs="仿宋_GB2312" w:eastAsia="仿宋_GB2312"/>
              </w:rPr>
              <w:t>7.8 各投标人自行承担样品搬运过程中发生的损失。</w:t>
            </w:r>
          </w:p>
          <w:p>
            <w:pPr>
              <w:pStyle w:val="null3"/>
            </w:pPr>
            <w:r>
              <w:rPr>
                <w:rFonts w:ascii="仿宋_GB2312" w:hAnsi="仿宋_GB2312" w:cs="仿宋_GB2312" w:eastAsia="仿宋_GB2312"/>
              </w:rPr>
              <w:t xml:space="preserve"> </w:t>
            </w:r>
          </w:p>
          <w:p>
            <w:pPr>
              <w:pStyle w:val="null3"/>
            </w:pPr>
            <w:r>
              <w:rPr>
                <w:rFonts w:ascii="仿宋_GB2312" w:hAnsi="仿宋_GB2312" w:cs="仿宋_GB2312" w:eastAsia="仿宋_GB2312"/>
              </w:rPr>
              <w:t xml:space="preserve"> </w:t>
            </w:r>
          </w:p>
          <w:p>
            <w:pPr>
              <w:pStyle w:val="null3"/>
            </w:pPr>
            <w:r>
              <w:rPr>
                <w:rFonts w:ascii="仿宋_GB2312" w:hAnsi="仿宋_GB2312" w:cs="仿宋_GB2312" w:eastAsia="仿宋_GB2312"/>
              </w:rPr>
              <w:t xml:space="preserve"> </w:t>
            </w:r>
          </w:p>
          <w:p>
            <w:pPr>
              <w:pStyle w:val="null3"/>
            </w:pPr>
            <w:r>
              <w:rPr>
                <w:rFonts w:ascii="仿宋_GB2312" w:hAnsi="仿宋_GB2312" w:cs="仿宋_GB2312" w:eastAsia="仿宋_GB2312"/>
              </w:rPr>
              <w:t xml:space="preserve"> </w:t>
            </w:r>
          </w:p>
          <w:p>
            <w:pPr>
              <w:pStyle w:val="null3"/>
            </w:pPr>
            <w:r>
              <w:rPr>
                <w:rFonts w:ascii="仿宋_GB2312" w:hAnsi="仿宋_GB2312" w:cs="仿宋_GB2312" w:eastAsia="仿宋_GB2312"/>
              </w:rPr>
              <w:t xml:space="preserve"> </w:t>
            </w:r>
          </w:p>
          <w:p>
            <w:pPr>
              <w:pStyle w:val="null3"/>
            </w:pPr>
            <w:r>
              <w:rPr>
                <w:rFonts w:ascii="仿宋_GB2312" w:hAnsi="仿宋_GB2312" w:cs="仿宋_GB2312" w:eastAsia="仿宋_GB2312"/>
              </w:rPr>
              <w:t xml:space="preserve"> </w:t>
            </w:r>
          </w:p>
          <w:p>
            <w:pPr>
              <w:pStyle w:val="null3"/>
            </w:pPr>
            <w:r>
              <w:rPr>
                <w:rFonts w:ascii="仿宋_GB2312" w:hAnsi="仿宋_GB2312" w:cs="仿宋_GB2312" w:eastAsia="仿宋_GB2312"/>
              </w:rPr>
              <w:t xml:space="preserve"> </w:t>
            </w:r>
          </w:p>
        </w:tc>
      </w:tr>
      <w:tr>
        <w:tc>
          <w:tcPr>
            <w:tcW w:type="dxa" w:w="2076"/>
          </w:tcPr>
          <w:p/>
        </w:tc>
        <w:tc>
          <w:tcPr>
            <w:tcW w:type="dxa" w:w="2076"/>
          </w:tcPr>
          <w:p>
            <w:pPr>
              <w:pStyle w:val="null3"/>
            </w:pPr>
            <w:r>
              <w:rPr>
                <w:rFonts w:ascii="仿宋_GB2312" w:hAnsi="仿宋_GB2312" w:cs="仿宋_GB2312" w:eastAsia="仿宋_GB2312"/>
              </w:rPr>
              <w:t>2</w:t>
            </w:r>
          </w:p>
        </w:tc>
        <w:tc>
          <w:tcPr>
            <w:tcW w:type="dxa" w:w="2076"/>
          </w:tcPr>
          <w:p>
            <w:pPr>
              <w:pStyle w:val="null3"/>
            </w:pPr>
            <w:r>
              <w:rPr>
                <w:rFonts w:ascii="仿宋_GB2312" w:hAnsi="仿宋_GB2312" w:cs="仿宋_GB2312" w:eastAsia="仿宋_GB2312"/>
              </w:rPr>
              <w:t>其他要求</w:t>
            </w:r>
          </w:p>
        </w:tc>
        <w:tc>
          <w:tcPr>
            <w:tcW w:type="dxa" w:w="2076"/>
          </w:tcPr>
          <w:p>
            <w:pPr>
              <w:pStyle w:val="null3"/>
            </w:pPr>
            <w:r>
              <w:rPr>
                <w:rFonts w:ascii="仿宋_GB2312" w:hAnsi="仿宋_GB2312" w:cs="仿宋_GB2312" w:eastAsia="仿宋_GB2312"/>
              </w:rPr>
              <w:t>投标人可报名参与多个包投标活动，但最多只能中标一个包。若一单位同时参与多个包，当所投包有一个包在评审中排序第一，则该单位在后续包的评审中只参与打分，不参加排序。</w:t>
            </w:r>
          </w:p>
        </w:tc>
      </w:tr>
    </w:tbl>
    <w:p>
      <w:pPr>
        <w:pStyle w:val="null3"/>
        <w:outlineLvl w:val="3"/>
      </w:pPr>
      <w:r>
        <w:rPr>
          <w:rFonts w:ascii="仿宋_GB2312" w:hAnsi="仿宋_GB2312" w:cs="仿宋_GB2312" w:eastAsia="仿宋_GB2312"/>
          <w:sz w:val="24"/>
          <w:b/>
        </w:rPr>
        <w:t>3.2.3人员配置要求</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详见技术参数与性能指标</w:t>
      </w:r>
    </w:p>
    <w:p>
      <w:pPr>
        <w:pStyle w:val="null3"/>
      </w:pPr>
      <w:r>
        <w:rPr>
          <w:rFonts w:ascii="仿宋_GB2312" w:hAnsi="仿宋_GB2312" w:cs="仿宋_GB2312" w:eastAsia="仿宋_GB2312"/>
        </w:rPr>
        <w:t>采购包2：</w:t>
      </w:r>
    </w:p>
    <w:p>
      <w:pPr>
        <w:pStyle w:val="null3"/>
      </w:pPr>
      <w:r>
        <w:rPr>
          <w:rFonts w:ascii="仿宋_GB2312" w:hAnsi="仿宋_GB2312" w:cs="仿宋_GB2312" w:eastAsia="仿宋_GB2312"/>
        </w:rPr>
        <w:t>详见技术参数与性能指标</w:t>
      </w:r>
    </w:p>
    <w:p>
      <w:pPr>
        <w:pStyle w:val="null3"/>
        <w:outlineLvl w:val="3"/>
      </w:pPr>
      <w:r>
        <w:rPr>
          <w:rFonts w:ascii="仿宋_GB2312" w:hAnsi="仿宋_GB2312" w:cs="仿宋_GB2312" w:eastAsia="仿宋_GB2312"/>
          <w:sz w:val="24"/>
          <w:b/>
        </w:rPr>
        <w:t>3.2.4设施设备配置要求</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详见技术参数与性能指标</w:t>
      </w:r>
    </w:p>
    <w:p>
      <w:pPr>
        <w:pStyle w:val="null3"/>
      </w:pPr>
      <w:r>
        <w:rPr>
          <w:rFonts w:ascii="仿宋_GB2312" w:hAnsi="仿宋_GB2312" w:cs="仿宋_GB2312" w:eastAsia="仿宋_GB2312"/>
        </w:rPr>
        <w:t>采购包2：</w:t>
      </w:r>
    </w:p>
    <w:p>
      <w:pPr>
        <w:pStyle w:val="null3"/>
      </w:pPr>
      <w:r>
        <w:rPr>
          <w:rFonts w:ascii="仿宋_GB2312" w:hAnsi="仿宋_GB2312" w:cs="仿宋_GB2312" w:eastAsia="仿宋_GB2312"/>
        </w:rPr>
        <w:t>详见技术参数与性能指标</w:t>
      </w:r>
    </w:p>
    <w:p>
      <w:pPr>
        <w:pStyle w:val="null3"/>
        <w:outlineLvl w:val="3"/>
      </w:pPr>
      <w:r>
        <w:rPr>
          <w:rFonts w:ascii="仿宋_GB2312" w:hAnsi="仿宋_GB2312" w:cs="仿宋_GB2312" w:eastAsia="仿宋_GB2312"/>
          <w:sz w:val="24"/>
          <w:b/>
        </w:rPr>
        <w:t>3.2.5其他要求</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详见技术参数与性能指标</w:t>
      </w:r>
    </w:p>
    <w:p>
      <w:pPr>
        <w:pStyle w:val="null3"/>
      </w:pPr>
      <w:r>
        <w:rPr>
          <w:rFonts w:ascii="仿宋_GB2312" w:hAnsi="仿宋_GB2312" w:cs="仿宋_GB2312" w:eastAsia="仿宋_GB2312"/>
        </w:rPr>
        <w:t>采购包2：</w:t>
      </w:r>
    </w:p>
    <w:p>
      <w:pPr>
        <w:pStyle w:val="null3"/>
      </w:pPr>
      <w:r>
        <w:rPr>
          <w:rFonts w:ascii="仿宋_GB2312" w:hAnsi="仿宋_GB2312" w:cs="仿宋_GB2312" w:eastAsia="仿宋_GB2312"/>
        </w:rPr>
        <w:t>详见技术参数与性能指标</w:t>
      </w:r>
    </w:p>
    <w:p>
      <w:pPr>
        <w:pStyle w:val="null3"/>
        <w:outlineLvl w:val="2"/>
      </w:pPr>
      <w:r>
        <w:rPr>
          <w:rFonts w:ascii="仿宋_GB2312" w:hAnsi="仿宋_GB2312" w:cs="仿宋_GB2312" w:eastAsia="仿宋_GB2312"/>
          <w:sz w:val="28"/>
          <w:b/>
        </w:rPr>
        <w:t>3.3商务要求</w:t>
      </w:r>
    </w:p>
    <w:p>
      <w:pPr>
        <w:pStyle w:val="null3"/>
        <w:outlineLvl w:val="3"/>
      </w:pPr>
      <w:r>
        <w:rPr>
          <w:rFonts w:ascii="仿宋_GB2312" w:hAnsi="仿宋_GB2312" w:cs="仿宋_GB2312" w:eastAsia="仿宋_GB2312"/>
          <w:sz w:val="24"/>
          <w:b/>
        </w:rPr>
        <w:t>3.3.1服务期限</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自接采购人供货通知后20个日历日内按批供货，供货期限自合同签订后1年</w:t>
      </w:r>
    </w:p>
    <w:p>
      <w:pPr>
        <w:pStyle w:val="null3"/>
      </w:pPr>
      <w:r>
        <w:rPr>
          <w:rFonts w:ascii="仿宋_GB2312" w:hAnsi="仿宋_GB2312" w:cs="仿宋_GB2312" w:eastAsia="仿宋_GB2312"/>
        </w:rPr>
        <w:t>采购包2：</w:t>
      </w:r>
    </w:p>
    <w:p>
      <w:pPr>
        <w:pStyle w:val="null3"/>
      </w:pPr>
      <w:r>
        <w:rPr>
          <w:rFonts w:ascii="仿宋_GB2312" w:hAnsi="仿宋_GB2312" w:cs="仿宋_GB2312" w:eastAsia="仿宋_GB2312"/>
        </w:rPr>
        <w:t>自接采购人供货通知后20个日历日内按批供货，供货期限自合同签订后1年</w:t>
      </w:r>
    </w:p>
    <w:p>
      <w:pPr>
        <w:pStyle w:val="null3"/>
        <w:outlineLvl w:val="3"/>
      </w:pPr>
      <w:r>
        <w:rPr>
          <w:rFonts w:ascii="仿宋_GB2312" w:hAnsi="仿宋_GB2312" w:cs="仿宋_GB2312" w:eastAsia="仿宋_GB2312"/>
          <w:sz w:val="24"/>
          <w:b/>
        </w:rPr>
        <w:t>3.3.2服务地点</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采购人指定地点</w:t>
      </w:r>
    </w:p>
    <w:p>
      <w:pPr>
        <w:pStyle w:val="null3"/>
      </w:pPr>
      <w:r>
        <w:rPr>
          <w:rFonts w:ascii="仿宋_GB2312" w:hAnsi="仿宋_GB2312" w:cs="仿宋_GB2312" w:eastAsia="仿宋_GB2312"/>
        </w:rPr>
        <w:t>采购包2：</w:t>
      </w:r>
    </w:p>
    <w:p>
      <w:pPr>
        <w:pStyle w:val="null3"/>
      </w:pPr>
      <w:r>
        <w:rPr>
          <w:rFonts w:ascii="仿宋_GB2312" w:hAnsi="仿宋_GB2312" w:cs="仿宋_GB2312" w:eastAsia="仿宋_GB2312"/>
        </w:rPr>
        <w:t>采购人指定地点</w:t>
      </w:r>
    </w:p>
    <w:p>
      <w:pPr>
        <w:pStyle w:val="null3"/>
        <w:outlineLvl w:val="3"/>
      </w:pPr>
      <w:r>
        <w:rPr>
          <w:rFonts w:ascii="仿宋_GB2312" w:hAnsi="仿宋_GB2312" w:cs="仿宋_GB2312" w:eastAsia="仿宋_GB2312"/>
          <w:sz w:val="24"/>
          <w:b/>
        </w:rPr>
        <w:t>3.3.3考核（验收）标准和方法</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按照招标文件以及合同要求</w:t>
      </w:r>
    </w:p>
    <w:p>
      <w:pPr>
        <w:pStyle w:val="null3"/>
      </w:pPr>
      <w:r>
        <w:rPr>
          <w:rFonts w:ascii="仿宋_GB2312" w:hAnsi="仿宋_GB2312" w:cs="仿宋_GB2312" w:eastAsia="仿宋_GB2312"/>
        </w:rPr>
        <w:t>采购包2：</w:t>
      </w:r>
    </w:p>
    <w:p>
      <w:pPr>
        <w:pStyle w:val="null3"/>
      </w:pPr>
      <w:r>
        <w:rPr>
          <w:rFonts w:ascii="仿宋_GB2312" w:hAnsi="仿宋_GB2312" w:cs="仿宋_GB2312" w:eastAsia="仿宋_GB2312"/>
        </w:rPr>
        <w:t>按照招标文件以及合同要求</w:t>
      </w:r>
    </w:p>
    <w:p>
      <w:pPr>
        <w:pStyle w:val="null3"/>
        <w:outlineLvl w:val="3"/>
      </w:pPr>
      <w:r>
        <w:rPr>
          <w:rFonts w:ascii="仿宋_GB2312" w:hAnsi="仿宋_GB2312" w:cs="仿宋_GB2312" w:eastAsia="仿宋_GB2312"/>
          <w:sz w:val="24"/>
          <w:b/>
        </w:rPr>
        <w:t>3.3.4支付方式</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分期付款</w:t>
      </w:r>
    </w:p>
    <w:p>
      <w:pPr>
        <w:pStyle w:val="null3"/>
      </w:pPr>
      <w:r>
        <w:rPr>
          <w:rFonts w:ascii="仿宋_GB2312" w:hAnsi="仿宋_GB2312" w:cs="仿宋_GB2312" w:eastAsia="仿宋_GB2312"/>
        </w:rPr>
        <w:t>采购包2：</w:t>
      </w:r>
    </w:p>
    <w:p>
      <w:pPr>
        <w:pStyle w:val="null3"/>
      </w:pPr>
      <w:r>
        <w:rPr>
          <w:rFonts w:ascii="仿宋_GB2312" w:hAnsi="仿宋_GB2312" w:cs="仿宋_GB2312" w:eastAsia="仿宋_GB2312"/>
        </w:rPr>
        <w:t>分期付款</w:t>
      </w:r>
    </w:p>
    <w:p>
      <w:pPr>
        <w:pStyle w:val="null3"/>
        <w:outlineLvl w:val="3"/>
      </w:pPr>
      <w:r>
        <w:rPr>
          <w:rFonts w:ascii="仿宋_GB2312" w:hAnsi="仿宋_GB2312" w:cs="仿宋_GB2312" w:eastAsia="仿宋_GB2312"/>
          <w:sz w:val="24"/>
          <w:b/>
        </w:rPr>
        <w:t>3.3.5.支付约定</w:t>
      </w:r>
    </w:p>
    <w:p>
      <w:pPr>
        <w:pStyle w:val="null3"/>
      </w:pPr>
      <w:r>
        <w:rPr>
          <w:rFonts w:ascii="仿宋_GB2312" w:hAnsi="仿宋_GB2312" w:cs="仿宋_GB2312" w:eastAsia="仿宋_GB2312"/>
        </w:rPr>
        <w:t>采购包1：</w:t>
      </w:r>
      <w:r>
        <w:rPr>
          <w:rFonts w:ascii="仿宋_GB2312" w:hAnsi="仿宋_GB2312" w:cs="仿宋_GB2312" w:eastAsia="仿宋_GB2312"/>
        </w:rPr>
        <w:t xml:space="preserve"> 付款条件说明： </w:t>
      </w:r>
      <w:r>
        <w:rPr>
          <w:rFonts w:ascii="仿宋_GB2312" w:hAnsi="仿宋_GB2312" w:cs="仿宋_GB2312" w:eastAsia="仿宋_GB2312"/>
        </w:rPr>
        <w:t>合同签订后 ，达到付款条件起</w:t>
      </w:r>
      <w:r>
        <w:rPr>
          <w:rFonts w:ascii="仿宋_GB2312" w:hAnsi="仿宋_GB2312" w:cs="仿宋_GB2312" w:eastAsia="仿宋_GB2312"/>
        </w:rPr>
        <w:t xml:space="preserve"> ，达到付款条件起 </w:t>
      </w:r>
      <w:r>
        <w:rPr>
          <w:rFonts w:ascii="仿宋_GB2312" w:hAnsi="仿宋_GB2312" w:cs="仿宋_GB2312" w:eastAsia="仿宋_GB2312"/>
        </w:rPr>
        <w:t>5</w:t>
      </w:r>
      <w:r>
        <w:rPr>
          <w:rFonts w:ascii="仿宋_GB2312" w:hAnsi="仿宋_GB2312" w:cs="仿宋_GB2312" w:eastAsia="仿宋_GB2312"/>
        </w:rPr>
        <w:t xml:space="preserve"> 日内，支付合同总金额的 </w:t>
      </w:r>
      <w:r>
        <w:rPr>
          <w:rFonts w:ascii="仿宋_GB2312" w:hAnsi="仿宋_GB2312" w:cs="仿宋_GB2312" w:eastAsia="仿宋_GB2312"/>
        </w:rPr>
        <w:t>60.00</w:t>
      </w:r>
      <w:r>
        <w:rPr>
          <w:rFonts w:ascii="仿宋_GB2312" w:hAnsi="仿宋_GB2312" w:cs="仿宋_GB2312" w:eastAsia="仿宋_GB2312"/>
        </w:rPr>
        <w:t>%。</w:t>
      </w:r>
    </w:p>
    <w:p>
      <w:pPr>
        <w:pStyle w:val="null3"/>
      </w:pPr>
      <w:r>
        <w:rPr>
          <w:rFonts w:ascii="仿宋_GB2312" w:hAnsi="仿宋_GB2312" w:cs="仿宋_GB2312" w:eastAsia="仿宋_GB2312"/>
        </w:rPr>
        <w:t>采购包1：</w:t>
      </w:r>
      <w:r>
        <w:rPr>
          <w:rFonts w:ascii="仿宋_GB2312" w:hAnsi="仿宋_GB2312" w:cs="仿宋_GB2312" w:eastAsia="仿宋_GB2312"/>
        </w:rPr>
        <w:t xml:space="preserve"> 付款条件说明： </w:t>
      </w:r>
      <w:r>
        <w:rPr>
          <w:rFonts w:ascii="仿宋_GB2312" w:hAnsi="仿宋_GB2312" w:cs="仿宋_GB2312" w:eastAsia="仿宋_GB2312"/>
        </w:rPr>
        <w:t xml:space="preserve">全部产品到货经查验合格后 ，达到付款条件起 </w:t>
      </w:r>
      <w:r>
        <w:rPr>
          <w:rFonts w:ascii="仿宋_GB2312" w:hAnsi="仿宋_GB2312" w:cs="仿宋_GB2312" w:eastAsia="仿宋_GB2312"/>
        </w:rPr>
        <w:t xml:space="preserve"> ，达到付款条件起 </w:t>
      </w:r>
      <w:r>
        <w:rPr>
          <w:rFonts w:ascii="仿宋_GB2312" w:hAnsi="仿宋_GB2312" w:cs="仿宋_GB2312" w:eastAsia="仿宋_GB2312"/>
        </w:rPr>
        <w:t>10</w:t>
      </w:r>
      <w:r>
        <w:rPr>
          <w:rFonts w:ascii="仿宋_GB2312" w:hAnsi="仿宋_GB2312" w:cs="仿宋_GB2312" w:eastAsia="仿宋_GB2312"/>
        </w:rPr>
        <w:t xml:space="preserve"> 日内，支付合同总金额的 </w:t>
      </w:r>
      <w:r>
        <w:rPr>
          <w:rFonts w:ascii="仿宋_GB2312" w:hAnsi="仿宋_GB2312" w:cs="仿宋_GB2312" w:eastAsia="仿宋_GB2312"/>
        </w:rPr>
        <w:t>40.00</w:t>
      </w:r>
      <w:r>
        <w:rPr>
          <w:rFonts w:ascii="仿宋_GB2312" w:hAnsi="仿宋_GB2312" w:cs="仿宋_GB2312" w:eastAsia="仿宋_GB2312"/>
        </w:rPr>
        <w:t>%。</w:t>
      </w:r>
    </w:p>
    <w:p>
      <w:pPr>
        <w:pStyle w:val="null3"/>
      </w:pPr>
      <w:r>
        <w:rPr>
          <w:rFonts w:ascii="仿宋_GB2312" w:hAnsi="仿宋_GB2312" w:cs="仿宋_GB2312" w:eastAsia="仿宋_GB2312"/>
        </w:rPr>
        <w:t>采购包2：</w:t>
      </w:r>
      <w:r>
        <w:rPr>
          <w:rFonts w:ascii="仿宋_GB2312" w:hAnsi="仿宋_GB2312" w:cs="仿宋_GB2312" w:eastAsia="仿宋_GB2312"/>
        </w:rPr>
        <w:t xml:space="preserve"> 付款条件说明： </w:t>
      </w:r>
      <w:r>
        <w:rPr>
          <w:rFonts w:ascii="仿宋_GB2312" w:hAnsi="仿宋_GB2312" w:cs="仿宋_GB2312" w:eastAsia="仿宋_GB2312"/>
        </w:rPr>
        <w:t>合同签订后 ，达到付款条件起</w:t>
      </w:r>
      <w:r>
        <w:rPr>
          <w:rFonts w:ascii="仿宋_GB2312" w:hAnsi="仿宋_GB2312" w:cs="仿宋_GB2312" w:eastAsia="仿宋_GB2312"/>
        </w:rPr>
        <w:t xml:space="preserve"> ，达到付款条件起 </w:t>
      </w:r>
      <w:r>
        <w:rPr>
          <w:rFonts w:ascii="仿宋_GB2312" w:hAnsi="仿宋_GB2312" w:cs="仿宋_GB2312" w:eastAsia="仿宋_GB2312"/>
        </w:rPr>
        <w:t>5</w:t>
      </w:r>
      <w:r>
        <w:rPr>
          <w:rFonts w:ascii="仿宋_GB2312" w:hAnsi="仿宋_GB2312" w:cs="仿宋_GB2312" w:eastAsia="仿宋_GB2312"/>
        </w:rPr>
        <w:t xml:space="preserve"> 日内，支付合同总金额的 </w:t>
      </w:r>
      <w:r>
        <w:rPr>
          <w:rFonts w:ascii="仿宋_GB2312" w:hAnsi="仿宋_GB2312" w:cs="仿宋_GB2312" w:eastAsia="仿宋_GB2312"/>
        </w:rPr>
        <w:t>60.00</w:t>
      </w:r>
      <w:r>
        <w:rPr>
          <w:rFonts w:ascii="仿宋_GB2312" w:hAnsi="仿宋_GB2312" w:cs="仿宋_GB2312" w:eastAsia="仿宋_GB2312"/>
        </w:rPr>
        <w:t>%。</w:t>
      </w:r>
    </w:p>
    <w:p>
      <w:pPr>
        <w:pStyle w:val="null3"/>
      </w:pPr>
      <w:r>
        <w:rPr>
          <w:rFonts w:ascii="仿宋_GB2312" w:hAnsi="仿宋_GB2312" w:cs="仿宋_GB2312" w:eastAsia="仿宋_GB2312"/>
        </w:rPr>
        <w:t>采购包2：</w:t>
      </w:r>
      <w:r>
        <w:rPr>
          <w:rFonts w:ascii="仿宋_GB2312" w:hAnsi="仿宋_GB2312" w:cs="仿宋_GB2312" w:eastAsia="仿宋_GB2312"/>
        </w:rPr>
        <w:t xml:space="preserve"> 付款条件说明： </w:t>
      </w:r>
      <w:r>
        <w:rPr>
          <w:rFonts w:ascii="仿宋_GB2312" w:hAnsi="仿宋_GB2312" w:cs="仿宋_GB2312" w:eastAsia="仿宋_GB2312"/>
        </w:rPr>
        <w:t xml:space="preserve"> 全部产品到货经查验合格后 ，达到付款条件起</w:t>
      </w:r>
      <w:r>
        <w:rPr>
          <w:rFonts w:ascii="仿宋_GB2312" w:hAnsi="仿宋_GB2312" w:cs="仿宋_GB2312" w:eastAsia="仿宋_GB2312"/>
        </w:rPr>
        <w:t xml:space="preserve"> ，达到付款条件起 </w:t>
      </w:r>
      <w:r>
        <w:rPr>
          <w:rFonts w:ascii="仿宋_GB2312" w:hAnsi="仿宋_GB2312" w:cs="仿宋_GB2312" w:eastAsia="仿宋_GB2312"/>
        </w:rPr>
        <w:t>10</w:t>
      </w:r>
      <w:r>
        <w:rPr>
          <w:rFonts w:ascii="仿宋_GB2312" w:hAnsi="仿宋_GB2312" w:cs="仿宋_GB2312" w:eastAsia="仿宋_GB2312"/>
        </w:rPr>
        <w:t xml:space="preserve"> 日内，支付合同总金额的 </w:t>
      </w:r>
      <w:r>
        <w:rPr>
          <w:rFonts w:ascii="仿宋_GB2312" w:hAnsi="仿宋_GB2312" w:cs="仿宋_GB2312" w:eastAsia="仿宋_GB2312"/>
        </w:rPr>
        <w:t>40.00</w:t>
      </w:r>
      <w:r>
        <w:rPr>
          <w:rFonts w:ascii="仿宋_GB2312" w:hAnsi="仿宋_GB2312" w:cs="仿宋_GB2312" w:eastAsia="仿宋_GB2312"/>
        </w:rPr>
        <w:t>%。</w:t>
      </w:r>
    </w:p>
    <w:p>
      <w:pPr>
        <w:pStyle w:val="null3"/>
        <w:outlineLvl w:val="3"/>
      </w:pPr>
      <w:r>
        <w:rPr>
          <w:rFonts w:ascii="仿宋_GB2312" w:hAnsi="仿宋_GB2312" w:cs="仿宋_GB2312" w:eastAsia="仿宋_GB2312"/>
          <w:sz w:val="24"/>
          <w:b/>
        </w:rPr>
        <w:t>3.3.6违约责任与解决争议的方法</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按照招标文件以及合同要求</w:t>
      </w:r>
    </w:p>
    <w:p>
      <w:pPr>
        <w:pStyle w:val="null3"/>
      </w:pPr>
      <w:r>
        <w:rPr>
          <w:rFonts w:ascii="仿宋_GB2312" w:hAnsi="仿宋_GB2312" w:cs="仿宋_GB2312" w:eastAsia="仿宋_GB2312"/>
        </w:rPr>
        <w:t>采购包2：</w:t>
      </w:r>
    </w:p>
    <w:p>
      <w:pPr>
        <w:pStyle w:val="null3"/>
      </w:pPr>
      <w:r>
        <w:rPr>
          <w:rFonts w:ascii="仿宋_GB2312" w:hAnsi="仿宋_GB2312" w:cs="仿宋_GB2312" w:eastAsia="仿宋_GB2312"/>
        </w:rPr>
        <w:t>按照招标文件以及合同要求</w:t>
      </w:r>
    </w:p>
    <w:p>
      <w:pPr>
        <w:pStyle w:val="null3"/>
        <w:jc w:val="left"/>
        <w:outlineLvl w:val="2"/>
      </w:pPr>
      <w:r>
        <w:rPr>
          <w:rFonts w:ascii="仿宋_GB2312" w:hAnsi="仿宋_GB2312" w:cs="仿宋_GB2312" w:eastAsia="仿宋_GB2312"/>
          <w:sz w:val="28"/>
          <w:b/>
        </w:rPr>
        <w:t>3.5其他要求</w:t>
      </w:r>
    </w:p>
    <w:p>
      <w:pPr>
        <w:pStyle w:val="null3"/>
      </w:pPr>
      <w:r>
        <w:rPr>
          <w:rFonts w:ascii="仿宋_GB2312" w:hAnsi="仿宋_GB2312" w:cs="仿宋_GB2312" w:eastAsia="仿宋_GB2312"/>
        </w:rPr>
        <w:t>1、样品递交地点：西安市莲湖区环城西路南段元晟合中心6层。 2、投标保证金注意事项：（1）投标保证金须从投标人户名支付，如从个人户名或非投标人户名支付，将被拒绝，视为自动放弃投标权利（该个人是投标人的情形除外）；以保函形式交纳投标保证金的，投标人应在投标截止时间前将保函扫描成清晰的PDF文件，发送至邮箱2559647209@qq.com（邮件命名：项目编号），并将保函原件单独递交至代理机构财务；投标人应在投标文件中附保函复印件。保函必须由具有开具投标保函资格的单位开具；若供应商违约，开具保函单位承担连带责任；（2）投标保证金的提交金额、时间不满足项目要求的，投标无效；（3）投标保证金以采购代理机构到账凭证为准，投标人无需更换交纳凭证，由采购代理机构统一提供。（4）未按指定账户提交的，我公司将退回，投标人须在文件递交截止时间前按照指定账户再次提交。</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第四章 资格审查</w:t>
      </w:r>
    </w:p>
    <w:p>
      <w:pPr>
        <w:pStyle w:val="null3"/>
        <w:ind w:firstLine="480"/>
      </w:pPr>
      <w:r>
        <w:rPr>
          <w:rFonts w:ascii="仿宋_GB2312" w:hAnsi="仿宋_GB2312" w:cs="仿宋_GB2312" w:eastAsia="仿宋_GB2312"/>
        </w:rPr>
        <w:t xml:space="preserve"> 资格审查由采购人或代理机构组建的资格审查小组依据法律法规和招标文件的规定，对投标文件中的资格证明等进行审查，以确定投标人是否具备投标资格，并出具资格审查报告。</w:t>
      </w:r>
    </w:p>
    <w:p>
      <w:pPr>
        <w:pStyle w:val="null3"/>
        <w:ind w:firstLine="480"/>
      </w:pPr>
      <w:r>
        <w:rPr>
          <w:rFonts w:ascii="仿宋_GB2312" w:hAnsi="仿宋_GB2312" w:cs="仿宋_GB2312" w:eastAsia="仿宋_GB2312"/>
        </w:rPr>
        <w:t>资格审查标准及要求如下：</w:t>
      </w:r>
    </w:p>
    <w:p>
      <w:pPr>
        <w:pStyle w:val="null3"/>
        <w:outlineLvl w:val="2"/>
      </w:pPr>
      <w:r>
        <w:rPr>
          <w:rFonts w:ascii="仿宋_GB2312" w:hAnsi="仿宋_GB2312" w:cs="仿宋_GB2312" w:eastAsia="仿宋_GB2312"/>
          <w:sz w:val="28"/>
          <w:b/>
        </w:rPr>
        <w:t>4.1一般资格审查</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 xml:space="preserve"> 序号</w:t>
            </w:r>
          </w:p>
        </w:tc>
        <w:tc>
          <w:tcPr>
            <w:tcW w:type="dxa" w:w="2492"/>
          </w:tcPr>
          <w:p>
            <w:pPr>
              <w:pStyle w:val="null3"/>
            </w:pPr>
            <w:r>
              <w:rPr>
                <w:rFonts w:ascii="仿宋_GB2312" w:hAnsi="仿宋_GB2312" w:cs="仿宋_GB2312" w:eastAsia="仿宋_GB2312"/>
              </w:rPr>
              <w:t xml:space="preserve"> 资格审查要求概况</w:t>
            </w:r>
          </w:p>
        </w:tc>
        <w:tc>
          <w:tcPr>
            <w:tcW w:type="dxa" w:w="3322"/>
          </w:tcPr>
          <w:p>
            <w:pPr>
              <w:pStyle w:val="null3"/>
            </w:pPr>
            <w:r>
              <w:rPr>
                <w:rFonts w:ascii="仿宋_GB2312" w:hAnsi="仿宋_GB2312" w:cs="仿宋_GB2312" w:eastAsia="仿宋_GB2312"/>
              </w:rPr>
              <w:t xml:space="preserve"> 评审点具体描述</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供应商应具备《中华人民共和国政府采购法》第二十二条规定的条件</w:t>
            </w:r>
          </w:p>
        </w:tc>
        <w:tc>
          <w:tcPr>
            <w:tcW w:type="dxa" w:w="3322"/>
          </w:tcPr>
          <w:p>
            <w:pPr>
              <w:pStyle w:val="null3"/>
            </w:pPr>
            <w:r>
              <w:rPr>
                <w:rFonts w:ascii="仿宋_GB2312" w:hAnsi="仿宋_GB2312" w:cs="仿宋_GB2312" w:eastAsia="仿宋_GB2312"/>
              </w:rPr>
              <w:t>①具有独立承担民事责任能力的法人、其他组织或自然人，提供合法有效的统一社会信用代码营业执照（事业单位法人证书/专业服务机构执业许可证/民办非企业单位登记证书，自然人提供身份证）； ②税收缴纳证明：法人提供自2024年3月1日以来至少一个月的纳税证明或完税证明，纳税证明或完税证明上应有代收机构或税务机关的公章或业务专用章；其他组织和自然人提供自2024年3月1日以来至少一个月缴纳税收的凭据；依法免税的或者依法不需缴税的投标人应提供相关文件证明； ③社会保障资金缴纳证明：提供自2024年3月1日以来至少一个月已缴纳的社会保障资金的证明（社会保障资金缴存单据或社保机构开具的社会保险参保缴费情况证明等）；依法不需要缴纳社会保障资金的投标人应提供相关文件证明； ④提供具有履行本合同所必需的设备和专业技术能力的声明； ⑤参加本次政府采购活动前3年内在经营活动中没有重大违纪，以及未被列入失信被执行人、重大税收违法案件当事人名单、政府采购严重违法失信行为记录名单的书面声明。 注：以上②-③项，提供“陕西省政府采购供应商信用承诺书”的，可不再提供其他证明文件。投标人需在项目电子化交易系统中按要求上传相应证明文件并进行电子签章。</w:t>
            </w:r>
          </w:p>
        </w:tc>
        <w:tc>
          <w:tcPr>
            <w:tcW w:type="dxa" w:w="1661"/>
          </w:tcPr>
          <w:p>
            <w:pPr>
              <w:pStyle w:val="null3"/>
            </w:pPr>
            <w:r>
              <w:rPr>
                <w:rFonts w:ascii="仿宋_GB2312" w:hAnsi="仿宋_GB2312" w:cs="仿宋_GB2312" w:eastAsia="仿宋_GB2312"/>
              </w:rPr>
              <w:t>投标函 1.资格证明文件.docx</w:t>
            </w:r>
          </w:p>
        </w:tc>
      </w:tr>
      <w:tr>
        <w:tc>
          <w:tcPr>
            <w:tcW w:type="dxa" w:w="831"/>
          </w:tcPr>
          <w:p>
            <w:pPr>
              <w:pStyle w:val="null3"/>
            </w:pPr>
            <w:r>
              <w:rPr>
                <w:rFonts w:ascii="仿宋_GB2312" w:hAnsi="仿宋_GB2312" w:cs="仿宋_GB2312" w:eastAsia="仿宋_GB2312"/>
              </w:rPr>
              <w:t>2</w:t>
            </w:r>
          </w:p>
        </w:tc>
        <w:tc>
          <w:tcPr>
            <w:tcW w:type="dxa" w:w="2492"/>
          </w:tcPr>
          <w:p>
            <w:pPr>
              <w:pStyle w:val="null3"/>
            </w:pPr>
            <w:r>
              <w:rPr>
                <w:rFonts w:ascii="仿宋_GB2312" w:hAnsi="仿宋_GB2312" w:cs="仿宋_GB2312" w:eastAsia="仿宋_GB2312"/>
              </w:rPr>
              <w:t>供应商应提供健全的财务会计制度的证明材料；</w:t>
            </w:r>
          </w:p>
        </w:tc>
        <w:tc>
          <w:tcPr>
            <w:tcW w:type="dxa" w:w="3322"/>
          </w:tcPr>
          <w:p>
            <w:pPr>
              <w:pStyle w:val="null3"/>
            </w:pPr>
            <w:r>
              <w:rPr>
                <w:rFonts w:ascii="仿宋_GB2312" w:hAnsi="仿宋_GB2312" w:cs="仿宋_GB2312" w:eastAsia="仿宋_GB2312"/>
              </w:rPr>
              <w:t>财务状况报告：法人提供会计师事务所出具有效的2023年度或2024年度审计报告（成立时间至提交投标文件截止时间不足一年的可提供成立后任意时段的资产负债表），或提交自2024年9月1日以来银行出具的资信证明，或信用担保机构出具的投标担保函（以上三种形式的资料提供任何一种即可）；其他组织和自然人提供银行出具的资信证明或财务报表。 注：此项资格提供“陕西省政府采购供应商信用承诺书”的，可不再提供其他证明文件。 投标人需在项目电子化交易系统中按要求上传相应证明文件并进行电子签章。</w:t>
            </w:r>
          </w:p>
        </w:tc>
        <w:tc>
          <w:tcPr>
            <w:tcW w:type="dxa" w:w="1661"/>
          </w:tcPr>
          <w:p>
            <w:pPr>
              <w:pStyle w:val="null3"/>
            </w:pPr>
            <w:r>
              <w:rPr>
                <w:rFonts w:ascii="仿宋_GB2312" w:hAnsi="仿宋_GB2312" w:cs="仿宋_GB2312" w:eastAsia="仿宋_GB2312"/>
              </w:rPr>
              <w:t>1.资格证明文件.docx</w:t>
            </w:r>
          </w:p>
        </w:tc>
      </w:tr>
      <w:tr>
        <w:tc>
          <w:tcPr>
            <w:tcW w:type="dxa" w:w="831"/>
          </w:tcPr>
          <w:p>
            <w:pPr>
              <w:pStyle w:val="null3"/>
            </w:pPr>
            <w:r>
              <w:rPr>
                <w:rFonts w:ascii="仿宋_GB2312" w:hAnsi="仿宋_GB2312" w:cs="仿宋_GB2312" w:eastAsia="仿宋_GB2312"/>
              </w:rPr>
              <w:t>3</w:t>
            </w:r>
          </w:p>
        </w:tc>
        <w:tc>
          <w:tcPr>
            <w:tcW w:type="dxa" w:w="2492"/>
          </w:tcPr>
          <w:p>
            <w:pPr>
              <w:pStyle w:val="null3"/>
            </w:pPr>
            <w:r>
              <w:rPr>
                <w:rFonts w:ascii="仿宋_GB2312" w:hAnsi="仿宋_GB2312" w:cs="仿宋_GB2312" w:eastAsia="仿宋_GB2312"/>
              </w:rPr>
              <w:t>单位负责人为同一人或者存在直接控股、管理关系的不同供应商不得参加同一合同项下的政府采购活动； 为本项目提供整体设计、规范编制或者项目管理、监理、检测等服务的供应商，不得再参加该采购项目的其他采购活动。</w:t>
            </w:r>
          </w:p>
        </w:tc>
        <w:tc>
          <w:tcPr>
            <w:tcW w:type="dxa" w:w="3322"/>
          </w:tcPr>
          <w:p>
            <w:pPr>
              <w:pStyle w:val="null3"/>
            </w:pPr>
            <w:r>
              <w:rPr>
                <w:rFonts w:ascii="仿宋_GB2312" w:hAnsi="仿宋_GB2312" w:cs="仿宋_GB2312" w:eastAsia="仿宋_GB2312"/>
              </w:rPr>
              <w:t>投标人需在项目电子化交易系统中按要求填写《投标函》完成承诺并进行电子签章、提供直接控股和直接管理关系清单。若与其他投标人存在单位负责人为同一人或者存在直接控股、管理关系的，则投标无效。</w:t>
            </w:r>
          </w:p>
        </w:tc>
        <w:tc>
          <w:tcPr>
            <w:tcW w:type="dxa" w:w="1661"/>
          </w:tcPr>
          <w:p>
            <w:pPr>
              <w:pStyle w:val="null3"/>
            </w:pPr>
            <w:r>
              <w:rPr>
                <w:rFonts w:ascii="仿宋_GB2312" w:hAnsi="仿宋_GB2312" w:cs="仿宋_GB2312" w:eastAsia="仿宋_GB2312"/>
              </w:rPr>
              <w:t>投标函 1.资格证明文件.docx</w:t>
            </w:r>
          </w:p>
        </w:tc>
      </w:tr>
    </w:tbl>
    <w:p>
      <w:pPr>
        <w:pStyle w:val="null3"/>
      </w:pPr>
      <w:r>
        <w:rPr>
          <w:rFonts w:ascii="仿宋_GB2312" w:hAnsi="仿宋_GB2312" w:cs="仿宋_GB2312" w:eastAsia="仿宋_GB2312"/>
        </w:rPr>
        <w:t>采购包2：</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 xml:space="preserve"> 序号</w:t>
            </w:r>
          </w:p>
        </w:tc>
        <w:tc>
          <w:tcPr>
            <w:tcW w:type="dxa" w:w="2492"/>
          </w:tcPr>
          <w:p>
            <w:pPr>
              <w:pStyle w:val="null3"/>
            </w:pPr>
            <w:r>
              <w:rPr>
                <w:rFonts w:ascii="仿宋_GB2312" w:hAnsi="仿宋_GB2312" w:cs="仿宋_GB2312" w:eastAsia="仿宋_GB2312"/>
              </w:rPr>
              <w:t xml:space="preserve"> 资格审查要求概况</w:t>
            </w:r>
          </w:p>
        </w:tc>
        <w:tc>
          <w:tcPr>
            <w:tcW w:type="dxa" w:w="3322"/>
          </w:tcPr>
          <w:p>
            <w:pPr>
              <w:pStyle w:val="null3"/>
            </w:pPr>
            <w:r>
              <w:rPr>
                <w:rFonts w:ascii="仿宋_GB2312" w:hAnsi="仿宋_GB2312" w:cs="仿宋_GB2312" w:eastAsia="仿宋_GB2312"/>
              </w:rPr>
              <w:t xml:space="preserve"> 评审点具体描述</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供应商应具备《中华人民共和国政府采购法》第二十二条规定的条件</w:t>
            </w:r>
          </w:p>
        </w:tc>
        <w:tc>
          <w:tcPr>
            <w:tcW w:type="dxa" w:w="3322"/>
          </w:tcPr>
          <w:p>
            <w:pPr>
              <w:pStyle w:val="null3"/>
            </w:pPr>
            <w:r>
              <w:rPr>
                <w:rFonts w:ascii="仿宋_GB2312" w:hAnsi="仿宋_GB2312" w:cs="仿宋_GB2312" w:eastAsia="仿宋_GB2312"/>
              </w:rPr>
              <w:t>①具有独立承担民事责任能力的法人、其他组织或自然人，提供合法有效的统一社会信用代码营业执照（事业单位法人证书/专业服务机构执业许可证/民办非企业单位登记证书，自然人提供身份证）； ②税收缴纳证明：法人提供自2024年3月1日以来至少一个月的纳税证明或完税证明，纳税证明或完税证明上应有代收机构或税务机关的公章或业务专用章；其他组织和自然人提供自2024年3月1日以来至少一个月缴纳税收的凭据；依法免税的或者依法不需缴税的投标人应提供相关文件证明； ③社会保障资金缴纳证明：提供自2024年3月1日以来至少一个月已缴纳的社会保障资金的证明（社会保障资金缴存单据或社保机构开具的社会保险参保缴费情况证明等）；依法不需要缴纳社会保障资金的投标人应提供相关文件证明； ④提供具有履行本合同所必需的设备和专业技术能力的声明； ⑤参加本次政府采购活动前3年内在经营活动中没有重大违纪，以及未被列入失信被执行人、重大税收违法案件当事人名单、政府采购严重违法失信行为记录名单的书面声明。 注：以上②-③项，提供“陕西省政府采购供应商信用承诺书”的，可不再提供其他证明文件。投标人需在项目电子化交易系统中按要求上传相应证明文件并进行电子签章。</w:t>
            </w:r>
          </w:p>
        </w:tc>
        <w:tc>
          <w:tcPr>
            <w:tcW w:type="dxa" w:w="1661"/>
          </w:tcPr>
          <w:p>
            <w:pPr>
              <w:pStyle w:val="null3"/>
            </w:pPr>
            <w:r>
              <w:rPr>
                <w:rFonts w:ascii="仿宋_GB2312" w:hAnsi="仿宋_GB2312" w:cs="仿宋_GB2312" w:eastAsia="仿宋_GB2312"/>
              </w:rPr>
              <w:t>投标函 1.资格证明文件.docx</w:t>
            </w:r>
          </w:p>
        </w:tc>
      </w:tr>
      <w:tr>
        <w:tc>
          <w:tcPr>
            <w:tcW w:type="dxa" w:w="831"/>
          </w:tcPr>
          <w:p>
            <w:pPr>
              <w:pStyle w:val="null3"/>
            </w:pPr>
            <w:r>
              <w:rPr>
                <w:rFonts w:ascii="仿宋_GB2312" w:hAnsi="仿宋_GB2312" w:cs="仿宋_GB2312" w:eastAsia="仿宋_GB2312"/>
              </w:rPr>
              <w:t>2</w:t>
            </w:r>
          </w:p>
        </w:tc>
        <w:tc>
          <w:tcPr>
            <w:tcW w:type="dxa" w:w="2492"/>
          </w:tcPr>
          <w:p>
            <w:pPr>
              <w:pStyle w:val="null3"/>
            </w:pPr>
            <w:r>
              <w:rPr>
                <w:rFonts w:ascii="仿宋_GB2312" w:hAnsi="仿宋_GB2312" w:cs="仿宋_GB2312" w:eastAsia="仿宋_GB2312"/>
              </w:rPr>
              <w:t>供应商应提供健全的财务会计制度的证明材料；</w:t>
            </w:r>
          </w:p>
        </w:tc>
        <w:tc>
          <w:tcPr>
            <w:tcW w:type="dxa" w:w="3322"/>
          </w:tcPr>
          <w:p>
            <w:pPr>
              <w:pStyle w:val="null3"/>
            </w:pPr>
            <w:r>
              <w:rPr>
                <w:rFonts w:ascii="仿宋_GB2312" w:hAnsi="仿宋_GB2312" w:cs="仿宋_GB2312" w:eastAsia="仿宋_GB2312"/>
              </w:rPr>
              <w:t>财务状况报告：法人提供会计师事务所出具有效的2023年度或2024年度审计报告（成立时间至提交投标文件截止时间不足一年的可提供成立后任意时段的资产负债表），或提交自2024年9月1日以来银行出具的资信证明，或信用担保机构出具的投标担保函（以上三种形式的资料提供任何一种即可）；其他组织和自然人提供银行出具的资信证明或财务报表。 注：此项资格提供“陕西省政府采购供应商信用承诺书”的，可不再提供其他证明文件。 投标人需在项目电子化交易系统中按要求上传相应证明文件并进行电子签章。</w:t>
            </w:r>
          </w:p>
        </w:tc>
        <w:tc>
          <w:tcPr>
            <w:tcW w:type="dxa" w:w="1661"/>
          </w:tcPr>
          <w:p>
            <w:pPr>
              <w:pStyle w:val="null3"/>
            </w:pPr>
            <w:r>
              <w:rPr>
                <w:rFonts w:ascii="仿宋_GB2312" w:hAnsi="仿宋_GB2312" w:cs="仿宋_GB2312" w:eastAsia="仿宋_GB2312"/>
              </w:rPr>
              <w:t>1.资格证明文件.docx</w:t>
            </w:r>
          </w:p>
        </w:tc>
      </w:tr>
      <w:tr>
        <w:tc>
          <w:tcPr>
            <w:tcW w:type="dxa" w:w="831"/>
          </w:tcPr>
          <w:p>
            <w:pPr>
              <w:pStyle w:val="null3"/>
            </w:pPr>
            <w:r>
              <w:rPr>
                <w:rFonts w:ascii="仿宋_GB2312" w:hAnsi="仿宋_GB2312" w:cs="仿宋_GB2312" w:eastAsia="仿宋_GB2312"/>
              </w:rPr>
              <w:t>3</w:t>
            </w:r>
          </w:p>
        </w:tc>
        <w:tc>
          <w:tcPr>
            <w:tcW w:type="dxa" w:w="2492"/>
          </w:tcPr>
          <w:p>
            <w:pPr>
              <w:pStyle w:val="null3"/>
            </w:pPr>
            <w:r>
              <w:rPr>
                <w:rFonts w:ascii="仿宋_GB2312" w:hAnsi="仿宋_GB2312" w:cs="仿宋_GB2312" w:eastAsia="仿宋_GB2312"/>
              </w:rPr>
              <w:t>单位负责人为同一人或者存在直接控股、管理关系的不同供应商不得参加同一合同项下的政府采购活动； 为本项目提供整体设计、规范编制或者项目管理、监理、检测等服务的供应商，不得再参加该采购项目的其他采购活动。</w:t>
            </w:r>
          </w:p>
        </w:tc>
        <w:tc>
          <w:tcPr>
            <w:tcW w:type="dxa" w:w="3322"/>
          </w:tcPr>
          <w:p>
            <w:pPr>
              <w:pStyle w:val="null3"/>
            </w:pPr>
            <w:r>
              <w:rPr>
                <w:rFonts w:ascii="仿宋_GB2312" w:hAnsi="仿宋_GB2312" w:cs="仿宋_GB2312" w:eastAsia="仿宋_GB2312"/>
              </w:rPr>
              <w:t>投标人需在项目电子化交易系统中按要求填写《投标函》完成承诺并进行电子签章、提供直接控股和直接管理关系清单。若与其他投标人存在单位负责人为同一人或者存在直接控股、管理关系的，则投标无效。</w:t>
            </w:r>
          </w:p>
        </w:tc>
        <w:tc>
          <w:tcPr>
            <w:tcW w:type="dxa" w:w="1661"/>
          </w:tcPr>
          <w:p>
            <w:pPr>
              <w:pStyle w:val="null3"/>
            </w:pPr>
            <w:r>
              <w:rPr>
                <w:rFonts w:ascii="仿宋_GB2312" w:hAnsi="仿宋_GB2312" w:cs="仿宋_GB2312" w:eastAsia="仿宋_GB2312"/>
              </w:rPr>
              <w:t>投标函 1.资格证明文件.docx</w:t>
            </w:r>
          </w:p>
        </w:tc>
      </w:tr>
    </w:tbl>
    <w:p>
      <w:pPr>
        <w:pStyle w:val="null3"/>
        <w:outlineLvl w:val="2"/>
      </w:pPr>
      <w:r>
        <w:rPr>
          <w:rFonts w:ascii="仿宋_GB2312" w:hAnsi="仿宋_GB2312" w:cs="仿宋_GB2312" w:eastAsia="仿宋_GB2312"/>
          <w:sz w:val="28"/>
          <w:b/>
        </w:rPr>
        <w:t>4.2特殊资格审查</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 xml:space="preserve"> 序号</w:t>
            </w:r>
          </w:p>
        </w:tc>
        <w:tc>
          <w:tcPr>
            <w:tcW w:type="dxa" w:w="2492"/>
          </w:tcPr>
          <w:p>
            <w:pPr>
              <w:pStyle w:val="null3"/>
            </w:pPr>
            <w:r>
              <w:rPr>
                <w:rFonts w:ascii="仿宋_GB2312" w:hAnsi="仿宋_GB2312" w:cs="仿宋_GB2312" w:eastAsia="仿宋_GB2312"/>
              </w:rPr>
              <w:t xml:space="preserve"> 资格审查要求概况</w:t>
            </w:r>
          </w:p>
        </w:tc>
        <w:tc>
          <w:tcPr>
            <w:tcW w:type="dxa" w:w="3322"/>
          </w:tcPr>
          <w:p>
            <w:pPr>
              <w:pStyle w:val="null3"/>
            </w:pPr>
            <w:r>
              <w:rPr>
                <w:rFonts w:ascii="仿宋_GB2312" w:hAnsi="仿宋_GB2312" w:cs="仿宋_GB2312" w:eastAsia="仿宋_GB2312"/>
              </w:rPr>
              <w:t xml:space="preserve"> 评审点具体描述</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法定代表人授权委托书</w:t>
            </w:r>
          </w:p>
        </w:tc>
        <w:tc>
          <w:tcPr>
            <w:tcW w:type="dxa" w:w="3322"/>
          </w:tcPr>
          <w:p>
            <w:pPr>
              <w:pStyle w:val="null3"/>
            </w:pPr>
            <w:r>
              <w:rPr>
                <w:rFonts w:ascii="仿宋_GB2312" w:hAnsi="仿宋_GB2312" w:cs="仿宋_GB2312" w:eastAsia="仿宋_GB2312"/>
              </w:rPr>
              <w:t>法定代表人参加投标的，须提供法定代表人身份证；法定代表人授权本单位他人参加投标的，须提供法定代表人授权委托书。</w:t>
            </w:r>
          </w:p>
        </w:tc>
        <w:tc>
          <w:tcPr>
            <w:tcW w:type="dxa" w:w="1661"/>
          </w:tcPr>
          <w:p>
            <w:pPr>
              <w:pStyle w:val="null3"/>
            </w:pPr>
            <w:r>
              <w:rPr>
                <w:rFonts w:ascii="仿宋_GB2312" w:hAnsi="仿宋_GB2312" w:cs="仿宋_GB2312" w:eastAsia="仿宋_GB2312"/>
              </w:rPr>
              <w:t>1.资格证明文件.docx</w:t>
            </w:r>
          </w:p>
        </w:tc>
      </w:tr>
      <w:tr>
        <w:tc>
          <w:tcPr>
            <w:tcW w:type="dxa" w:w="831"/>
          </w:tcPr>
          <w:p>
            <w:pPr>
              <w:pStyle w:val="null3"/>
            </w:pPr>
            <w:r>
              <w:rPr>
                <w:rFonts w:ascii="仿宋_GB2312" w:hAnsi="仿宋_GB2312" w:cs="仿宋_GB2312" w:eastAsia="仿宋_GB2312"/>
              </w:rPr>
              <w:t>2</w:t>
            </w:r>
          </w:p>
        </w:tc>
        <w:tc>
          <w:tcPr>
            <w:tcW w:type="dxa" w:w="2492"/>
          </w:tcPr>
          <w:p>
            <w:pPr>
              <w:pStyle w:val="null3"/>
            </w:pPr>
            <w:r>
              <w:rPr>
                <w:rFonts w:ascii="仿宋_GB2312" w:hAnsi="仿宋_GB2312" w:cs="仿宋_GB2312" w:eastAsia="仿宋_GB2312"/>
              </w:rPr>
              <w:t>本项目不接受联合体投标，不允许分包</w:t>
            </w:r>
          </w:p>
        </w:tc>
        <w:tc>
          <w:tcPr>
            <w:tcW w:type="dxa" w:w="3322"/>
          </w:tcPr>
          <w:p>
            <w:pPr>
              <w:pStyle w:val="null3"/>
            </w:pPr>
            <w:r>
              <w:rPr>
                <w:rFonts w:ascii="仿宋_GB2312" w:hAnsi="仿宋_GB2312" w:cs="仿宋_GB2312" w:eastAsia="仿宋_GB2312"/>
              </w:rPr>
              <w:t>本项目不接受联合体投标，不允许分包。投标人应提供《非联合体不分包投标声明》。</w:t>
            </w:r>
          </w:p>
        </w:tc>
        <w:tc>
          <w:tcPr>
            <w:tcW w:type="dxa" w:w="1661"/>
          </w:tcPr>
          <w:p>
            <w:pPr>
              <w:pStyle w:val="null3"/>
            </w:pPr>
            <w:r>
              <w:rPr>
                <w:rFonts w:ascii="仿宋_GB2312" w:hAnsi="仿宋_GB2312" w:cs="仿宋_GB2312" w:eastAsia="仿宋_GB2312"/>
              </w:rPr>
              <w:t>1.资格证明文件.docx</w:t>
            </w:r>
          </w:p>
        </w:tc>
      </w:tr>
      <w:tr>
        <w:tc>
          <w:tcPr>
            <w:tcW w:type="dxa" w:w="831"/>
          </w:tcPr>
          <w:p>
            <w:pPr>
              <w:pStyle w:val="null3"/>
            </w:pPr>
            <w:r>
              <w:rPr>
                <w:rFonts w:ascii="仿宋_GB2312" w:hAnsi="仿宋_GB2312" w:cs="仿宋_GB2312" w:eastAsia="仿宋_GB2312"/>
              </w:rPr>
              <w:t>3</w:t>
            </w:r>
          </w:p>
        </w:tc>
        <w:tc>
          <w:tcPr>
            <w:tcW w:type="dxa" w:w="2492"/>
          </w:tcPr>
          <w:p>
            <w:pPr>
              <w:pStyle w:val="null3"/>
            </w:pPr>
            <w:r>
              <w:rPr>
                <w:rFonts w:ascii="仿宋_GB2312" w:hAnsi="仿宋_GB2312" w:cs="仿宋_GB2312" w:eastAsia="仿宋_GB2312"/>
              </w:rPr>
              <w:t>《印刷经营许可证》</w:t>
            </w:r>
          </w:p>
        </w:tc>
        <w:tc>
          <w:tcPr>
            <w:tcW w:type="dxa" w:w="3322"/>
          </w:tcPr>
          <w:p>
            <w:pPr>
              <w:pStyle w:val="null3"/>
            </w:pPr>
            <w:r>
              <w:rPr>
                <w:rFonts w:ascii="仿宋_GB2312" w:hAnsi="仿宋_GB2312" w:cs="仿宋_GB2312" w:eastAsia="仿宋_GB2312"/>
              </w:rPr>
              <w:t>投标人须提供提供有效期内的《印刷经营许可证》。</w:t>
            </w:r>
          </w:p>
        </w:tc>
        <w:tc>
          <w:tcPr>
            <w:tcW w:type="dxa" w:w="1661"/>
          </w:tcPr>
          <w:p>
            <w:pPr>
              <w:pStyle w:val="null3"/>
            </w:pPr>
            <w:r>
              <w:rPr>
                <w:rFonts w:ascii="仿宋_GB2312" w:hAnsi="仿宋_GB2312" w:cs="仿宋_GB2312" w:eastAsia="仿宋_GB2312"/>
              </w:rPr>
              <w:t>1.资格证明文件.docx</w:t>
            </w:r>
          </w:p>
        </w:tc>
      </w:tr>
    </w:tbl>
    <w:p>
      <w:pPr>
        <w:pStyle w:val="null3"/>
      </w:pPr>
      <w:r>
        <w:rPr>
          <w:rFonts w:ascii="仿宋_GB2312" w:hAnsi="仿宋_GB2312" w:cs="仿宋_GB2312" w:eastAsia="仿宋_GB2312"/>
        </w:rPr>
        <w:t>采购包2：</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 xml:space="preserve"> 序号</w:t>
            </w:r>
          </w:p>
        </w:tc>
        <w:tc>
          <w:tcPr>
            <w:tcW w:type="dxa" w:w="2492"/>
          </w:tcPr>
          <w:p>
            <w:pPr>
              <w:pStyle w:val="null3"/>
            </w:pPr>
            <w:r>
              <w:rPr>
                <w:rFonts w:ascii="仿宋_GB2312" w:hAnsi="仿宋_GB2312" w:cs="仿宋_GB2312" w:eastAsia="仿宋_GB2312"/>
              </w:rPr>
              <w:t xml:space="preserve"> 资格审查要求概况</w:t>
            </w:r>
          </w:p>
        </w:tc>
        <w:tc>
          <w:tcPr>
            <w:tcW w:type="dxa" w:w="3322"/>
          </w:tcPr>
          <w:p>
            <w:pPr>
              <w:pStyle w:val="null3"/>
            </w:pPr>
            <w:r>
              <w:rPr>
                <w:rFonts w:ascii="仿宋_GB2312" w:hAnsi="仿宋_GB2312" w:cs="仿宋_GB2312" w:eastAsia="仿宋_GB2312"/>
              </w:rPr>
              <w:t xml:space="preserve"> 评审点具体描述</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法定代表人授权委托书</w:t>
            </w:r>
          </w:p>
        </w:tc>
        <w:tc>
          <w:tcPr>
            <w:tcW w:type="dxa" w:w="3322"/>
          </w:tcPr>
          <w:p>
            <w:pPr>
              <w:pStyle w:val="null3"/>
            </w:pPr>
            <w:r>
              <w:rPr>
                <w:rFonts w:ascii="仿宋_GB2312" w:hAnsi="仿宋_GB2312" w:cs="仿宋_GB2312" w:eastAsia="仿宋_GB2312"/>
              </w:rPr>
              <w:t>法定代表人参加投标的，须提供法定代表人身份证；法定代表人授权本单位他人参加投标的，须提供法定代表人授权委托书。</w:t>
            </w:r>
          </w:p>
        </w:tc>
        <w:tc>
          <w:tcPr>
            <w:tcW w:type="dxa" w:w="1661"/>
          </w:tcPr>
          <w:p>
            <w:pPr>
              <w:pStyle w:val="null3"/>
            </w:pPr>
            <w:r>
              <w:rPr>
                <w:rFonts w:ascii="仿宋_GB2312" w:hAnsi="仿宋_GB2312" w:cs="仿宋_GB2312" w:eastAsia="仿宋_GB2312"/>
              </w:rPr>
              <w:t>1.资格证明文件.docx</w:t>
            </w:r>
          </w:p>
        </w:tc>
      </w:tr>
      <w:tr>
        <w:tc>
          <w:tcPr>
            <w:tcW w:type="dxa" w:w="831"/>
          </w:tcPr>
          <w:p>
            <w:pPr>
              <w:pStyle w:val="null3"/>
            </w:pPr>
            <w:r>
              <w:rPr>
                <w:rFonts w:ascii="仿宋_GB2312" w:hAnsi="仿宋_GB2312" w:cs="仿宋_GB2312" w:eastAsia="仿宋_GB2312"/>
              </w:rPr>
              <w:t>2</w:t>
            </w:r>
          </w:p>
        </w:tc>
        <w:tc>
          <w:tcPr>
            <w:tcW w:type="dxa" w:w="2492"/>
          </w:tcPr>
          <w:p>
            <w:pPr>
              <w:pStyle w:val="null3"/>
            </w:pPr>
            <w:r>
              <w:rPr>
                <w:rFonts w:ascii="仿宋_GB2312" w:hAnsi="仿宋_GB2312" w:cs="仿宋_GB2312" w:eastAsia="仿宋_GB2312"/>
              </w:rPr>
              <w:t>本项目不接受联合体投标，不允许分包。</w:t>
            </w:r>
          </w:p>
        </w:tc>
        <w:tc>
          <w:tcPr>
            <w:tcW w:type="dxa" w:w="3322"/>
          </w:tcPr>
          <w:p>
            <w:pPr>
              <w:pStyle w:val="null3"/>
            </w:pPr>
            <w:r>
              <w:rPr>
                <w:rFonts w:ascii="仿宋_GB2312" w:hAnsi="仿宋_GB2312" w:cs="仿宋_GB2312" w:eastAsia="仿宋_GB2312"/>
              </w:rPr>
              <w:t>本项目不接受联合体投标，不允许分包。投标人应提供《非联合体不分包投标声明》。</w:t>
            </w:r>
          </w:p>
        </w:tc>
        <w:tc>
          <w:tcPr>
            <w:tcW w:type="dxa" w:w="1661"/>
          </w:tcPr>
          <w:p>
            <w:pPr>
              <w:pStyle w:val="null3"/>
            </w:pPr>
            <w:r>
              <w:rPr>
                <w:rFonts w:ascii="仿宋_GB2312" w:hAnsi="仿宋_GB2312" w:cs="仿宋_GB2312" w:eastAsia="仿宋_GB2312"/>
              </w:rPr>
              <w:t>1.资格证明文件.docx</w:t>
            </w:r>
          </w:p>
        </w:tc>
      </w:tr>
      <w:tr>
        <w:tc>
          <w:tcPr>
            <w:tcW w:type="dxa" w:w="831"/>
          </w:tcPr>
          <w:p>
            <w:pPr>
              <w:pStyle w:val="null3"/>
            </w:pPr>
            <w:r>
              <w:rPr>
                <w:rFonts w:ascii="仿宋_GB2312" w:hAnsi="仿宋_GB2312" w:cs="仿宋_GB2312" w:eastAsia="仿宋_GB2312"/>
              </w:rPr>
              <w:t>3</w:t>
            </w:r>
          </w:p>
        </w:tc>
        <w:tc>
          <w:tcPr>
            <w:tcW w:type="dxa" w:w="2492"/>
          </w:tcPr>
          <w:p>
            <w:pPr>
              <w:pStyle w:val="null3"/>
            </w:pPr>
            <w:r>
              <w:rPr>
                <w:rFonts w:ascii="仿宋_GB2312" w:hAnsi="仿宋_GB2312" w:cs="仿宋_GB2312" w:eastAsia="仿宋_GB2312"/>
              </w:rPr>
              <w:t>《印刷经营许可证》</w:t>
            </w:r>
          </w:p>
        </w:tc>
        <w:tc>
          <w:tcPr>
            <w:tcW w:type="dxa" w:w="3322"/>
          </w:tcPr>
          <w:p>
            <w:pPr>
              <w:pStyle w:val="null3"/>
            </w:pPr>
            <w:r>
              <w:rPr>
                <w:rFonts w:ascii="仿宋_GB2312" w:hAnsi="仿宋_GB2312" w:cs="仿宋_GB2312" w:eastAsia="仿宋_GB2312"/>
              </w:rPr>
              <w:t>投标人须提供提供有效期内的《印刷经营许可证》。</w:t>
            </w:r>
          </w:p>
        </w:tc>
        <w:tc>
          <w:tcPr>
            <w:tcW w:type="dxa" w:w="1661"/>
          </w:tcPr>
          <w:p>
            <w:pPr>
              <w:pStyle w:val="null3"/>
            </w:pPr>
            <w:r>
              <w:rPr>
                <w:rFonts w:ascii="仿宋_GB2312" w:hAnsi="仿宋_GB2312" w:cs="仿宋_GB2312" w:eastAsia="仿宋_GB2312"/>
              </w:rPr>
              <w:t>1.资格证明文件.docx</w:t>
            </w:r>
          </w:p>
        </w:tc>
      </w:tr>
    </w:tbl>
    <w:p>
      <w:pPr>
        <w:pStyle w:val="null3"/>
        <w:outlineLvl w:val="2"/>
      </w:pPr>
      <w:r>
        <w:rPr>
          <w:rFonts w:ascii="仿宋_GB2312" w:hAnsi="仿宋_GB2312" w:cs="仿宋_GB2312" w:eastAsia="仿宋_GB2312"/>
          <w:sz w:val="28"/>
          <w:b/>
        </w:rPr>
        <w:t>4.3落实政府采购政策资格审查</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 xml:space="preserve"> 序号</w:t>
            </w:r>
          </w:p>
        </w:tc>
        <w:tc>
          <w:tcPr>
            <w:tcW w:type="dxa" w:w="2492"/>
          </w:tcPr>
          <w:p>
            <w:pPr>
              <w:pStyle w:val="null3"/>
            </w:pPr>
            <w:r>
              <w:rPr>
                <w:rFonts w:ascii="仿宋_GB2312" w:hAnsi="仿宋_GB2312" w:cs="仿宋_GB2312" w:eastAsia="仿宋_GB2312"/>
              </w:rPr>
              <w:t xml:space="preserve"> 资格审查要求概况</w:t>
            </w:r>
          </w:p>
        </w:tc>
        <w:tc>
          <w:tcPr>
            <w:tcW w:type="dxa" w:w="3322"/>
          </w:tcPr>
          <w:p>
            <w:pPr>
              <w:pStyle w:val="null3"/>
            </w:pPr>
            <w:r>
              <w:rPr>
                <w:rFonts w:ascii="仿宋_GB2312" w:hAnsi="仿宋_GB2312" w:cs="仿宋_GB2312" w:eastAsia="仿宋_GB2312"/>
              </w:rPr>
              <w:t xml:space="preserve"> 评审点具体描述</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本采购包专门面向中小企业采购</w:t>
            </w:r>
          </w:p>
        </w:tc>
        <w:tc>
          <w:tcPr>
            <w:tcW w:type="dxa" w:w="3322"/>
          </w:tcPr>
          <w:p>
            <w:pPr>
              <w:pStyle w:val="null3"/>
            </w:pPr>
            <w:r>
              <w:rPr>
                <w:rFonts w:ascii="仿宋_GB2312" w:hAnsi="仿宋_GB2312" w:cs="仿宋_GB2312" w:eastAsia="仿宋_GB2312"/>
              </w:rPr>
              <w:t>本项目为专门面向中小企业采购，投标人应为中型企业或小型、微型企业或监狱企业或残疾人福利性单位。投标人为中型、小型、微型企业的，提供《中小企业声明函》；投标人为监狱企业的，应提供监狱企业的证明文件；投标人为残疾人福利性单位的，应提供《残疾人福利性单位声明函》</w:t>
            </w:r>
          </w:p>
        </w:tc>
        <w:tc>
          <w:tcPr>
            <w:tcW w:type="dxa" w:w="1661"/>
          </w:tcPr>
          <w:p>
            <w:pPr>
              <w:pStyle w:val="null3"/>
            </w:pPr>
            <w:r>
              <w:rPr>
                <w:rFonts w:ascii="仿宋_GB2312" w:hAnsi="仿宋_GB2312" w:cs="仿宋_GB2312" w:eastAsia="仿宋_GB2312"/>
              </w:rPr>
              <w:t>中小企业声明函 残疾人福利性单位声明函 监狱企业的证明文件</w:t>
            </w:r>
          </w:p>
        </w:tc>
      </w:tr>
    </w:tbl>
    <w:p>
      <w:pPr>
        <w:pStyle w:val="null3"/>
      </w:pPr>
      <w:r>
        <w:rPr>
          <w:rFonts w:ascii="仿宋_GB2312" w:hAnsi="仿宋_GB2312" w:cs="仿宋_GB2312" w:eastAsia="仿宋_GB2312"/>
        </w:rPr>
        <w:t>采购包2：</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 xml:space="preserve"> 序号</w:t>
            </w:r>
          </w:p>
        </w:tc>
        <w:tc>
          <w:tcPr>
            <w:tcW w:type="dxa" w:w="2492"/>
          </w:tcPr>
          <w:p>
            <w:pPr>
              <w:pStyle w:val="null3"/>
            </w:pPr>
            <w:r>
              <w:rPr>
                <w:rFonts w:ascii="仿宋_GB2312" w:hAnsi="仿宋_GB2312" w:cs="仿宋_GB2312" w:eastAsia="仿宋_GB2312"/>
              </w:rPr>
              <w:t xml:space="preserve"> 资格审查要求概况</w:t>
            </w:r>
          </w:p>
        </w:tc>
        <w:tc>
          <w:tcPr>
            <w:tcW w:type="dxa" w:w="3322"/>
          </w:tcPr>
          <w:p>
            <w:pPr>
              <w:pStyle w:val="null3"/>
            </w:pPr>
            <w:r>
              <w:rPr>
                <w:rFonts w:ascii="仿宋_GB2312" w:hAnsi="仿宋_GB2312" w:cs="仿宋_GB2312" w:eastAsia="仿宋_GB2312"/>
              </w:rPr>
              <w:t xml:space="preserve"> 评审点具体描述</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本采购包专门面向中小企业采购</w:t>
            </w:r>
          </w:p>
        </w:tc>
        <w:tc>
          <w:tcPr>
            <w:tcW w:type="dxa" w:w="3322"/>
          </w:tcPr>
          <w:p>
            <w:pPr>
              <w:pStyle w:val="null3"/>
            </w:pPr>
            <w:r>
              <w:rPr>
                <w:rFonts w:ascii="仿宋_GB2312" w:hAnsi="仿宋_GB2312" w:cs="仿宋_GB2312" w:eastAsia="仿宋_GB2312"/>
              </w:rPr>
              <w:t>本项目为专门面向中小企业采购，投标人应为中型企业或小型、微型企业或监狱企业或残疾人福利性单位。投标人为中型、小型、微型企业的，提供《中小企业声明函》；投标人为监狱企业的，应提供监狱企业的证明文件；投标人为残疾人福利性单位的，应提供《残疾人福利性单位声明函》</w:t>
            </w:r>
          </w:p>
        </w:tc>
        <w:tc>
          <w:tcPr>
            <w:tcW w:type="dxa" w:w="1661"/>
          </w:tcPr>
          <w:p>
            <w:pPr>
              <w:pStyle w:val="null3"/>
            </w:pPr>
            <w:r>
              <w:rPr>
                <w:rFonts w:ascii="仿宋_GB2312" w:hAnsi="仿宋_GB2312" w:cs="仿宋_GB2312" w:eastAsia="仿宋_GB2312"/>
              </w:rPr>
              <w:t>中小企业声明函 残疾人福利性单位声明函 监狱企业的证明文件</w:t>
            </w:r>
          </w:p>
        </w:tc>
      </w:tr>
    </w:tbl>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第五章 评标办法</w:t>
      </w:r>
    </w:p>
    <w:p>
      <w:pPr>
        <w:pStyle w:val="null3"/>
        <w:outlineLvl w:val="2"/>
      </w:pPr>
      <w:r>
        <w:rPr>
          <w:rFonts w:ascii="仿宋_GB2312" w:hAnsi="仿宋_GB2312" w:cs="仿宋_GB2312" w:eastAsia="仿宋_GB2312"/>
          <w:sz w:val="28"/>
          <w:b/>
        </w:rPr>
        <w:t>5.1 总则</w:t>
      </w:r>
    </w:p>
    <w:p>
      <w:pPr>
        <w:pStyle w:val="null3"/>
        <w:ind w:firstLine="480"/>
      </w:pPr>
      <w:r>
        <w:rPr>
          <w:rFonts w:ascii="仿宋_GB2312" w:hAnsi="仿宋_GB2312" w:cs="仿宋_GB2312" w:eastAsia="仿宋_GB2312"/>
        </w:rPr>
        <w:t xml:space="preserve"> 一、根据《中华人民共和国政府采购法》《中华人民共和国政府采购法实施条例》《政府采购货物和服务招标投标管理办法》等法律规章，结合采购项目特点制定本评标办法。</w:t>
      </w:r>
    </w:p>
    <w:p>
      <w:pPr>
        <w:pStyle w:val="null3"/>
        <w:ind w:firstLine="480"/>
      </w:pPr>
      <w:r>
        <w:rPr>
          <w:rFonts w:ascii="仿宋_GB2312" w:hAnsi="仿宋_GB2312" w:cs="仿宋_GB2312" w:eastAsia="仿宋_GB2312"/>
        </w:rPr>
        <w:t xml:space="preserve"> 二、评标工作由代理机构负责组织，具体评标事务由采购人或代理机构依法组建的评标委员会负责。评标委员会由采购人代表和评审专家组成。</w:t>
      </w:r>
    </w:p>
    <w:p>
      <w:pPr>
        <w:pStyle w:val="null3"/>
        <w:ind w:firstLine="480"/>
      </w:pPr>
      <w:r>
        <w:rPr>
          <w:rFonts w:ascii="仿宋_GB2312" w:hAnsi="仿宋_GB2312" w:cs="仿宋_GB2312" w:eastAsia="仿宋_GB2312"/>
        </w:rPr>
        <w:t>三、评标工作应遵循公平、公正、科学及择优的原则，并以相同的评标程序和标准对待所有的投标人。</w:t>
      </w:r>
    </w:p>
    <w:p>
      <w:pPr>
        <w:pStyle w:val="null3"/>
        <w:ind w:firstLine="480"/>
      </w:pPr>
      <w:r>
        <w:rPr>
          <w:rFonts w:ascii="仿宋_GB2312" w:hAnsi="仿宋_GB2312" w:cs="仿宋_GB2312" w:eastAsia="仿宋_GB2312"/>
        </w:rPr>
        <w:t xml:space="preserve"> 四、本项目采取电子评审，通过项目电子化交易系统完成评审工作。评标委员会成员、采购人、代理机构和投标人应当按照本招标文件规定和项目电子化交易系统操作要求开展或者参加评标活动。</w:t>
      </w:r>
    </w:p>
    <w:p>
      <w:pPr>
        <w:pStyle w:val="null3"/>
        <w:ind w:firstLine="480"/>
      </w:pPr>
      <w:r>
        <w:rPr>
          <w:rFonts w:ascii="仿宋_GB2312" w:hAnsi="仿宋_GB2312" w:cs="仿宋_GB2312" w:eastAsia="仿宋_GB2312"/>
        </w:rPr>
        <w:t xml:space="preserve"> 五、评标过程中的书面材料往来均通过项目电子化交易系统传递，投标人通过互认的证书及签章加盖其电子印章后生效。出现无法在线签章的特殊情况，评标委员会成员可以线下签署评标报告，由代理机构对原件扫描后以附件形式上传。</w:t>
      </w:r>
    </w:p>
    <w:p>
      <w:pPr>
        <w:pStyle w:val="null3"/>
        <w:ind w:firstLine="480"/>
      </w:pPr>
      <w:r>
        <w:rPr>
          <w:rFonts w:ascii="仿宋_GB2312" w:hAnsi="仿宋_GB2312" w:cs="仿宋_GB2312" w:eastAsia="仿宋_GB2312"/>
        </w:rPr>
        <w:t xml:space="preserve"> 六、评标过程应当独立、保密，任何单位和个人不得非法干预评标活动。投标人非法干预评标活动的，其投标文件将作无效处理；代理机构、采购人及其工作人员、采购人监督人员非法干预评标活动的，将依法追究其责任。</w:t>
      </w:r>
    </w:p>
    <w:p>
      <w:pPr>
        <w:pStyle w:val="null3"/>
        <w:outlineLvl w:val="2"/>
      </w:pPr>
      <w:r>
        <w:rPr>
          <w:rFonts w:ascii="仿宋_GB2312" w:hAnsi="仿宋_GB2312" w:cs="仿宋_GB2312" w:eastAsia="仿宋_GB2312"/>
          <w:sz w:val="28"/>
          <w:b/>
        </w:rPr>
        <w:t>5.2评标委员会</w:t>
      </w:r>
    </w:p>
    <w:p>
      <w:pPr>
        <w:pStyle w:val="null3"/>
        <w:ind w:firstLine="480"/>
      </w:pPr>
      <w:r>
        <w:rPr>
          <w:rFonts w:ascii="仿宋_GB2312" w:hAnsi="仿宋_GB2312" w:cs="仿宋_GB2312" w:eastAsia="仿宋_GB2312"/>
        </w:rPr>
        <w:t xml:space="preserve"> 评审专家是采取随机方式在政府采购平台的专家库系统（以下简称专家库系统）抽取/由采购人根据《陕西省政府采购评审专家管理实施办法》（陕财办采〔2018〕20号）的规定，报主管部门同意后自行选定。</w:t>
      </w:r>
    </w:p>
    <w:p>
      <w:pPr>
        <w:pStyle w:val="null3"/>
        <w:ind w:firstLine="480"/>
      </w:pPr>
      <w:r>
        <w:rPr>
          <w:rFonts w:ascii="仿宋_GB2312" w:hAnsi="仿宋_GB2312" w:cs="仿宋_GB2312" w:eastAsia="仿宋_GB2312"/>
        </w:rPr>
        <w:t xml:space="preserve"> 二、评标委员会成员应当满足并适应电子化采购评审的工作需要，使用已身份认证并具备签章功能的证书，登录项目电子化交易系统进入项目评审功能模块确认身份、签到、推荐评标委员会组长。采购人代表可以使用采购人代表专用签章确认评审意见。</w:t>
      </w:r>
    </w:p>
    <w:p>
      <w:pPr>
        <w:pStyle w:val="null3"/>
        <w:ind w:firstLine="480"/>
      </w:pPr>
      <w:r>
        <w:rPr>
          <w:rFonts w:ascii="仿宋_GB2312" w:hAnsi="仿宋_GB2312" w:cs="仿宋_GB2312" w:eastAsia="仿宋_GB2312"/>
        </w:rPr>
        <w:t xml:space="preserve"> 三、评标委员会成员获取解密后的投标文件，开展评标活动。出现应当回避的情形时，评标委员会成员应当主动回避；代理机构按规定申请补充抽取评审专家；无法及时补充抽取的，采购人或者代理机构应当封存供应商投标文件，按规定重新组建评标委员会，解封投标文件后，开展评标活动。</w:t>
      </w:r>
    </w:p>
    <w:p>
      <w:pPr>
        <w:pStyle w:val="null3"/>
        <w:ind w:firstLine="480"/>
      </w:pPr>
      <w:r>
        <w:rPr>
          <w:rFonts w:ascii="仿宋_GB2312" w:hAnsi="仿宋_GB2312" w:cs="仿宋_GB2312" w:eastAsia="仿宋_GB2312"/>
        </w:rPr>
        <w:t>四、评标委员会按照招标文件规定的评标程序、评标方法和标准进行评标，并独立履行下列职责：</w:t>
      </w:r>
    </w:p>
    <w:p>
      <w:pPr>
        <w:pStyle w:val="null3"/>
        <w:ind w:firstLine="480"/>
      </w:pPr>
      <w:r>
        <w:rPr>
          <w:rFonts w:ascii="仿宋_GB2312" w:hAnsi="仿宋_GB2312" w:cs="仿宋_GB2312" w:eastAsia="仿宋_GB2312"/>
        </w:rPr>
        <w:t>（一）熟悉和理解招标文件；</w:t>
      </w:r>
    </w:p>
    <w:p>
      <w:pPr>
        <w:pStyle w:val="null3"/>
        <w:ind w:firstLine="480"/>
      </w:pPr>
      <w:r>
        <w:rPr>
          <w:rFonts w:ascii="仿宋_GB2312" w:hAnsi="仿宋_GB2312" w:cs="仿宋_GB2312" w:eastAsia="仿宋_GB2312"/>
        </w:rPr>
        <w:t>（二）审查供应商投标文件等是否满足招标文件要求，并作出评价；</w:t>
      </w:r>
    </w:p>
    <w:p>
      <w:pPr>
        <w:pStyle w:val="null3"/>
        <w:ind w:firstLine="480"/>
      </w:pPr>
      <w:r>
        <w:rPr>
          <w:rFonts w:ascii="仿宋_GB2312" w:hAnsi="仿宋_GB2312" w:cs="仿宋_GB2312" w:eastAsia="仿宋_GB2312"/>
        </w:rPr>
        <w:t>（三）根据需要要求采购组织单位对招标文件作出解释；根据需要要求供应商对投标文件有关事项作出 澄清、说明或者更正；</w:t>
      </w:r>
    </w:p>
    <w:p>
      <w:pPr>
        <w:pStyle w:val="null3"/>
        <w:ind w:firstLine="480"/>
      </w:pPr>
      <w:r>
        <w:rPr>
          <w:rFonts w:ascii="仿宋_GB2312" w:hAnsi="仿宋_GB2312" w:cs="仿宋_GB2312" w:eastAsia="仿宋_GB2312"/>
        </w:rPr>
        <w:t>（四）推荐中标候选供应商，或者受采购人委托确定中标供应商；</w:t>
      </w:r>
    </w:p>
    <w:p>
      <w:pPr>
        <w:pStyle w:val="null3"/>
        <w:ind w:firstLine="480"/>
      </w:pPr>
      <w:r>
        <w:rPr>
          <w:rFonts w:ascii="仿宋_GB2312" w:hAnsi="仿宋_GB2312" w:cs="仿宋_GB2312" w:eastAsia="仿宋_GB2312"/>
        </w:rPr>
        <w:t>（五）起草评标报告并进行签署；</w:t>
      </w:r>
    </w:p>
    <w:p>
      <w:pPr>
        <w:pStyle w:val="null3"/>
        <w:ind w:firstLine="480"/>
      </w:pPr>
      <w:r>
        <w:rPr>
          <w:rFonts w:ascii="仿宋_GB2312" w:hAnsi="仿宋_GB2312" w:cs="仿宋_GB2312" w:eastAsia="仿宋_GB2312"/>
        </w:rPr>
        <w:t>（六）向采购组织单位、财政部门或者其他监督部门报告非法干预评审工作的行为；</w:t>
      </w:r>
    </w:p>
    <w:p>
      <w:pPr>
        <w:pStyle w:val="null3"/>
        <w:ind w:firstLine="480"/>
      </w:pPr>
      <w:r>
        <w:rPr>
          <w:rFonts w:ascii="仿宋_GB2312" w:hAnsi="仿宋_GB2312" w:cs="仿宋_GB2312" w:eastAsia="仿宋_GB2312"/>
        </w:rPr>
        <w:t>（七）法律、法规和规章规定的其他职责。</w:t>
      </w:r>
    </w:p>
    <w:p>
      <w:pPr>
        <w:pStyle w:val="null3"/>
        <w:outlineLvl w:val="2"/>
      </w:pPr>
      <w:r>
        <w:rPr>
          <w:rFonts w:ascii="仿宋_GB2312" w:hAnsi="仿宋_GB2312" w:cs="仿宋_GB2312" w:eastAsia="仿宋_GB2312"/>
          <w:sz w:val="28"/>
          <w:b/>
        </w:rPr>
        <w:t>5.3评标方法</w:t>
      </w:r>
    </w:p>
    <w:p>
      <w:pPr>
        <w:pStyle w:val="null3"/>
      </w:pPr>
      <w:r>
        <w:rPr>
          <w:rFonts w:ascii="仿宋_GB2312" w:hAnsi="仿宋_GB2312" w:cs="仿宋_GB2312" w:eastAsia="仿宋_GB2312"/>
        </w:rPr>
        <w:t>采购包1：综合评分法</w:t>
      </w:r>
    </w:p>
    <w:p>
      <w:pPr>
        <w:pStyle w:val="null3"/>
      </w:pPr>
      <w:r>
        <w:rPr>
          <w:rFonts w:ascii="仿宋_GB2312" w:hAnsi="仿宋_GB2312" w:cs="仿宋_GB2312" w:eastAsia="仿宋_GB2312"/>
        </w:rPr>
        <w:t>采购包2：综合评分法</w:t>
      </w:r>
    </w:p>
    <w:p>
      <w:pPr>
        <w:pStyle w:val="null3"/>
        <w:outlineLvl w:val="2"/>
      </w:pPr>
      <w:r>
        <w:rPr>
          <w:rFonts w:ascii="仿宋_GB2312" w:hAnsi="仿宋_GB2312" w:cs="仿宋_GB2312" w:eastAsia="仿宋_GB2312"/>
          <w:sz w:val="28"/>
          <w:b/>
        </w:rPr>
        <w:t>5.4评标程序</w:t>
      </w:r>
    </w:p>
    <w:p>
      <w:pPr>
        <w:pStyle w:val="null3"/>
        <w:outlineLvl w:val="3"/>
      </w:pPr>
      <w:r>
        <w:rPr>
          <w:rFonts w:ascii="仿宋_GB2312" w:hAnsi="仿宋_GB2312" w:cs="仿宋_GB2312" w:eastAsia="仿宋_GB2312"/>
          <w:sz w:val="24"/>
          <w:b/>
        </w:rPr>
        <w:t>5.4.1熟悉和理解招标文件和停止评标</w:t>
      </w:r>
    </w:p>
    <w:p>
      <w:pPr>
        <w:pStyle w:val="null3"/>
        <w:ind w:firstLine="480"/>
      </w:pPr>
      <w:r>
        <w:rPr>
          <w:rFonts w:ascii="仿宋_GB2312" w:hAnsi="仿宋_GB2312" w:cs="仿宋_GB2312" w:eastAsia="仿宋_GB2312"/>
        </w:rPr>
        <w:t xml:space="preserve"> 一、评标委员会正式评审前，应当对招标文件进行熟悉和理解，内容主要包括招标文件中供应商资格资质性要求、采购项目技术、服务和商务要求、评审方法和标准以及可能涉及签订政府采购合同的内容等。</w:t>
      </w:r>
    </w:p>
    <w:p>
      <w:pPr>
        <w:pStyle w:val="null3"/>
        <w:ind w:firstLine="480"/>
      </w:pPr>
      <w:r>
        <w:rPr>
          <w:rFonts w:ascii="仿宋_GB2312" w:hAnsi="仿宋_GB2312" w:cs="仿宋_GB2312" w:eastAsia="仿宋_GB2312"/>
        </w:rPr>
        <w:t>二、本招标文件有下列情形之一的，评标委员会应当停止评标：</w:t>
      </w:r>
    </w:p>
    <w:p>
      <w:pPr>
        <w:pStyle w:val="null3"/>
        <w:ind w:firstLine="480"/>
      </w:pPr>
      <w:r>
        <w:rPr>
          <w:rFonts w:ascii="仿宋_GB2312" w:hAnsi="仿宋_GB2312" w:cs="仿宋_GB2312" w:eastAsia="仿宋_GB2312"/>
        </w:rPr>
        <w:t>（一）招标文件的规定存在歧义、重大缺陷的；</w:t>
      </w:r>
    </w:p>
    <w:p>
      <w:pPr>
        <w:pStyle w:val="null3"/>
        <w:ind w:firstLine="480"/>
      </w:pPr>
      <w:r>
        <w:rPr>
          <w:rFonts w:ascii="仿宋_GB2312" w:hAnsi="仿宋_GB2312" w:cs="仿宋_GB2312" w:eastAsia="仿宋_GB2312"/>
        </w:rPr>
        <w:t>（二）招标文件明显以不合理条件对供应商实行差别待遇或者歧视待遇的；</w:t>
      </w:r>
    </w:p>
    <w:p>
      <w:pPr>
        <w:pStyle w:val="null3"/>
        <w:ind w:firstLine="480"/>
      </w:pPr>
      <w:r>
        <w:rPr>
          <w:rFonts w:ascii="仿宋_GB2312" w:hAnsi="仿宋_GB2312" w:cs="仿宋_GB2312" w:eastAsia="仿宋_GB2312"/>
        </w:rPr>
        <w:t>（三）采购项目属于国家规定的优先、强制采购范围，但是招标文件未依法体现优先、强制采购相关规定的；</w:t>
      </w:r>
    </w:p>
    <w:p>
      <w:pPr>
        <w:pStyle w:val="null3"/>
        <w:ind w:firstLine="480"/>
      </w:pPr>
      <w:r>
        <w:rPr>
          <w:rFonts w:ascii="仿宋_GB2312" w:hAnsi="仿宋_GB2312" w:cs="仿宋_GB2312" w:eastAsia="仿宋_GB2312"/>
        </w:rPr>
        <w:t>（四）采购项目属于政府采购促进中小企业发展的范围，但是招标文件未依法体现促进中小企业发展相关规定的；</w:t>
      </w:r>
    </w:p>
    <w:p>
      <w:pPr>
        <w:pStyle w:val="null3"/>
        <w:ind w:firstLine="480"/>
      </w:pPr>
      <w:r>
        <w:rPr>
          <w:rFonts w:ascii="仿宋_GB2312" w:hAnsi="仿宋_GB2312" w:cs="仿宋_GB2312" w:eastAsia="仿宋_GB2312"/>
        </w:rPr>
        <w:t xml:space="preserve"> （五）招标文件规定的评标方法是综合评分法、最低评标价法之外的评标方法，或者虽然名称为综合评分法、最低评标价法，但实际上不符合国家规定；</w:t>
      </w:r>
    </w:p>
    <w:p>
      <w:pPr>
        <w:pStyle w:val="null3"/>
        <w:ind w:firstLine="480"/>
      </w:pPr>
      <w:r>
        <w:rPr>
          <w:rFonts w:ascii="仿宋_GB2312" w:hAnsi="仿宋_GB2312" w:cs="仿宋_GB2312" w:eastAsia="仿宋_GB2312"/>
        </w:rPr>
        <w:t>（六）招标文件将投标人的资格条件列为评分因素的；</w:t>
      </w:r>
    </w:p>
    <w:p>
      <w:pPr>
        <w:pStyle w:val="null3"/>
        <w:ind w:firstLine="480"/>
      </w:pPr>
      <w:r>
        <w:rPr>
          <w:rFonts w:ascii="仿宋_GB2312" w:hAnsi="仿宋_GB2312" w:cs="仿宋_GB2312" w:eastAsia="仿宋_GB2312"/>
        </w:rPr>
        <w:t>（七）招标文件有违反国家其他有关强制性规定的情形。</w:t>
      </w:r>
    </w:p>
    <w:p>
      <w:pPr>
        <w:pStyle w:val="null3"/>
        <w:ind w:firstLine="480"/>
      </w:pPr>
      <w:r>
        <w:rPr>
          <w:rFonts w:ascii="仿宋_GB2312" w:hAnsi="仿宋_GB2312" w:cs="仿宋_GB2312" w:eastAsia="仿宋_GB2312"/>
        </w:rPr>
        <w:t xml:space="preserve"> 出现上述应当停止评标情形的，评标委员会应当通过项目电子化交易系统向采购组织单位提交相关说明材料，说明停止评审的情形和具体理由。除上述情形外，评标委员会不得以任何方式和理由停止评标。</w:t>
      </w:r>
    </w:p>
    <w:p>
      <w:pPr>
        <w:pStyle w:val="null3"/>
        <w:ind w:firstLine="480"/>
        <w:jc w:val="left"/>
      </w:pPr>
      <w:r>
        <w:rPr>
          <w:rFonts w:ascii="仿宋_GB2312" w:hAnsi="仿宋_GB2312" w:cs="仿宋_GB2312" w:eastAsia="仿宋_GB2312"/>
        </w:rPr>
        <w:t xml:space="preserve"> 出现上述应当停止评标情形的，采购组织单位应当通过项目电子化交易系统书面告知参加采购活动的供应商，并说明具体原因，同时在陕西省政府采购网公告。采购组织单位认为评标委员会不应当停止评标的，可以书面报告采购项目同级财政部门依法处理，并提供相关证明材料。</w:t>
      </w:r>
    </w:p>
    <w:p>
      <w:pPr>
        <w:pStyle w:val="null3"/>
        <w:outlineLvl w:val="3"/>
      </w:pPr>
      <w:r>
        <w:rPr>
          <w:rFonts w:ascii="仿宋_GB2312" w:hAnsi="仿宋_GB2312" w:cs="仿宋_GB2312" w:eastAsia="仿宋_GB2312"/>
          <w:sz w:val="24"/>
          <w:b/>
        </w:rPr>
        <w:t>5.4.2符合性审查</w:t>
      </w:r>
    </w:p>
    <w:p>
      <w:pPr>
        <w:pStyle w:val="null3"/>
        <w:ind w:firstLine="480"/>
      </w:pPr>
      <w:r>
        <w:rPr>
          <w:rFonts w:ascii="仿宋_GB2312" w:hAnsi="仿宋_GB2312" w:cs="仿宋_GB2312" w:eastAsia="仿宋_GB2312"/>
        </w:rPr>
        <w:t xml:space="preserve"> 评标委员会依据本招标文件的实质性要求，对符合资格的投标文件进行审查，以确定其是否满足本招标文件的实质性要求。本项目符合性审查事项，必须以本招标文件的明确规定的实质性要求作为依据。</w:t>
      </w:r>
    </w:p>
    <w:p>
      <w:pPr>
        <w:pStyle w:val="null3"/>
        <w:ind w:firstLine="480"/>
      </w:pPr>
      <w:r>
        <w:rPr>
          <w:rFonts w:ascii="仿宋_GB2312" w:hAnsi="仿宋_GB2312" w:cs="仿宋_GB2312" w:eastAsia="仿宋_GB2312"/>
        </w:rPr>
        <w:t xml:space="preserve"> 在符合性审查过程中，如果出现评标委员会成员意见不一致的情况，按照少数服从多数的原则确定，但不得违背政府采购基本原则和招标文件规定。</w:t>
      </w:r>
    </w:p>
    <w:p>
      <w:pPr>
        <w:pStyle w:val="null3"/>
        <w:ind w:firstLine="480"/>
      </w:pPr>
      <w:r>
        <w:rPr>
          <w:rFonts w:ascii="仿宋_GB2312" w:hAnsi="仿宋_GB2312" w:cs="仿宋_GB2312" w:eastAsia="仿宋_GB2312"/>
        </w:rPr>
        <w:t>符合性审查标准见下表（按以下顺序审查）：</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 xml:space="preserve"> 序号</w:t>
            </w:r>
          </w:p>
        </w:tc>
        <w:tc>
          <w:tcPr>
            <w:tcW w:type="dxa" w:w="2492"/>
          </w:tcPr>
          <w:p>
            <w:pPr>
              <w:pStyle w:val="null3"/>
            </w:pPr>
            <w:r>
              <w:rPr>
                <w:rFonts w:ascii="仿宋_GB2312" w:hAnsi="仿宋_GB2312" w:cs="仿宋_GB2312" w:eastAsia="仿宋_GB2312"/>
              </w:rPr>
              <w:t xml:space="preserve"> 符合审查要求概况</w:t>
            </w:r>
          </w:p>
        </w:tc>
        <w:tc>
          <w:tcPr>
            <w:tcW w:type="dxa" w:w="3322"/>
          </w:tcPr>
          <w:p>
            <w:pPr>
              <w:pStyle w:val="null3"/>
            </w:pPr>
            <w:r>
              <w:rPr>
                <w:rFonts w:ascii="仿宋_GB2312" w:hAnsi="仿宋_GB2312" w:cs="仿宋_GB2312" w:eastAsia="仿宋_GB2312"/>
              </w:rPr>
              <w:t xml:space="preserve"> 评审点具体描述</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不正当竞争预防措施（实质性要求）</w:t>
            </w:r>
          </w:p>
        </w:tc>
        <w:tc>
          <w:tcPr>
            <w:tcW w:type="dxa" w:w="3322"/>
          </w:tcPr>
          <w:p>
            <w:pPr>
              <w:pStyle w:val="null3"/>
            </w:pPr>
            <w:r>
              <w:rPr>
                <w:rFonts w:ascii="仿宋_GB2312" w:hAnsi="仿宋_GB2312" w:cs="仿宋_GB2312" w:eastAsia="仿宋_GB2312"/>
              </w:rPr>
              <w:t>1.在磋商过程中，磋商小组认为供应商的报价明显低于其他实质性响应的供应商报价，有可能影响产品质量或者不能诚信履约的，磋商小组应当要求其在评审现场合理的时间（30分钟）内提供成本构成书面说明，并提交相关证明材料。 书面说明应当包括：①按照国家财务会计制度的规定要求，逐项就投标人提供的货物、工程和服务的主营业务成本（应根据投标人企业类型予以区别）、税金及附加、销售费用、管理费用、财务费用等成本构成事项详细陈述。 ②以前完成类似规模项目与类似价格的业绩证明材料（合同、发票）。2.供应商提交的相关证明材料，应当加盖供应商（法定名称）电子印章，在磋商小组要求的时间内通过项目电子化交易系统进行提交，否则提交的相关证明材料无效。供应商不能证明其报价合理性的，磋商小组应当将其响应文件作为无效处理。</w:t>
            </w:r>
          </w:p>
        </w:tc>
        <w:tc>
          <w:tcPr>
            <w:tcW w:type="dxa" w:w="1661"/>
          </w:tcPr>
          <w:p>
            <w:pPr>
              <w:pStyle w:val="null3"/>
            </w:pPr>
            <w:r>
              <w:rPr>
                <w:rFonts w:ascii="仿宋_GB2312" w:hAnsi="仿宋_GB2312" w:cs="仿宋_GB2312" w:eastAsia="仿宋_GB2312"/>
              </w:rPr>
              <w:t>开标一览表 标的清单</w:t>
            </w:r>
          </w:p>
        </w:tc>
      </w:tr>
      <w:tr>
        <w:tc>
          <w:tcPr>
            <w:tcW w:type="dxa" w:w="831"/>
          </w:tcPr>
          <w:p>
            <w:pPr>
              <w:pStyle w:val="null3"/>
            </w:pPr>
            <w:r>
              <w:rPr>
                <w:rFonts w:ascii="仿宋_GB2312" w:hAnsi="仿宋_GB2312" w:cs="仿宋_GB2312" w:eastAsia="仿宋_GB2312"/>
              </w:rPr>
              <w:t>2</w:t>
            </w:r>
          </w:p>
        </w:tc>
        <w:tc>
          <w:tcPr>
            <w:tcW w:type="dxa" w:w="2492"/>
          </w:tcPr>
          <w:p>
            <w:pPr>
              <w:pStyle w:val="null3"/>
            </w:pPr>
            <w:r>
              <w:rPr>
                <w:rFonts w:ascii="仿宋_GB2312" w:hAnsi="仿宋_GB2312" w:cs="仿宋_GB2312" w:eastAsia="仿宋_GB2312"/>
              </w:rPr>
              <w:t>签署、盖章</w:t>
            </w:r>
          </w:p>
        </w:tc>
        <w:tc>
          <w:tcPr>
            <w:tcW w:type="dxa" w:w="3322"/>
          </w:tcPr>
          <w:p>
            <w:pPr>
              <w:pStyle w:val="null3"/>
            </w:pPr>
            <w:r>
              <w:rPr>
                <w:rFonts w:ascii="仿宋_GB2312" w:hAnsi="仿宋_GB2312" w:cs="仿宋_GB2312" w:eastAsia="仿宋_GB2312"/>
              </w:rPr>
              <w:t>投标文件按照招标文件规定要求签署、盖章的</w:t>
            </w:r>
          </w:p>
        </w:tc>
        <w:tc>
          <w:tcPr>
            <w:tcW w:type="dxa" w:w="1661"/>
          </w:tcPr>
          <w:p>
            <w:pPr>
              <w:pStyle w:val="null3"/>
            </w:pPr>
            <w:r>
              <w:rPr>
                <w:rFonts w:ascii="仿宋_GB2312" w:hAnsi="仿宋_GB2312" w:cs="仿宋_GB2312" w:eastAsia="仿宋_GB2312"/>
              </w:rPr>
              <w:t>开标一览表 2商务要求偏离表.docx 投标函 中小企业声明函 残疾人福利性单位声明函 标的清单 投标文件封面 1.资格证明文件.docx 监狱企业的证明文件 3采购需求响应与偏离表、佐证材料.docx</w:t>
            </w:r>
          </w:p>
        </w:tc>
      </w:tr>
      <w:tr>
        <w:tc>
          <w:tcPr>
            <w:tcW w:type="dxa" w:w="831"/>
          </w:tcPr>
          <w:p>
            <w:pPr>
              <w:pStyle w:val="null3"/>
            </w:pPr>
            <w:r>
              <w:rPr>
                <w:rFonts w:ascii="仿宋_GB2312" w:hAnsi="仿宋_GB2312" w:cs="仿宋_GB2312" w:eastAsia="仿宋_GB2312"/>
              </w:rPr>
              <w:t>3</w:t>
            </w:r>
          </w:p>
        </w:tc>
        <w:tc>
          <w:tcPr>
            <w:tcW w:type="dxa" w:w="2492"/>
          </w:tcPr>
          <w:p>
            <w:pPr>
              <w:pStyle w:val="null3"/>
            </w:pPr>
            <w:r>
              <w:rPr>
                <w:rFonts w:ascii="仿宋_GB2312" w:hAnsi="仿宋_GB2312" w:cs="仿宋_GB2312" w:eastAsia="仿宋_GB2312"/>
              </w:rPr>
              <w:t>单价报价</w:t>
            </w:r>
          </w:p>
        </w:tc>
        <w:tc>
          <w:tcPr>
            <w:tcW w:type="dxa" w:w="3322"/>
          </w:tcPr>
          <w:p>
            <w:pPr>
              <w:pStyle w:val="null3"/>
            </w:pPr>
            <w:r>
              <w:rPr>
                <w:rFonts w:ascii="仿宋_GB2312" w:hAnsi="仿宋_GB2312" w:cs="仿宋_GB2312" w:eastAsia="仿宋_GB2312"/>
              </w:rPr>
              <w:t>本项目招单价，投标人的单价报价未超过招标文件中规定的单价限价的</w:t>
            </w:r>
          </w:p>
        </w:tc>
        <w:tc>
          <w:tcPr>
            <w:tcW w:type="dxa" w:w="1661"/>
          </w:tcPr>
          <w:p>
            <w:pPr>
              <w:pStyle w:val="null3"/>
            </w:pPr>
            <w:r>
              <w:rPr>
                <w:rFonts w:ascii="仿宋_GB2312" w:hAnsi="仿宋_GB2312" w:cs="仿宋_GB2312" w:eastAsia="仿宋_GB2312"/>
              </w:rPr>
              <w:t>开标一览表 标的清单</w:t>
            </w:r>
          </w:p>
        </w:tc>
      </w:tr>
      <w:tr>
        <w:tc>
          <w:tcPr>
            <w:tcW w:type="dxa" w:w="831"/>
          </w:tcPr>
          <w:p>
            <w:pPr>
              <w:pStyle w:val="null3"/>
            </w:pPr>
            <w:r>
              <w:rPr>
                <w:rFonts w:ascii="仿宋_GB2312" w:hAnsi="仿宋_GB2312" w:cs="仿宋_GB2312" w:eastAsia="仿宋_GB2312"/>
              </w:rPr>
              <w:t>4</w:t>
            </w:r>
          </w:p>
        </w:tc>
        <w:tc>
          <w:tcPr>
            <w:tcW w:type="dxa" w:w="2492"/>
          </w:tcPr>
          <w:p>
            <w:pPr>
              <w:pStyle w:val="null3"/>
            </w:pPr>
            <w:r>
              <w:rPr>
                <w:rFonts w:ascii="仿宋_GB2312" w:hAnsi="仿宋_GB2312" w:cs="仿宋_GB2312" w:eastAsia="仿宋_GB2312"/>
              </w:rPr>
              <w:t>实质性条款</w:t>
            </w:r>
          </w:p>
        </w:tc>
        <w:tc>
          <w:tcPr>
            <w:tcW w:type="dxa" w:w="3322"/>
          </w:tcPr>
          <w:p>
            <w:pPr>
              <w:pStyle w:val="null3"/>
            </w:pPr>
            <w:r>
              <w:rPr>
                <w:rFonts w:ascii="仿宋_GB2312" w:hAnsi="仿宋_GB2312" w:cs="仿宋_GB2312" w:eastAsia="仿宋_GB2312"/>
              </w:rPr>
              <w:t>满足本招标文件中标注的实质性条款（服务期限、服务地点、支付约定）要求的</w:t>
            </w:r>
          </w:p>
        </w:tc>
        <w:tc>
          <w:tcPr>
            <w:tcW w:type="dxa" w:w="1661"/>
          </w:tcPr>
          <w:p>
            <w:pPr>
              <w:pStyle w:val="null3"/>
            </w:pPr>
            <w:r>
              <w:rPr>
                <w:rFonts w:ascii="仿宋_GB2312" w:hAnsi="仿宋_GB2312" w:cs="仿宋_GB2312" w:eastAsia="仿宋_GB2312"/>
              </w:rPr>
              <w:t>2商务要求偏离表.docx</w:t>
            </w:r>
          </w:p>
        </w:tc>
      </w:tr>
      <w:tr>
        <w:tc>
          <w:tcPr>
            <w:tcW w:type="dxa" w:w="831"/>
          </w:tcPr>
          <w:p>
            <w:pPr>
              <w:pStyle w:val="null3"/>
            </w:pPr>
            <w:r>
              <w:rPr>
                <w:rFonts w:ascii="仿宋_GB2312" w:hAnsi="仿宋_GB2312" w:cs="仿宋_GB2312" w:eastAsia="仿宋_GB2312"/>
              </w:rPr>
              <w:t>5</w:t>
            </w:r>
          </w:p>
        </w:tc>
        <w:tc>
          <w:tcPr>
            <w:tcW w:type="dxa" w:w="2492"/>
          </w:tcPr>
          <w:p>
            <w:pPr>
              <w:pStyle w:val="null3"/>
            </w:pPr>
            <w:r>
              <w:rPr>
                <w:rFonts w:ascii="仿宋_GB2312" w:hAnsi="仿宋_GB2312" w:cs="仿宋_GB2312" w:eastAsia="仿宋_GB2312"/>
              </w:rPr>
              <w:t>投标有效期</w:t>
            </w:r>
          </w:p>
        </w:tc>
        <w:tc>
          <w:tcPr>
            <w:tcW w:type="dxa" w:w="3322"/>
          </w:tcPr>
          <w:p>
            <w:pPr>
              <w:pStyle w:val="null3"/>
            </w:pPr>
            <w:r>
              <w:rPr>
                <w:rFonts w:ascii="仿宋_GB2312" w:hAnsi="仿宋_GB2312" w:cs="仿宋_GB2312" w:eastAsia="仿宋_GB2312"/>
              </w:rPr>
              <w:t>投标有效期满足项目要求的</w:t>
            </w:r>
          </w:p>
        </w:tc>
        <w:tc>
          <w:tcPr>
            <w:tcW w:type="dxa" w:w="1661"/>
          </w:tcPr>
          <w:p>
            <w:pPr>
              <w:pStyle w:val="null3"/>
            </w:pPr>
            <w:r>
              <w:rPr>
                <w:rFonts w:ascii="仿宋_GB2312" w:hAnsi="仿宋_GB2312" w:cs="仿宋_GB2312" w:eastAsia="仿宋_GB2312"/>
              </w:rPr>
              <w:t>投标函</w:t>
            </w:r>
          </w:p>
        </w:tc>
      </w:tr>
      <w:tr>
        <w:tc>
          <w:tcPr>
            <w:tcW w:type="dxa" w:w="831"/>
          </w:tcPr>
          <w:p>
            <w:pPr>
              <w:pStyle w:val="null3"/>
            </w:pPr>
            <w:r>
              <w:rPr>
                <w:rFonts w:ascii="仿宋_GB2312" w:hAnsi="仿宋_GB2312" w:cs="仿宋_GB2312" w:eastAsia="仿宋_GB2312"/>
              </w:rPr>
              <w:t>6</w:t>
            </w:r>
          </w:p>
        </w:tc>
        <w:tc>
          <w:tcPr>
            <w:tcW w:type="dxa" w:w="2492"/>
          </w:tcPr>
          <w:p>
            <w:pPr>
              <w:pStyle w:val="null3"/>
            </w:pPr>
            <w:r>
              <w:rPr>
                <w:rFonts w:ascii="仿宋_GB2312" w:hAnsi="仿宋_GB2312" w:cs="仿宋_GB2312" w:eastAsia="仿宋_GB2312"/>
              </w:rPr>
              <w:t>其他无效情形</w:t>
            </w:r>
          </w:p>
        </w:tc>
        <w:tc>
          <w:tcPr>
            <w:tcW w:type="dxa" w:w="3322"/>
          </w:tcPr>
          <w:p>
            <w:pPr>
              <w:pStyle w:val="null3"/>
            </w:pPr>
            <w:r>
              <w:rPr>
                <w:rFonts w:ascii="仿宋_GB2312" w:hAnsi="仿宋_GB2312" w:cs="仿宋_GB2312" w:eastAsia="仿宋_GB2312"/>
              </w:rPr>
              <w:t>无法律、法规和招标文件规定的其他无效情形</w:t>
            </w:r>
          </w:p>
        </w:tc>
        <w:tc>
          <w:tcPr>
            <w:tcW w:type="dxa" w:w="1661"/>
          </w:tcPr>
          <w:p>
            <w:pPr>
              <w:pStyle w:val="null3"/>
            </w:pPr>
            <w:r>
              <w:rPr>
                <w:rFonts w:ascii="仿宋_GB2312" w:hAnsi="仿宋_GB2312" w:cs="仿宋_GB2312" w:eastAsia="仿宋_GB2312"/>
              </w:rPr>
              <w:t>2商务要求偏离表.docx 投标函</w:t>
            </w:r>
          </w:p>
        </w:tc>
      </w:tr>
    </w:tbl>
    <w:p>
      <w:pPr>
        <w:pStyle w:val="null3"/>
      </w:pPr>
      <w:r>
        <w:rPr>
          <w:rFonts w:ascii="仿宋_GB2312" w:hAnsi="仿宋_GB2312" w:cs="仿宋_GB2312" w:eastAsia="仿宋_GB2312"/>
        </w:rPr>
        <w:t>采购包2：</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 xml:space="preserve"> 序号</w:t>
            </w:r>
          </w:p>
        </w:tc>
        <w:tc>
          <w:tcPr>
            <w:tcW w:type="dxa" w:w="2492"/>
          </w:tcPr>
          <w:p>
            <w:pPr>
              <w:pStyle w:val="null3"/>
            </w:pPr>
            <w:r>
              <w:rPr>
                <w:rFonts w:ascii="仿宋_GB2312" w:hAnsi="仿宋_GB2312" w:cs="仿宋_GB2312" w:eastAsia="仿宋_GB2312"/>
              </w:rPr>
              <w:t xml:space="preserve"> 符合审查要求概况</w:t>
            </w:r>
          </w:p>
        </w:tc>
        <w:tc>
          <w:tcPr>
            <w:tcW w:type="dxa" w:w="3322"/>
          </w:tcPr>
          <w:p>
            <w:pPr>
              <w:pStyle w:val="null3"/>
            </w:pPr>
            <w:r>
              <w:rPr>
                <w:rFonts w:ascii="仿宋_GB2312" w:hAnsi="仿宋_GB2312" w:cs="仿宋_GB2312" w:eastAsia="仿宋_GB2312"/>
              </w:rPr>
              <w:t xml:space="preserve"> 评审点具体描述</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不正当竞争预防措施（实质性要求）</w:t>
            </w:r>
          </w:p>
        </w:tc>
        <w:tc>
          <w:tcPr>
            <w:tcW w:type="dxa" w:w="3322"/>
          </w:tcPr>
          <w:p>
            <w:pPr>
              <w:pStyle w:val="null3"/>
            </w:pPr>
            <w:r>
              <w:rPr>
                <w:rFonts w:ascii="仿宋_GB2312" w:hAnsi="仿宋_GB2312" w:cs="仿宋_GB2312" w:eastAsia="仿宋_GB2312"/>
              </w:rPr>
              <w:t>1.在磋商过程中，磋商小组认为供应商的报价明显低于其他实质性响应的供应商报价，有可能影响产品质量或者不能诚信履约的，磋商小组应当要求其在评审现场合理的时间（30分钟）内提供成本构成书面说明，并提交相关证明材料。 书面说明应当包括：①按照国家财务会计制度的规定要求，逐项就投标人提供的货物、工程和服务的主营业务成本（应根据投标人企业类型予以区别）、税金及附加、销售费用、管理费用、财务费用等成本构成事项详细陈述。 ②以前完成类似规模项目与类似价格的业绩证明材料（合同、发票）。2.供应商提交的相关证明材料，应当加盖供应商（法定名称）电子印章，在磋商小组要求的时间内通过项目电子化交易系统进行提交，否则提交的相关证明材料无效。供应商不能证明其报价合理性的，磋商小组应当将其响应文件作为无效处理。</w:t>
            </w:r>
          </w:p>
        </w:tc>
        <w:tc>
          <w:tcPr>
            <w:tcW w:type="dxa" w:w="1661"/>
          </w:tcPr>
          <w:p>
            <w:pPr>
              <w:pStyle w:val="null3"/>
            </w:pPr>
            <w:r>
              <w:rPr>
                <w:rFonts w:ascii="仿宋_GB2312" w:hAnsi="仿宋_GB2312" w:cs="仿宋_GB2312" w:eastAsia="仿宋_GB2312"/>
              </w:rPr>
              <w:t>开标一览表 标的清单</w:t>
            </w:r>
          </w:p>
        </w:tc>
      </w:tr>
      <w:tr>
        <w:tc>
          <w:tcPr>
            <w:tcW w:type="dxa" w:w="831"/>
          </w:tcPr>
          <w:p>
            <w:pPr>
              <w:pStyle w:val="null3"/>
            </w:pPr>
            <w:r>
              <w:rPr>
                <w:rFonts w:ascii="仿宋_GB2312" w:hAnsi="仿宋_GB2312" w:cs="仿宋_GB2312" w:eastAsia="仿宋_GB2312"/>
              </w:rPr>
              <w:t>2</w:t>
            </w:r>
          </w:p>
        </w:tc>
        <w:tc>
          <w:tcPr>
            <w:tcW w:type="dxa" w:w="2492"/>
          </w:tcPr>
          <w:p>
            <w:pPr>
              <w:pStyle w:val="null3"/>
            </w:pPr>
            <w:r>
              <w:rPr>
                <w:rFonts w:ascii="仿宋_GB2312" w:hAnsi="仿宋_GB2312" w:cs="仿宋_GB2312" w:eastAsia="仿宋_GB2312"/>
              </w:rPr>
              <w:t>签署、盖章</w:t>
            </w:r>
          </w:p>
        </w:tc>
        <w:tc>
          <w:tcPr>
            <w:tcW w:type="dxa" w:w="3322"/>
          </w:tcPr>
          <w:p>
            <w:pPr>
              <w:pStyle w:val="null3"/>
            </w:pPr>
            <w:r>
              <w:rPr>
                <w:rFonts w:ascii="仿宋_GB2312" w:hAnsi="仿宋_GB2312" w:cs="仿宋_GB2312" w:eastAsia="仿宋_GB2312"/>
              </w:rPr>
              <w:t>投标文件按照招标文件规定要求签署、盖章的</w:t>
            </w:r>
          </w:p>
        </w:tc>
        <w:tc>
          <w:tcPr>
            <w:tcW w:type="dxa" w:w="1661"/>
          </w:tcPr>
          <w:p>
            <w:pPr>
              <w:pStyle w:val="null3"/>
            </w:pPr>
            <w:r>
              <w:rPr>
                <w:rFonts w:ascii="仿宋_GB2312" w:hAnsi="仿宋_GB2312" w:cs="仿宋_GB2312" w:eastAsia="仿宋_GB2312"/>
              </w:rPr>
              <w:t>开标一览表 2商务要求偏离表.docx 投标函 中小企业声明函 残疾人福利性单位声明函 标的清单 1.资格证明文件.docx 投标文件封面 3采购需求响应与偏离表、佐证材料.docx 监狱企业的证明文件</w:t>
            </w:r>
          </w:p>
        </w:tc>
      </w:tr>
      <w:tr>
        <w:tc>
          <w:tcPr>
            <w:tcW w:type="dxa" w:w="831"/>
          </w:tcPr>
          <w:p>
            <w:pPr>
              <w:pStyle w:val="null3"/>
            </w:pPr>
            <w:r>
              <w:rPr>
                <w:rFonts w:ascii="仿宋_GB2312" w:hAnsi="仿宋_GB2312" w:cs="仿宋_GB2312" w:eastAsia="仿宋_GB2312"/>
              </w:rPr>
              <w:t>3</w:t>
            </w:r>
          </w:p>
        </w:tc>
        <w:tc>
          <w:tcPr>
            <w:tcW w:type="dxa" w:w="2492"/>
          </w:tcPr>
          <w:p>
            <w:pPr>
              <w:pStyle w:val="null3"/>
            </w:pPr>
            <w:r>
              <w:rPr>
                <w:rFonts w:ascii="仿宋_GB2312" w:hAnsi="仿宋_GB2312" w:cs="仿宋_GB2312" w:eastAsia="仿宋_GB2312"/>
              </w:rPr>
              <w:t>单价报价</w:t>
            </w:r>
          </w:p>
        </w:tc>
        <w:tc>
          <w:tcPr>
            <w:tcW w:type="dxa" w:w="3322"/>
          </w:tcPr>
          <w:p>
            <w:pPr>
              <w:pStyle w:val="null3"/>
            </w:pPr>
            <w:r>
              <w:rPr>
                <w:rFonts w:ascii="仿宋_GB2312" w:hAnsi="仿宋_GB2312" w:cs="仿宋_GB2312" w:eastAsia="仿宋_GB2312"/>
              </w:rPr>
              <w:t>本项目招单价，投标人的单价报价未超过招标文件中规定的单价限价的</w:t>
            </w:r>
          </w:p>
        </w:tc>
        <w:tc>
          <w:tcPr>
            <w:tcW w:type="dxa" w:w="1661"/>
          </w:tcPr>
          <w:p>
            <w:pPr>
              <w:pStyle w:val="null3"/>
            </w:pPr>
            <w:r>
              <w:rPr>
                <w:rFonts w:ascii="仿宋_GB2312" w:hAnsi="仿宋_GB2312" w:cs="仿宋_GB2312" w:eastAsia="仿宋_GB2312"/>
              </w:rPr>
              <w:t>开标一览表 标的清单</w:t>
            </w:r>
          </w:p>
        </w:tc>
      </w:tr>
      <w:tr>
        <w:tc>
          <w:tcPr>
            <w:tcW w:type="dxa" w:w="831"/>
          </w:tcPr>
          <w:p>
            <w:pPr>
              <w:pStyle w:val="null3"/>
            </w:pPr>
            <w:r>
              <w:rPr>
                <w:rFonts w:ascii="仿宋_GB2312" w:hAnsi="仿宋_GB2312" w:cs="仿宋_GB2312" w:eastAsia="仿宋_GB2312"/>
              </w:rPr>
              <w:t>4</w:t>
            </w:r>
          </w:p>
        </w:tc>
        <w:tc>
          <w:tcPr>
            <w:tcW w:type="dxa" w:w="2492"/>
          </w:tcPr>
          <w:p>
            <w:pPr>
              <w:pStyle w:val="null3"/>
            </w:pPr>
            <w:r>
              <w:rPr>
                <w:rFonts w:ascii="仿宋_GB2312" w:hAnsi="仿宋_GB2312" w:cs="仿宋_GB2312" w:eastAsia="仿宋_GB2312"/>
              </w:rPr>
              <w:t>实质性条款</w:t>
            </w:r>
          </w:p>
        </w:tc>
        <w:tc>
          <w:tcPr>
            <w:tcW w:type="dxa" w:w="3322"/>
          </w:tcPr>
          <w:p>
            <w:pPr>
              <w:pStyle w:val="null3"/>
            </w:pPr>
            <w:r>
              <w:rPr>
                <w:rFonts w:ascii="仿宋_GB2312" w:hAnsi="仿宋_GB2312" w:cs="仿宋_GB2312" w:eastAsia="仿宋_GB2312"/>
              </w:rPr>
              <w:t>满足本招标文件中标注的实质性条款（服务期限、服务地点、支付约定）要求的</w:t>
            </w:r>
          </w:p>
        </w:tc>
        <w:tc>
          <w:tcPr>
            <w:tcW w:type="dxa" w:w="1661"/>
          </w:tcPr>
          <w:p>
            <w:pPr>
              <w:pStyle w:val="null3"/>
            </w:pPr>
            <w:r>
              <w:rPr>
                <w:rFonts w:ascii="仿宋_GB2312" w:hAnsi="仿宋_GB2312" w:cs="仿宋_GB2312" w:eastAsia="仿宋_GB2312"/>
              </w:rPr>
              <w:t>2商务要求偏离表.docx</w:t>
            </w:r>
          </w:p>
        </w:tc>
      </w:tr>
      <w:tr>
        <w:tc>
          <w:tcPr>
            <w:tcW w:type="dxa" w:w="831"/>
          </w:tcPr>
          <w:p>
            <w:pPr>
              <w:pStyle w:val="null3"/>
            </w:pPr>
            <w:r>
              <w:rPr>
                <w:rFonts w:ascii="仿宋_GB2312" w:hAnsi="仿宋_GB2312" w:cs="仿宋_GB2312" w:eastAsia="仿宋_GB2312"/>
              </w:rPr>
              <w:t>5</w:t>
            </w:r>
          </w:p>
        </w:tc>
        <w:tc>
          <w:tcPr>
            <w:tcW w:type="dxa" w:w="2492"/>
          </w:tcPr>
          <w:p>
            <w:pPr>
              <w:pStyle w:val="null3"/>
            </w:pPr>
            <w:r>
              <w:rPr>
                <w:rFonts w:ascii="仿宋_GB2312" w:hAnsi="仿宋_GB2312" w:cs="仿宋_GB2312" w:eastAsia="仿宋_GB2312"/>
              </w:rPr>
              <w:t>投标有效期</w:t>
            </w:r>
          </w:p>
        </w:tc>
        <w:tc>
          <w:tcPr>
            <w:tcW w:type="dxa" w:w="3322"/>
          </w:tcPr>
          <w:p>
            <w:pPr>
              <w:pStyle w:val="null3"/>
            </w:pPr>
            <w:r>
              <w:rPr>
                <w:rFonts w:ascii="仿宋_GB2312" w:hAnsi="仿宋_GB2312" w:cs="仿宋_GB2312" w:eastAsia="仿宋_GB2312"/>
              </w:rPr>
              <w:t>投标有效期满足项目要求的</w:t>
            </w:r>
          </w:p>
        </w:tc>
        <w:tc>
          <w:tcPr>
            <w:tcW w:type="dxa" w:w="1661"/>
          </w:tcPr>
          <w:p>
            <w:pPr>
              <w:pStyle w:val="null3"/>
            </w:pPr>
            <w:r>
              <w:rPr>
                <w:rFonts w:ascii="仿宋_GB2312" w:hAnsi="仿宋_GB2312" w:cs="仿宋_GB2312" w:eastAsia="仿宋_GB2312"/>
              </w:rPr>
              <w:t>投标函</w:t>
            </w:r>
          </w:p>
        </w:tc>
      </w:tr>
      <w:tr>
        <w:tc>
          <w:tcPr>
            <w:tcW w:type="dxa" w:w="831"/>
          </w:tcPr>
          <w:p>
            <w:pPr>
              <w:pStyle w:val="null3"/>
            </w:pPr>
            <w:r>
              <w:rPr>
                <w:rFonts w:ascii="仿宋_GB2312" w:hAnsi="仿宋_GB2312" w:cs="仿宋_GB2312" w:eastAsia="仿宋_GB2312"/>
              </w:rPr>
              <w:t>6</w:t>
            </w:r>
          </w:p>
        </w:tc>
        <w:tc>
          <w:tcPr>
            <w:tcW w:type="dxa" w:w="2492"/>
          </w:tcPr>
          <w:p>
            <w:pPr>
              <w:pStyle w:val="null3"/>
            </w:pPr>
            <w:r>
              <w:rPr>
                <w:rFonts w:ascii="仿宋_GB2312" w:hAnsi="仿宋_GB2312" w:cs="仿宋_GB2312" w:eastAsia="仿宋_GB2312"/>
              </w:rPr>
              <w:t>其他无效情形</w:t>
            </w:r>
          </w:p>
        </w:tc>
        <w:tc>
          <w:tcPr>
            <w:tcW w:type="dxa" w:w="3322"/>
          </w:tcPr>
          <w:p>
            <w:pPr>
              <w:pStyle w:val="null3"/>
            </w:pPr>
            <w:r>
              <w:rPr>
                <w:rFonts w:ascii="仿宋_GB2312" w:hAnsi="仿宋_GB2312" w:cs="仿宋_GB2312" w:eastAsia="仿宋_GB2312"/>
              </w:rPr>
              <w:t>无法律、法规和招标文件规定的其他无效情形</w:t>
            </w:r>
          </w:p>
        </w:tc>
        <w:tc>
          <w:tcPr>
            <w:tcW w:type="dxa" w:w="1661"/>
          </w:tcPr>
          <w:p>
            <w:pPr>
              <w:pStyle w:val="null3"/>
            </w:pPr>
            <w:r>
              <w:rPr>
                <w:rFonts w:ascii="仿宋_GB2312" w:hAnsi="仿宋_GB2312" w:cs="仿宋_GB2312" w:eastAsia="仿宋_GB2312"/>
              </w:rPr>
              <w:t>2商务要求偏离表.docx 投标函</w:t>
            </w:r>
          </w:p>
        </w:tc>
      </w:tr>
    </w:tbl>
    <w:p>
      <w:pPr>
        <w:pStyle w:val="null3"/>
        <w:ind w:firstLine="480"/>
      </w:pPr>
      <w:r>
        <w:rPr>
          <w:rFonts w:ascii="仿宋_GB2312" w:hAnsi="仿宋_GB2312" w:cs="仿宋_GB2312" w:eastAsia="仿宋_GB2312"/>
        </w:rPr>
        <w:t xml:space="preserve"> 以上实质性要求全部响应并满足采购需求的，则通过符合性审查；如有任意一项未响应或不满足采购需求的，则按无效投标文件处理。如果评标委员会认为投标人有任意一项不通过的，应在符合性审查表中载明不通过的具体原因。</w:t>
      </w:r>
    </w:p>
    <w:p>
      <w:pPr>
        <w:pStyle w:val="null3"/>
        <w:outlineLvl w:val="3"/>
      </w:pPr>
      <w:r>
        <w:rPr>
          <w:rFonts w:ascii="仿宋_GB2312" w:hAnsi="仿宋_GB2312" w:cs="仿宋_GB2312" w:eastAsia="仿宋_GB2312"/>
          <w:sz w:val="24"/>
          <w:b/>
        </w:rPr>
        <w:t>5.4.3解释、澄清有关问题</w:t>
      </w:r>
    </w:p>
    <w:p>
      <w:pPr>
        <w:pStyle w:val="null3"/>
        <w:ind w:firstLine="480"/>
      </w:pPr>
      <w:r>
        <w:rPr>
          <w:rFonts w:ascii="仿宋_GB2312" w:hAnsi="仿宋_GB2312" w:cs="仿宋_GB2312" w:eastAsia="仿宋_GB2312"/>
        </w:rPr>
        <w:t xml:space="preserve"> 一、评标过程中，评标委员会认为招标文件有关事项表述不明确或需要说明的，可以提请代理机构书面解释。代理机构的解释不得改变招标文件的原义或者影响公平、公正，解释事项如果涉及投标人权益的以有利于投标人的原则进行解释。</w:t>
      </w:r>
    </w:p>
    <w:p>
      <w:pPr>
        <w:pStyle w:val="null3"/>
        <w:ind w:firstLine="480"/>
      </w:pPr>
      <w:r>
        <w:rPr>
          <w:rFonts w:ascii="仿宋_GB2312" w:hAnsi="仿宋_GB2312" w:cs="仿宋_GB2312" w:eastAsia="仿宋_GB2312"/>
        </w:rPr>
        <w:t xml:space="preserve"> 二、对投标文件中含义不明确、同类问题表述不一致或者有明显文字和计算错误的内容，评标委员会应当要求投标人作出必要的澄清、说明或更正，并给予投标人必要的反馈时间。投标人应当按评标委员会的要求进行澄清、说明或者更正。投标人的澄清、说明或者更正不得超出投标文件的范围或者改变投标文件的实质性内容。澄清、说明或者更正不影响投标文件的效力，有效的澄清、说明或者更正材料是投标文件的组成部分。</w:t>
      </w:r>
    </w:p>
    <w:p>
      <w:pPr>
        <w:pStyle w:val="null3"/>
        <w:ind w:firstLine="480"/>
      </w:pPr>
      <w:r>
        <w:rPr>
          <w:rFonts w:ascii="仿宋_GB2312" w:hAnsi="仿宋_GB2312" w:cs="仿宋_GB2312" w:eastAsia="仿宋_GB2312"/>
        </w:rPr>
        <w:t xml:space="preserve"> 三、投标人的澄清、说明或者更正需进行电子签章，应当不超出投标文件的范围、不实质性改变投标文件的内容、不影响投标人的公平竞争、不导致投标文件从不响应招标文件变为响应招标文件的条件。下列内容不得澄清：</w:t>
      </w:r>
    </w:p>
    <w:p>
      <w:pPr>
        <w:pStyle w:val="null3"/>
        <w:ind w:firstLine="480"/>
      </w:pPr>
      <w:r>
        <w:rPr>
          <w:rFonts w:ascii="仿宋_GB2312" w:hAnsi="仿宋_GB2312" w:cs="仿宋_GB2312" w:eastAsia="仿宋_GB2312"/>
        </w:rPr>
        <w:t>（一）投标人投标文件中不响应招标文件规定的技术参数指标和商务应答；</w:t>
      </w:r>
    </w:p>
    <w:p>
      <w:pPr>
        <w:pStyle w:val="null3"/>
        <w:ind w:firstLine="480"/>
      </w:pPr>
      <w:r>
        <w:rPr>
          <w:rFonts w:ascii="仿宋_GB2312" w:hAnsi="仿宋_GB2312" w:cs="仿宋_GB2312" w:eastAsia="仿宋_GB2312"/>
        </w:rPr>
        <w:t>（二）投标人投标文件中未提供的证明其是否符合招标文件资格、符合性规定要求的相关材料。</w:t>
      </w:r>
    </w:p>
    <w:p>
      <w:pPr>
        <w:pStyle w:val="null3"/>
        <w:ind w:firstLine="480"/>
      </w:pPr>
      <w:r>
        <w:rPr>
          <w:rFonts w:ascii="仿宋_GB2312" w:hAnsi="仿宋_GB2312" w:cs="仿宋_GB2312" w:eastAsia="仿宋_GB2312"/>
        </w:rPr>
        <w:t>（三）投标人投标文件中的材料因印刷、影印等不清晰而难以辨认的。</w:t>
      </w:r>
    </w:p>
    <w:p>
      <w:pPr>
        <w:pStyle w:val="null3"/>
        <w:ind w:firstLine="480"/>
      </w:pPr>
      <w:r>
        <w:rPr>
          <w:rFonts w:ascii="仿宋_GB2312" w:hAnsi="仿宋_GB2312" w:cs="仿宋_GB2312" w:eastAsia="仿宋_GB2312"/>
        </w:rPr>
        <w:t>四、投标文件报价出现下列情况的，按以下原则处理：</w:t>
      </w:r>
    </w:p>
    <w:p>
      <w:pPr>
        <w:pStyle w:val="null3"/>
        <w:ind w:firstLine="480"/>
      </w:pPr>
      <w:r>
        <w:rPr>
          <w:rFonts w:ascii="仿宋_GB2312" w:hAnsi="仿宋_GB2312" w:cs="仿宋_GB2312" w:eastAsia="仿宋_GB2312"/>
        </w:rPr>
        <w:t>（一）投标文件中开标一览表（报价表）内容与投标文件中相应内容不一致的，以开标一览表（报价表）为准；</w:t>
      </w:r>
    </w:p>
    <w:p>
      <w:pPr>
        <w:pStyle w:val="null3"/>
        <w:ind w:firstLine="480"/>
      </w:pPr>
      <w:r>
        <w:rPr>
          <w:rFonts w:ascii="仿宋_GB2312" w:hAnsi="仿宋_GB2312" w:cs="仿宋_GB2312" w:eastAsia="仿宋_GB2312"/>
        </w:rPr>
        <w:t>（二）大写金额和小写金额不一致的，以大写金额为准，但大写金额出现文字错误，导致金额无法判断的除外；</w:t>
      </w:r>
    </w:p>
    <w:p>
      <w:pPr>
        <w:pStyle w:val="null3"/>
        <w:ind w:firstLine="480"/>
      </w:pPr>
      <w:r>
        <w:rPr>
          <w:rFonts w:ascii="仿宋_GB2312" w:hAnsi="仿宋_GB2312" w:cs="仿宋_GB2312" w:eastAsia="仿宋_GB2312"/>
        </w:rPr>
        <w:t>（三）单价金额小数点或者百分比有明显错位的，以开标一览表总价为准，并修改单价；</w:t>
      </w:r>
    </w:p>
    <w:p>
      <w:pPr>
        <w:pStyle w:val="null3"/>
        <w:ind w:firstLine="480"/>
      </w:pPr>
      <w:r>
        <w:rPr>
          <w:rFonts w:ascii="仿宋_GB2312" w:hAnsi="仿宋_GB2312" w:cs="仿宋_GB2312" w:eastAsia="仿宋_GB2312"/>
        </w:rPr>
        <w:t>（四）总价金额与按单价汇总金额不一致的，以单价金额计算结果为准。</w:t>
      </w:r>
    </w:p>
    <w:p>
      <w:pPr>
        <w:pStyle w:val="null3"/>
        <w:ind w:firstLine="480"/>
      </w:pPr>
      <w:r>
        <w:rPr>
          <w:rFonts w:ascii="仿宋_GB2312" w:hAnsi="仿宋_GB2312" w:cs="仿宋_GB2312" w:eastAsia="仿宋_GB2312"/>
        </w:rPr>
        <w:t xml:space="preserve"> 同时出现两种以上不一致的，按照前款规定的顺序修正。修正后的报价经投标人确认后产生约束力，投标人不确认的，其投标无效。</w:t>
      </w:r>
    </w:p>
    <w:p>
      <w:pPr>
        <w:pStyle w:val="null3"/>
        <w:ind w:firstLine="480"/>
      </w:pPr>
      <w:r>
        <w:rPr>
          <w:rFonts w:ascii="仿宋_GB2312" w:hAnsi="仿宋_GB2312" w:cs="仿宋_GB2312" w:eastAsia="仿宋_GB2312"/>
        </w:rPr>
        <w:t>五、对不同语言文本投标文件的解释发生异议的，以中文文本为准。</w:t>
      </w:r>
    </w:p>
    <w:p>
      <w:pPr>
        <w:pStyle w:val="null3"/>
        <w:ind w:firstLine="480"/>
      </w:pPr>
      <w:r>
        <w:rPr>
          <w:rFonts w:ascii="仿宋_GB2312" w:hAnsi="仿宋_GB2312" w:cs="仿宋_GB2312" w:eastAsia="仿宋_GB2312"/>
        </w:rPr>
        <w:t xml:space="preserve"> 六、代理机构宣布评标结束前，投标人应通过项目电子化交易系统随时关注评标消息提示，及时响应评标委员会发出的澄清、说明或更正要求。投标人未能及时响应的，自行承担不利后果。</w:t>
      </w:r>
    </w:p>
    <w:p>
      <w:pPr>
        <w:pStyle w:val="null3"/>
        <w:ind w:firstLine="480"/>
      </w:pPr>
      <w:r>
        <w:rPr>
          <w:rFonts w:ascii="仿宋_GB2312" w:hAnsi="仿宋_GB2312" w:cs="仿宋_GB2312" w:eastAsia="仿宋_GB2312"/>
        </w:rPr>
        <w:t>评标委员会应当积极履行澄清、说明或者更正的职责，不得滥用权力。</w:t>
      </w:r>
    </w:p>
    <w:p>
      <w:pPr>
        <w:pStyle w:val="null3"/>
        <w:outlineLvl w:val="3"/>
      </w:pPr>
      <w:r>
        <w:rPr>
          <w:rFonts w:ascii="仿宋_GB2312" w:hAnsi="仿宋_GB2312" w:cs="仿宋_GB2312" w:eastAsia="仿宋_GB2312"/>
          <w:sz w:val="24"/>
          <w:b/>
        </w:rPr>
        <w:t>5.4.4比较与评价</w:t>
      </w:r>
    </w:p>
    <w:p>
      <w:pPr>
        <w:pStyle w:val="null3"/>
        <w:ind w:firstLine="480"/>
      </w:pPr>
      <w:r>
        <w:rPr>
          <w:rFonts w:ascii="仿宋_GB2312" w:hAnsi="仿宋_GB2312" w:cs="仿宋_GB2312" w:eastAsia="仿宋_GB2312"/>
        </w:rPr>
        <w:t xml:space="preserve"> 评标委员会应当按照招标文件规定的评标细则及标准，对符合性检查合格的投标文件进行商务和技术评估，综合比较和评价。</w:t>
      </w:r>
    </w:p>
    <w:p>
      <w:pPr>
        <w:pStyle w:val="null3"/>
        <w:outlineLvl w:val="3"/>
      </w:pPr>
      <w:r>
        <w:rPr>
          <w:rFonts w:ascii="仿宋_GB2312" w:hAnsi="仿宋_GB2312" w:cs="仿宋_GB2312" w:eastAsia="仿宋_GB2312"/>
          <w:sz w:val="24"/>
          <w:b/>
        </w:rPr>
        <w:t>5.4.5复核</w:t>
      </w:r>
    </w:p>
    <w:p>
      <w:pPr>
        <w:pStyle w:val="null3"/>
        <w:ind w:firstLine="480"/>
      </w:pPr>
      <w:r>
        <w:rPr>
          <w:rFonts w:ascii="仿宋_GB2312" w:hAnsi="仿宋_GB2312" w:cs="仿宋_GB2312" w:eastAsia="仿宋_GB2312"/>
        </w:rPr>
        <w:t xml:space="preserve"> 评分汇总结束后，评标委员会应当进行复核，对拟推荐为中标候选供应商、报价最低、投标文件被认定为无效等进行重点复核。</w:t>
      </w:r>
    </w:p>
    <w:p>
      <w:pPr>
        <w:pStyle w:val="null3"/>
        <w:ind w:firstLine="480"/>
      </w:pPr>
      <w:r>
        <w:rPr>
          <w:rFonts w:ascii="仿宋_GB2312" w:hAnsi="仿宋_GB2312" w:cs="仿宋_GB2312" w:eastAsia="仿宋_GB2312"/>
        </w:rPr>
        <w:t xml:space="preserve"> 评标结果汇总完成后，评标委员会拟出具评标报告前，代理机构应当组织不少于2名工作人员，在采购监督人员的监督之下，依据有关的法律制度和招标文件对评标结果进行复核，出具复核报告。</w:t>
      </w:r>
    </w:p>
    <w:p>
      <w:pPr>
        <w:pStyle w:val="null3"/>
        <w:ind w:firstLine="480"/>
      </w:pPr>
      <w:r>
        <w:rPr>
          <w:rFonts w:ascii="仿宋_GB2312" w:hAnsi="仿宋_GB2312" w:cs="仿宋_GB2312" w:eastAsia="仿宋_GB2312"/>
        </w:rPr>
        <w:t>评标结果汇总完成后，除下列情形外，任何人不得修改评标结果：</w:t>
      </w:r>
    </w:p>
    <w:p>
      <w:pPr>
        <w:pStyle w:val="null3"/>
        <w:ind w:firstLine="480"/>
      </w:pPr>
      <w:r>
        <w:rPr>
          <w:rFonts w:ascii="仿宋_GB2312" w:hAnsi="仿宋_GB2312" w:cs="仿宋_GB2312" w:eastAsia="仿宋_GB2312"/>
        </w:rPr>
        <w:t>（一）分值汇总计算错误的；</w:t>
      </w:r>
    </w:p>
    <w:p>
      <w:pPr>
        <w:pStyle w:val="null3"/>
        <w:ind w:firstLine="480"/>
      </w:pPr>
      <w:r>
        <w:rPr>
          <w:rFonts w:ascii="仿宋_GB2312" w:hAnsi="仿宋_GB2312" w:cs="仿宋_GB2312" w:eastAsia="仿宋_GB2312"/>
        </w:rPr>
        <w:t>（二）分项评分超出评分标准范围的；</w:t>
      </w:r>
    </w:p>
    <w:p>
      <w:pPr>
        <w:pStyle w:val="null3"/>
        <w:ind w:firstLine="480"/>
      </w:pPr>
      <w:r>
        <w:rPr>
          <w:rFonts w:ascii="仿宋_GB2312" w:hAnsi="仿宋_GB2312" w:cs="仿宋_GB2312" w:eastAsia="仿宋_GB2312"/>
        </w:rPr>
        <w:t>（三）评标委员会成员对客观评审因素评分不一致的；</w:t>
      </w:r>
    </w:p>
    <w:p>
      <w:pPr>
        <w:pStyle w:val="null3"/>
        <w:ind w:firstLine="480"/>
      </w:pPr>
      <w:r>
        <w:rPr>
          <w:rFonts w:ascii="仿宋_GB2312" w:hAnsi="仿宋_GB2312" w:cs="仿宋_GB2312" w:eastAsia="仿宋_GB2312"/>
        </w:rPr>
        <w:t>（四）经评标委员会认定评分畸高、畸低的。</w:t>
      </w:r>
    </w:p>
    <w:p>
      <w:pPr>
        <w:pStyle w:val="null3"/>
        <w:ind w:firstLine="480"/>
      </w:pPr>
      <w:r>
        <w:rPr>
          <w:rFonts w:ascii="仿宋_GB2312" w:hAnsi="仿宋_GB2312" w:cs="仿宋_GB2312" w:eastAsia="仿宋_GB2312"/>
        </w:rPr>
        <w:t xml:space="preserve"> 评标报告签署前，经复核发现存在以上情形之一的，评标委员会应当当场修改评标结果，并在评标报告中记载；评标报告签署后，采购人或者代理机构发现存在以上情形之一的，应当组织原评标委员会进行重新评审，重新评审改变评标结果的，书面报告本级财政部门。</w:t>
      </w:r>
    </w:p>
    <w:p>
      <w:pPr>
        <w:pStyle w:val="null3"/>
        <w:outlineLvl w:val="3"/>
      </w:pPr>
      <w:r>
        <w:rPr>
          <w:rFonts w:ascii="仿宋_GB2312" w:hAnsi="仿宋_GB2312" w:cs="仿宋_GB2312" w:eastAsia="仿宋_GB2312"/>
          <w:sz w:val="24"/>
          <w:b/>
        </w:rPr>
        <w:t>5.4.6确定中标候选人名单</w:t>
      </w:r>
    </w:p>
    <w:p>
      <w:pPr>
        <w:pStyle w:val="null3"/>
      </w:pPr>
      <w:r>
        <w:rPr>
          <w:rFonts w:ascii="仿宋_GB2312" w:hAnsi="仿宋_GB2312" w:cs="仿宋_GB2312" w:eastAsia="仿宋_GB2312"/>
        </w:rPr>
        <w:t>采购包1：</w:t>
      </w:r>
      <w:r>
        <w:rPr>
          <w:rFonts w:ascii="仿宋_GB2312" w:hAnsi="仿宋_GB2312" w:cs="仿宋_GB2312" w:eastAsia="仿宋_GB2312"/>
        </w:rPr>
        <w:t>按投标人综合得分从高到低进行排序，确定3名中标候选人。综合得分相同的，按投标报价由低到高顺序排列；得分且投标报价相同的，按投标人提供的优先采购产品认证证书数量由多到少顺序排列；得分且投标报价且提供的优先采购产品认证证书数量相同的并列。投标文件满足招标文件全部实质性要求，且按照评审因素的量化指标评审得分最高的投标人为排名第一的中标候选人。</w:t>
      </w:r>
    </w:p>
    <w:p>
      <w:pPr>
        <w:pStyle w:val="null3"/>
      </w:pPr>
      <w:r>
        <w:rPr>
          <w:rFonts w:ascii="仿宋_GB2312" w:hAnsi="仿宋_GB2312" w:cs="仿宋_GB2312" w:eastAsia="仿宋_GB2312"/>
        </w:rPr>
        <w:t>采购包2：</w:t>
      </w:r>
      <w:r>
        <w:rPr>
          <w:rFonts w:ascii="仿宋_GB2312" w:hAnsi="仿宋_GB2312" w:cs="仿宋_GB2312" w:eastAsia="仿宋_GB2312"/>
        </w:rPr>
        <w:t>按投标人综合得分从高到低进行排序，确定3名中标候选人。综合得分相同的，按投标报价由低到高顺序排列；得分且投标报价相同的，按投标人提供的优先采购产品认证证书数量由多到少顺序排列；得分且投标报价且提供的优先采购产品认证证书数量相同的并列。投标文件满足招标文件全部实质性要求，且按照评审因素的量化指标评审得分最高的投标人为排名第一的中标候选人。</w:t>
      </w:r>
    </w:p>
    <w:p>
      <w:pPr>
        <w:pStyle w:val="null3"/>
        <w:outlineLvl w:val="3"/>
      </w:pPr>
      <w:r>
        <w:rPr>
          <w:rFonts w:ascii="仿宋_GB2312" w:hAnsi="仿宋_GB2312" w:cs="仿宋_GB2312" w:eastAsia="仿宋_GB2312"/>
          <w:sz w:val="24"/>
          <w:b/>
        </w:rPr>
        <w:t>5.4.7编写评标报告</w:t>
      </w:r>
    </w:p>
    <w:p>
      <w:pPr>
        <w:pStyle w:val="null3"/>
        <w:ind w:firstLine="480"/>
      </w:pPr>
      <w:r>
        <w:rPr>
          <w:rFonts w:ascii="仿宋_GB2312" w:hAnsi="仿宋_GB2312" w:cs="仿宋_GB2312" w:eastAsia="仿宋_GB2312"/>
        </w:rPr>
        <w:t>评标报告是评标委员会根据全体评标成员签字的评标记录和评标结果编写的报告，其主要内容包括：</w:t>
      </w:r>
    </w:p>
    <w:p>
      <w:pPr>
        <w:pStyle w:val="null3"/>
        <w:ind w:firstLine="480"/>
      </w:pPr>
      <w:r>
        <w:rPr>
          <w:rFonts w:ascii="仿宋_GB2312" w:hAnsi="仿宋_GB2312" w:cs="仿宋_GB2312" w:eastAsia="仿宋_GB2312"/>
        </w:rPr>
        <w:t>一、招标公告刊登的媒体名称、开标日期和地点；</w:t>
      </w:r>
    </w:p>
    <w:p>
      <w:pPr>
        <w:pStyle w:val="null3"/>
        <w:ind w:firstLine="480"/>
      </w:pPr>
      <w:r>
        <w:rPr>
          <w:rFonts w:ascii="仿宋_GB2312" w:hAnsi="仿宋_GB2312" w:cs="仿宋_GB2312" w:eastAsia="仿宋_GB2312"/>
        </w:rPr>
        <w:t>二、投标人名单和评标委员会成员名单；</w:t>
      </w:r>
    </w:p>
    <w:p>
      <w:pPr>
        <w:pStyle w:val="null3"/>
        <w:ind w:firstLine="480"/>
      </w:pPr>
      <w:r>
        <w:rPr>
          <w:rFonts w:ascii="仿宋_GB2312" w:hAnsi="仿宋_GB2312" w:cs="仿宋_GB2312" w:eastAsia="仿宋_GB2312"/>
        </w:rPr>
        <w:t>三、评标方法和标准；</w:t>
      </w:r>
    </w:p>
    <w:p>
      <w:pPr>
        <w:pStyle w:val="null3"/>
        <w:ind w:firstLine="480"/>
      </w:pPr>
      <w:r>
        <w:rPr>
          <w:rFonts w:ascii="仿宋_GB2312" w:hAnsi="仿宋_GB2312" w:cs="仿宋_GB2312" w:eastAsia="仿宋_GB2312"/>
        </w:rPr>
        <w:t>四、开标记录和评标情况及说明，包括投标无效投标人名单及原因；</w:t>
      </w:r>
    </w:p>
    <w:p>
      <w:pPr>
        <w:pStyle w:val="null3"/>
        <w:ind w:firstLine="480"/>
      </w:pPr>
      <w:r>
        <w:rPr>
          <w:rFonts w:ascii="仿宋_GB2312" w:hAnsi="仿宋_GB2312" w:cs="仿宋_GB2312" w:eastAsia="仿宋_GB2312"/>
        </w:rPr>
        <w:t>五、评标结果，确定的中标候选人名单或者经采购人委托直接确定的中标人；</w:t>
      </w:r>
    </w:p>
    <w:p>
      <w:pPr>
        <w:pStyle w:val="null3"/>
        <w:ind w:firstLine="480"/>
      </w:pPr>
      <w:r>
        <w:rPr>
          <w:rFonts w:ascii="仿宋_GB2312" w:hAnsi="仿宋_GB2312" w:cs="仿宋_GB2312" w:eastAsia="仿宋_GB2312"/>
        </w:rPr>
        <w:t xml:space="preserve"> 六、其他需要说明的情况，包括评标过程中投标人根据评标委员会要求进行的澄清、说明或者更正，评标委员会成员的更换等；</w:t>
      </w:r>
    </w:p>
    <w:p>
      <w:pPr>
        <w:pStyle w:val="null3"/>
        <w:ind w:firstLine="480"/>
      </w:pPr>
      <w:r>
        <w:rPr>
          <w:rFonts w:ascii="仿宋_GB2312" w:hAnsi="仿宋_GB2312" w:cs="仿宋_GB2312" w:eastAsia="仿宋_GB2312"/>
        </w:rPr>
        <w:t>七、报价最高的投标人为中标候选人的，评标委员会应当对其报价的合理性予以特别说明。</w:t>
      </w:r>
    </w:p>
    <w:p>
      <w:pPr>
        <w:pStyle w:val="null3"/>
        <w:ind w:firstLine="480"/>
      </w:pPr>
      <w:r>
        <w:rPr>
          <w:rFonts w:ascii="仿宋_GB2312" w:hAnsi="仿宋_GB2312" w:cs="仿宋_GB2312" w:eastAsia="仿宋_GB2312"/>
        </w:rPr>
        <w:t xml:space="preserve"> 评标委员会成员应当在评标报告中签字或加盖电子签章确认，对评标过程和结果有不同意见的，应当在评标报告中写明并说明理由。签字但未写明不同意见或者未说明理由的，视同无意见。拒不签字或加盖电子签章又未另行说明其不同意见和理由的，视同同意评标结果。</w:t>
      </w:r>
    </w:p>
    <w:p>
      <w:pPr>
        <w:pStyle w:val="null3"/>
        <w:outlineLvl w:val="2"/>
      </w:pPr>
      <w:r>
        <w:rPr>
          <w:rFonts w:ascii="仿宋_GB2312" w:hAnsi="仿宋_GB2312" w:cs="仿宋_GB2312" w:eastAsia="仿宋_GB2312"/>
          <w:sz w:val="28"/>
          <w:b/>
        </w:rPr>
        <w:t>5.5评标争议处理规则</w:t>
      </w:r>
    </w:p>
    <w:p>
      <w:pPr>
        <w:pStyle w:val="null3"/>
        <w:ind w:firstLine="480"/>
      </w:pPr>
      <w:r>
        <w:rPr>
          <w:rFonts w:ascii="仿宋_GB2312" w:hAnsi="仿宋_GB2312" w:cs="仿宋_GB2312" w:eastAsia="仿宋_GB2312"/>
        </w:rPr>
        <w:t xml:space="preserve"> 评标委员会在评标过程中，对于符合性审查、对投标人文件作无效投标处理及其他需要共同认定的事项存在争议的，应当以少数服从多数的原则作出结论，但不得违背法律法规和招标文件规定。持不同意见的评标委员会成员应当在评标报告上签署不同意见及理由，否则视为同意评标报告。持不同意见的评标委员会成员认为认定过程和结果不符合法律法规或者招标文件规定的，应当及时向采购人或代理机构书面反映。采购人或代理机构收到书面反映后，应当书面报告采购项目同级财政部门依法处理。</w:t>
      </w:r>
    </w:p>
    <w:p>
      <w:pPr>
        <w:pStyle w:val="null3"/>
        <w:outlineLvl w:val="2"/>
      </w:pPr>
      <w:r>
        <w:rPr>
          <w:rFonts w:ascii="仿宋_GB2312" w:hAnsi="仿宋_GB2312" w:cs="仿宋_GB2312" w:eastAsia="仿宋_GB2312"/>
          <w:sz w:val="28"/>
          <w:b/>
        </w:rPr>
        <w:t>5.6评标细则及标准</w:t>
      </w:r>
    </w:p>
    <w:p>
      <w:pPr>
        <w:pStyle w:val="null3"/>
        <w:ind w:firstLine="480"/>
      </w:pPr>
      <w:r>
        <w:rPr>
          <w:rFonts w:ascii="仿宋_GB2312" w:hAnsi="仿宋_GB2312" w:cs="仿宋_GB2312" w:eastAsia="仿宋_GB2312"/>
        </w:rPr>
        <w:t xml:space="preserve"> 一、评标委员会只对通过资格审查的投标文件，根据招标文件的要求采用相同的评标程序、评分办法及标准进行评价和比较。</w:t>
      </w:r>
    </w:p>
    <w:p>
      <w:pPr>
        <w:pStyle w:val="null3"/>
        <w:ind w:firstLine="480"/>
      </w:pPr>
      <w:r>
        <w:rPr>
          <w:rFonts w:ascii="仿宋_GB2312" w:hAnsi="仿宋_GB2312" w:cs="仿宋_GB2312" w:eastAsia="仿宋_GB2312"/>
        </w:rPr>
        <w:t>二、评标委员会成员应依据招标文件规定的评分标准和方法独立评审。</w:t>
      </w:r>
    </w:p>
    <w:p>
      <w:pPr>
        <w:pStyle w:val="null3"/>
        <w:outlineLvl w:val="3"/>
      </w:pPr>
      <w:r>
        <w:rPr>
          <w:rFonts w:ascii="仿宋_GB2312" w:hAnsi="仿宋_GB2312" w:cs="仿宋_GB2312" w:eastAsia="仿宋_GB2312"/>
          <w:sz w:val="24"/>
          <w:b/>
        </w:rPr>
        <w:t>5.6.1评分办法</w:t>
      </w:r>
    </w:p>
    <w:p>
      <w:pPr>
        <w:pStyle w:val="null3"/>
        <w:ind w:firstLine="480"/>
      </w:pPr>
      <w:r>
        <w:rPr>
          <w:rFonts w:ascii="仿宋_GB2312" w:hAnsi="仿宋_GB2312" w:cs="仿宋_GB2312" w:eastAsia="仿宋_GB2312"/>
        </w:rPr>
        <w:t xml:space="preserve"> （综合评分法适用）采用综合评分法的，由评标委员会各成员对通过资格检查和符合性审查的投标人的投标文件进行独立评审。</w:t>
      </w:r>
    </w:p>
    <w:p>
      <w:pPr>
        <w:pStyle w:val="null3"/>
        <w:ind w:firstLine="480"/>
      </w:pPr>
      <w:r>
        <w:rPr>
          <w:rFonts w:ascii="仿宋_GB2312" w:hAnsi="仿宋_GB2312" w:cs="仿宋_GB2312" w:eastAsia="仿宋_GB2312"/>
        </w:rPr>
        <w:t>投标报价得分=（评标基准价／投标报价）×100</w:t>
      </w:r>
    </w:p>
    <w:p>
      <w:pPr>
        <w:pStyle w:val="null3"/>
        <w:ind w:firstLine="480"/>
      </w:pPr>
      <w:r>
        <w:rPr>
          <w:rFonts w:ascii="仿宋_GB2312" w:hAnsi="仿宋_GB2312" w:cs="仿宋_GB2312" w:eastAsia="仿宋_GB2312"/>
        </w:rPr>
        <w:t>评标总得分＝F1×A1＋F2×A2＋……＋Fn×An</w:t>
      </w:r>
    </w:p>
    <w:p>
      <w:pPr>
        <w:pStyle w:val="null3"/>
        <w:ind w:firstLine="480"/>
      </w:pPr>
      <w:r>
        <w:rPr>
          <w:rFonts w:ascii="仿宋_GB2312" w:hAnsi="仿宋_GB2312" w:cs="仿宋_GB2312" w:eastAsia="仿宋_GB2312"/>
        </w:rPr>
        <w:t>F1、F2……Fn分别为各项评审因素的得分；</w:t>
      </w:r>
    </w:p>
    <w:p>
      <w:pPr>
        <w:pStyle w:val="null3"/>
        <w:ind w:firstLine="480"/>
      </w:pPr>
      <w:r>
        <w:rPr>
          <w:rFonts w:ascii="仿宋_GB2312" w:hAnsi="仿宋_GB2312" w:cs="仿宋_GB2312" w:eastAsia="仿宋_GB2312"/>
        </w:rPr>
        <w:t>A1、A2、……An 分别为各项评审因素所占的权重（A1＋A2＋……＋An＝1）。</w:t>
      </w:r>
    </w:p>
    <w:p>
      <w:pPr>
        <w:pStyle w:val="null3"/>
        <w:ind w:firstLine="480"/>
      </w:pPr>
      <w:r>
        <w:rPr>
          <w:rFonts w:ascii="仿宋_GB2312" w:hAnsi="仿宋_GB2312" w:cs="仿宋_GB2312" w:eastAsia="仿宋_GB2312"/>
        </w:rPr>
        <w:t>评标过程中，不得去掉报价中的最高报价和最低报价。</w:t>
      </w:r>
    </w:p>
    <w:p>
      <w:pPr>
        <w:pStyle w:val="null3"/>
        <w:ind w:firstLine="480"/>
      </w:pPr>
      <w:r>
        <w:rPr>
          <w:rFonts w:ascii="仿宋_GB2312" w:hAnsi="仿宋_GB2312" w:cs="仿宋_GB2312" w:eastAsia="仿宋_GB2312"/>
        </w:rPr>
        <w:t>因落实政府采购政策进行价格调整的，以调整后的价格计算评标基准价和投标报价。</w:t>
      </w:r>
    </w:p>
    <w:p>
      <w:pPr>
        <w:pStyle w:val="null3"/>
        <w:outlineLvl w:val="3"/>
      </w:pPr>
      <w:r>
        <w:rPr>
          <w:rFonts w:ascii="仿宋_GB2312" w:hAnsi="仿宋_GB2312" w:cs="仿宋_GB2312" w:eastAsia="仿宋_GB2312"/>
          <w:sz w:val="24"/>
          <w:b/>
        </w:rPr>
        <w:t>5.6.2评分标准</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1661"/>
        <w:gridCol w:w="2492"/>
        <w:gridCol w:w="831"/>
        <w:gridCol w:w="831"/>
        <w:gridCol w:w="1661"/>
      </w:tblGrid>
      <w:tr>
        <w:tc>
          <w:tcPr>
            <w:tcW w:type="dxa" w:w="2492"/>
            <w:gridSpan w:val="2"/>
          </w:tcPr>
          <w:p>
            <w:pPr>
              <w:pStyle w:val="null3"/>
              <w:jc w:val="center"/>
            </w:pPr>
            <w:r>
              <w:rPr>
                <w:rFonts w:ascii="仿宋_GB2312" w:hAnsi="仿宋_GB2312" w:cs="仿宋_GB2312" w:eastAsia="仿宋_GB2312"/>
              </w:rPr>
              <w:t xml:space="preserve"> 评审因素</w:t>
            </w:r>
          </w:p>
        </w:tc>
        <w:tc>
          <w:tcPr>
            <w:tcW w:type="dxa" w:w="5815"/>
            <w:gridSpan w:val="4"/>
          </w:tcPr>
          <w:p>
            <w:pPr>
              <w:pStyle w:val="null3"/>
              <w:jc w:val="center"/>
            </w:pPr>
            <w:r>
              <w:rPr>
                <w:rFonts w:ascii="仿宋_GB2312" w:hAnsi="仿宋_GB2312" w:cs="仿宋_GB2312" w:eastAsia="仿宋_GB2312"/>
              </w:rPr>
              <w:t xml:space="preserve"> 评审标准</w:t>
            </w:r>
          </w:p>
        </w:tc>
      </w:tr>
      <w:tr>
        <w:tc>
          <w:tcPr>
            <w:tcW w:type="dxa" w:w="2492"/>
            <w:gridSpan w:val="2"/>
          </w:tcPr>
          <w:p>
            <w:pPr>
              <w:pStyle w:val="null3"/>
              <w:jc w:val="center"/>
            </w:pPr>
            <w:r>
              <w:rPr>
                <w:rFonts w:ascii="仿宋_GB2312" w:hAnsi="仿宋_GB2312" w:cs="仿宋_GB2312" w:eastAsia="仿宋_GB2312"/>
              </w:rPr>
              <w:t xml:space="preserve"> 分值构成</w:t>
            </w:r>
          </w:p>
        </w:tc>
        <w:tc>
          <w:tcPr>
            <w:tcW w:type="dxa" w:w="5815"/>
            <w:gridSpan w:val="4"/>
          </w:tcPr>
          <w:p>
            <w:pPr>
              <w:pStyle w:val="null3"/>
            </w:pPr>
            <w:r>
              <w:rPr>
                <w:rFonts w:ascii="仿宋_GB2312" w:hAnsi="仿宋_GB2312" w:cs="仿宋_GB2312" w:eastAsia="仿宋_GB2312"/>
              </w:rPr>
              <w:t>详细评审80.0000分</w:t>
            </w:r>
          </w:p>
          <w:p>
            <w:pPr>
              <w:pStyle w:val="null3"/>
            </w:pPr>
            <w:r>
              <w:rPr>
                <w:rFonts w:ascii="仿宋_GB2312" w:hAnsi="仿宋_GB2312" w:cs="仿宋_GB2312" w:eastAsia="仿宋_GB2312"/>
              </w:rPr>
              <w:t>报价得分20.0000分</w:t>
            </w:r>
          </w:p>
        </w:tc>
      </w:tr>
      <w:tr>
        <w:tc>
          <w:tcPr>
            <w:tcW w:type="dxa" w:w="831"/>
          </w:tcPr>
          <w:p>
            <w:pPr>
              <w:pStyle w:val="null3"/>
              <w:jc w:val="center"/>
            </w:pPr>
            <w:r>
              <w:rPr>
                <w:rFonts w:ascii="仿宋_GB2312" w:hAnsi="仿宋_GB2312" w:cs="仿宋_GB2312" w:eastAsia="仿宋_GB2312"/>
              </w:rPr>
              <w:t xml:space="preserve"> 评审因素分类</w:t>
            </w:r>
          </w:p>
        </w:tc>
        <w:tc>
          <w:tcPr>
            <w:tcW w:type="dxa" w:w="1661"/>
          </w:tcPr>
          <w:p>
            <w:pPr>
              <w:pStyle w:val="null3"/>
              <w:jc w:val="center"/>
            </w:pPr>
            <w:r>
              <w:rPr>
                <w:rFonts w:ascii="仿宋_GB2312" w:hAnsi="仿宋_GB2312" w:cs="仿宋_GB2312" w:eastAsia="仿宋_GB2312"/>
              </w:rPr>
              <w:t xml:space="preserve"> 评审项</w:t>
            </w:r>
          </w:p>
        </w:tc>
        <w:tc>
          <w:tcPr>
            <w:tcW w:type="dxa" w:w="2492"/>
          </w:tcPr>
          <w:p>
            <w:pPr>
              <w:pStyle w:val="null3"/>
              <w:jc w:val="center"/>
            </w:pPr>
            <w:r>
              <w:rPr>
                <w:rFonts w:ascii="仿宋_GB2312" w:hAnsi="仿宋_GB2312" w:cs="仿宋_GB2312" w:eastAsia="仿宋_GB2312"/>
              </w:rPr>
              <w:t xml:space="preserve"> 详细描述</w:t>
            </w:r>
          </w:p>
        </w:tc>
        <w:tc>
          <w:tcPr>
            <w:tcW w:type="dxa" w:w="831"/>
          </w:tcPr>
          <w:p>
            <w:pPr>
              <w:pStyle w:val="null3"/>
              <w:jc w:val="center"/>
            </w:pPr>
            <w:r>
              <w:rPr>
                <w:rFonts w:ascii="仿宋_GB2312" w:hAnsi="仿宋_GB2312" w:cs="仿宋_GB2312" w:eastAsia="仿宋_GB2312"/>
              </w:rPr>
              <w:t xml:space="preserve"> 分值</w:t>
            </w:r>
          </w:p>
        </w:tc>
        <w:tc>
          <w:tcPr>
            <w:tcW w:type="dxa" w:w="831"/>
          </w:tcPr>
          <w:p>
            <w:pPr>
              <w:pStyle w:val="null3"/>
              <w:jc w:val="center"/>
            </w:pPr>
            <w:r>
              <w:rPr>
                <w:rFonts w:ascii="仿宋_GB2312" w:hAnsi="仿宋_GB2312" w:cs="仿宋_GB2312" w:eastAsia="仿宋_GB2312"/>
              </w:rPr>
              <w:t xml:space="preserve"> 客观/主观</w:t>
            </w:r>
          </w:p>
        </w:tc>
        <w:tc>
          <w:tcPr>
            <w:tcW w:type="dxa" w:w="1661"/>
          </w:tcPr>
          <w:p>
            <w:pPr>
              <w:pStyle w:val="null3"/>
              <w:jc w:val="center"/>
            </w:pPr>
            <w:r>
              <w:rPr>
                <w:rFonts w:ascii="仿宋_GB2312" w:hAnsi="仿宋_GB2312" w:cs="仿宋_GB2312" w:eastAsia="仿宋_GB2312"/>
              </w:rPr>
              <w:t xml:space="preserve"> 关联格式</w:t>
            </w:r>
          </w:p>
        </w:tc>
      </w:tr>
      <w:tr>
        <w:tc>
          <w:tcPr>
            <w:tcW w:type="dxa" w:w="831"/>
            <w:vMerge w:val="restart"/>
          </w:tcPr>
          <w:p>
            <w:pPr>
              <w:pStyle w:val="null3"/>
            </w:pPr>
            <w:r>
              <w:rPr>
                <w:rFonts w:ascii="仿宋_GB2312" w:hAnsi="仿宋_GB2312" w:cs="仿宋_GB2312" w:eastAsia="仿宋_GB2312"/>
              </w:rPr>
              <w:t>详细评审</w:t>
            </w:r>
          </w:p>
        </w:tc>
        <w:tc>
          <w:tcPr>
            <w:tcW w:type="dxa" w:w="1661"/>
          </w:tcPr>
          <w:p>
            <w:pPr>
              <w:pStyle w:val="null3"/>
            </w:pPr>
            <w:r>
              <w:rPr>
                <w:rFonts w:ascii="仿宋_GB2312" w:hAnsi="仿宋_GB2312" w:cs="仿宋_GB2312" w:eastAsia="仿宋_GB2312"/>
              </w:rPr>
              <w:t>技术参数</w:t>
            </w:r>
          </w:p>
        </w:tc>
        <w:tc>
          <w:tcPr>
            <w:tcW w:type="dxa" w:w="2492"/>
          </w:tcPr>
          <w:p>
            <w:pPr>
              <w:pStyle w:val="null3"/>
            </w:pPr>
            <w:r>
              <w:rPr>
                <w:rFonts w:ascii="仿宋_GB2312" w:hAnsi="仿宋_GB2312" w:cs="仿宋_GB2312" w:eastAsia="仿宋_GB2312"/>
              </w:rPr>
              <w:t>所投产品技术指标完全符合、满足招标文件技术要求的，计10分；技术参数与性能指标每有一条负偏离扣0.3分。 注：①需提供自2023年1月至今的一份具有CMA标志的热敏票检测报告复印件，评审以报告中的指标为准。②报告中的送检单位须为投标人。</w:t>
            </w:r>
          </w:p>
        </w:tc>
        <w:tc>
          <w:tcPr>
            <w:tcW w:type="dxa" w:w="831"/>
          </w:tcPr>
          <w:p>
            <w:pPr>
              <w:pStyle w:val="null3"/>
              <w:jc w:val="right"/>
            </w:pPr>
            <w:r>
              <w:rPr>
                <w:rFonts w:ascii="仿宋_GB2312" w:hAnsi="仿宋_GB2312" w:cs="仿宋_GB2312" w:eastAsia="仿宋_GB2312"/>
              </w:rPr>
              <w:t>10.0000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3采购需求响应与偏离表、佐证材料.docx</w:t>
            </w:r>
          </w:p>
        </w:tc>
      </w:tr>
      <w:tr>
        <w:tc>
          <w:tcPr>
            <w:tcW w:type="dxa" w:w="831"/>
            <w:vMerge/>
          </w:tcPr>
          <w:p/>
        </w:tc>
        <w:tc>
          <w:tcPr>
            <w:tcW w:type="dxa" w:w="1661"/>
          </w:tcPr>
          <w:p>
            <w:pPr>
              <w:pStyle w:val="null3"/>
            </w:pPr>
            <w:r>
              <w:rPr>
                <w:rFonts w:ascii="仿宋_GB2312" w:hAnsi="仿宋_GB2312" w:cs="仿宋_GB2312" w:eastAsia="仿宋_GB2312"/>
              </w:rPr>
              <w:t>实施方案</w:t>
            </w:r>
          </w:p>
        </w:tc>
        <w:tc>
          <w:tcPr>
            <w:tcW w:type="dxa" w:w="2492"/>
          </w:tcPr>
          <w:p>
            <w:pPr>
              <w:pStyle w:val="null3"/>
            </w:pPr>
            <w:r>
              <w:rPr>
                <w:rFonts w:ascii="仿宋_GB2312" w:hAnsi="仿宋_GB2312" w:cs="仿宋_GB2312" w:eastAsia="仿宋_GB2312"/>
              </w:rPr>
              <w:t>根据投标人提供的实施方案（包括但不限于材料采购、生产计划、人员投入及分工、供货保障等）链条是否完整，措施是否具体，责任分工是否明确及方案的可行性进行计分。 满足项目要求，无瑕疵：12分； 方案内容存在1处瑕疵：10分； 方案内容存在2处瑕疵：8分； 方案内容存在3处瑕疵：6分； 方案内容存在4处瑕疵：4分； 方案内容存在5处瑕疵：2分； 未提供方案或不满足项目要求或内容存在6处及以上瑕疵：0分。 所称“瑕疵”是指内容缺项、不完整或缺少关键点；非专门针对本项目或不适用本项目特性、套用其他项目内容；对同一问题前后表述矛盾；存在逻辑漏洞、科学原理或常识错误；不利于本项目目标的实现、现有技术条件下不可能出现的情形等任意一种情形。</w:t>
            </w:r>
          </w:p>
        </w:tc>
        <w:tc>
          <w:tcPr>
            <w:tcW w:type="dxa" w:w="831"/>
          </w:tcPr>
          <w:p>
            <w:pPr>
              <w:pStyle w:val="null3"/>
              <w:jc w:val="right"/>
            </w:pPr>
            <w:r>
              <w:rPr>
                <w:rFonts w:ascii="仿宋_GB2312" w:hAnsi="仿宋_GB2312" w:cs="仿宋_GB2312" w:eastAsia="仿宋_GB2312"/>
              </w:rPr>
              <w:t>12.0000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4实施方案.docx</w:t>
            </w:r>
          </w:p>
        </w:tc>
      </w:tr>
      <w:tr>
        <w:tc>
          <w:tcPr>
            <w:tcW w:type="dxa" w:w="831"/>
            <w:vMerge/>
          </w:tcPr>
          <w:p/>
        </w:tc>
        <w:tc>
          <w:tcPr>
            <w:tcW w:type="dxa" w:w="1661"/>
          </w:tcPr>
          <w:p>
            <w:pPr>
              <w:pStyle w:val="null3"/>
            </w:pPr>
            <w:r>
              <w:rPr>
                <w:rFonts w:ascii="仿宋_GB2312" w:hAnsi="仿宋_GB2312" w:cs="仿宋_GB2312" w:eastAsia="仿宋_GB2312"/>
              </w:rPr>
              <w:t>配送方案</w:t>
            </w:r>
          </w:p>
        </w:tc>
        <w:tc>
          <w:tcPr>
            <w:tcW w:type="dxa" w:w="2492"/>
          </w:tcPr>
          <w:p>
            <w:pPr>
              <w:pStyle w:val="null3"/>
            </w:pPr>
            <w:r>
              <w:rPr>
                <w:rFonts w:ascii="仿宋_GB2312" w:hAnsi="仿宋_GB2312" w:cs="仿宋_GB2312" w:eastAsia="仿宋_GB2312"/>
              </w:rPr>
              <w:t>投标人根据项目需求提供配送方案，要求方案详尽完整，配送计划及方式合理明确，配送车辆充足且用车规范，安保可靠，可实施性强，贴合项目需求。 满足项目要求，无瑕疵：8分； 方案内容存在1处瑕疵：7分； 方案内容存在2处瑕疵：6分； 方案内容存在3处瑕疵：5分； 方案内容存在4处瑕疵：4分； 方案内容存在5处瑕疵：3分； 方案内容存在6处瑕疵：2分； 方案内容存在7处瑕疵：1分； 未提供方案或不满足项目要求或内容存在8处及以上瑕疵：0分。 所称“瑕疵”是指内容缺项、不完整或缺少关键点；非专门针对本项目或不适用本项目特性、套用其他项目内容；对同一问题前后表述矛盾；存在逻辑漏洞、科学原理或常识错误；不利于本项目目标的实现、现有技术条件下不可能出现的情形等任意一种情形。</w:t>
            </w:r>
          </w:p>
        </w:tc>
        <w:tc>
          <w:tcPr>
            <w:tcW w:type="dxa" w:w="831"/>
          </w:tcPr>
          <w:p>
            <w:pPr>
              <w:pStyle w:val="null3"/>
              <w:jc w:val="right"/>
            </w:pPr>
            <w:r>
              <w:rPr>
                <w:rFonts w:ascii="仿宋_GB2312" w:hAnsi="仿宋_GB2312" w:cs="仿宋_GB2312" w:eastAsia="仿宋_GB2312"/>
              </w:rPr>
              <w:t>8.0000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5配送方案.docx</w:t>
            </w:r>
          </w:p>
        </w:tc>
      </w:tr>
      <w:tr>
        <w:tc>
          <w:tcPr>
            <w:tcW w:type="dxa" w:w="831"/>
            <w:vMerge/>
          </w:tcPr>
          <w:p/>
        </w:tc>
        <w:tc>
          <w:tcPr>
            <w:tcW w:type="dxa" w:w="1661"/>
          </w:tcPr>
          <w:p>
            <w:pPr>
              <w:pStyle w:val="null3"/>
            </w:pPr>
            <w:r>
              <w:rPr>
                <w:rFonts w:ascii="仿宋_GB2312" w:hAnsi="仿宋_GB2312" w:cs="仿宋_GB2312" w:eastAsia="仿宋_GB2312"/>
              </w:rPr>
              <w:t>质量控制体系及措施</w:t>
            </w:r>
          </w:p>
        </w:tc>
        <w:tc>
          <w:tcPr>
            <w:tcW w:type="dxa" w:w="2492"/>
          </w:tcPr>
          <w:p>
            <w:pPr>
              <w:pStyle w:val="null3"/>
            </w:pPr>
            <w:r>
              <w:rPr>
                <w:rFonts w:ascii="仿宋_GB2312" w:hAnsi="仿宋_GB2312" w:cs="仿宋_GB2312" w:eastAsia="仿宋_GB2312"/>
              </w:rPr>
              <w:t>针对项目需求及特点，投标人具备完善的质量控制体系及合理详细的质量控制措施，要求方案完整详尽，质量控制体系完善合理，控制措施具体、科学、可实施性强，责任落实清晰，贴合采购需求。 满足项目要求，无瑕疵：4分； 方案内容存在1处瑕疵：3分； 方案内容存在2处瑕疵：2分； 方案内容存在3处瑕疵：1分； 未提供方案或不满足项目要求或内容存在4处及以上瑕疵：0分。 所称“瑕疵”是指内容缺项、不完整或缺少关键点；非专门针对本项目或不适用本项目特性、套用其他项目内容；对同一问题前后表述矛盾；存在逻辑漏洞、科学原理或常识错误；不利于本项目目标的实现、现有技术条件下不可能出现的情形等任意一种情形。</w:t>
            </w:r>
          </w:p>
        </w:tc>
        <w:tc>
          <w:tcPr>
            <w:tcW w:type="dxa" w:w="831"/>
          </w:tcPr>
          <w:p>
            <w:pPr>
              <w:pStyle w:val="null3"/>
              <w:jc w:val="right"/>
            </w:pPr>
            <w:r>
              <w:rPr>
                <w:rFonts w:ascii="仿宋_GB2312" w:hAnsi="仿宋_GB2312" w:cs="仿宋_GB2312" w:eastAsia="仿宋_GB2312"/>
              </w:rPr>
              <w:t>4.0000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6质量控制体系及措施.docx</w:t>
            </w:r>
          </w:p>
        </w:tc>
      </w:tr>
      <w:tr>
        <w:tc>
          <w:tcPr>
            <w:tcW w:type="dxa" w:w="831"/>
            <w:vMerge/>
          </w:tcPr>
          <w:p/>
        </w:tc>
        <w:tc>
          <w:tcPr>
            <w:tcW w:type="dxa" w:w="1661"/>
          </w:tcPr>
          <w:p>
            <w:pPr>
              <w:pStyle w:val="null3"/>
            </w:pPr>
            <w:r>
              <w:rPr>
                <w:rFonts w:ascii="仿宋_GB2312" w:hAnsi="仿宋_GB2312" w:cs="仿宋_GB2312" w:eastAsia="仿宋_GB2312"/>
              </w:rPr>
              <w:t>仓储实力保障</w:t>
            </w:r>
          </w:p>
        </w:tc>
        <w:tc>
          <w:tcPr>
            <w:tcW w:type="dxa" w:w="2492"/>
          </w:tcPr>
          <w:p>
            <w:pPr>
              <w:pStyle w:val="null3"/>
            </w:pPr>
            <w:r>
              <w:rPr>
                <w:rFonts w:ascii="仿宋_GB2312" w:hAnsi="仿宋_GB2312" w:cs="仿宋_GB2312" w:eastAsia="仿宋_GB2312"/>
              </w:rPr>
              <w:t>根据投标人提供的库房总面积、库房的设施状况、安全措施以及针对本项目的仓储方案计分。 满足项目要求，无瑕疵：4分； 方案内容存在1处瑕疵：3分； 方案内容存在2处瑕疵：2分； 方案内容存在3处瑕疵：1分； 未提供方案或不满足项目要求或内容存在4处及以上瑕疵：0分。 注：①需提供库房的产权资料复印件 (不限于购置合同、租赁合同等)，库房的平面图、照片，未提供或缺项的不得分。②所称“瑕疵”是指内容缺项、不完整或缺少关键点；非专门针对本项目或不适用本项目特性、套用其他项目内容；对同一问题前后表述矛盾；存在逻辑漏洞、科学原理或常识错误；不利于本项目目标的实现、现有技术条件下不可能出现的情形等任意一种情形。</w:t>
            </w:r>
          </w:p>
        </w:tc>
        <w:tc>
          <w:tcPr>
            <w:tcW w:type="dxa" w:w="831"/>
          </w:tcPr>
          <w:p>
            <w:pPr>
              <w:pStyle w:val="null3"/>
              <w:jc w:val="right"/>
            </w:pPr>
            <w:r>
              <w:rPr>
                <w:rFonts w:ascii="仿宋_GB2312" w:hAnsi="仿宋_GB2312" w:cs="仿宋_GB2312" w:eastAsia="仿宋_GB2312"/>
              </w:rPr>
              <w:t>4.0000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7仓储实力保障.docx</w:t>
            </w:r>
          </w:p>
        </w:tc>
      </w:tr>
      <w:tr>
        <w:tc>
          <w:tcPr>
            <w:tcW w:type="dxa" w:w="831"/>
            <w:vMerge/>
          </w:tcPr>
          <w:p/>
        </w:tc>
        <w:tc>
          <w:tcPr>
            <w:tcW w:type="dxa" w:w="1661"/>
          </w:tcPr>
          <w:p>
            <w:pPr>
              <w:pStyle w:val="null3"/>
            </w:pPr>
            <w:r>
              <w:rPr>
                <w:rFonts w:ascii="仿宋_GB2312" w:hAnsi="仿宋_GB2312" w:cs="仿宋_GB2312" w:eastAsia="仿宋_GB2312"/>
              </w:rPr>
              <w:t>生产设备</w:t>
            </w:r>
          </w:p>
        </w:tc>
        <w:tc>
          <w:tcPr>
            <w:tcW w:type="dxa" w:w="2492"/>
          </w:tcPr>
          <w:p>
            <w:pPr>
              <w:pStyle w:val="null3"/>
            </w:pPr>
            <w:r>
              <w:rPr>
                <w:rFonts w:ascii="仿宋_GB2312" w:hAnsi="仿宋_GB2312" w:cs="仿宋_GB2312" w:eastAsia="仿宋_GB2312"/>
              </w:rPr>
              <w:t>投标人自有2台六色及以上票据轮转印刷专用设备得2分，每增加1台加1分，满分4分，2台以下不得分。 注：需提供清晰的加盖投标人公章的设备购置发票复印件，且收货人为投标人。</w:t>
            </w:r>
          </w:p>
        </w:tc>
        <w:tc>
          <w:tcPr>
            <w:tcW w:type="dxa" w:w="831"/>
          </w:tcPr>
          <w:p>
            <w:pPr>
              <w:pStyle w:val="null3"/>
              <w:jc w:val="right"/>
            </w:pPr>
            <w:r>
              <w:rPr>
                <w:rFonts w:ascii="仿宋_GB2312" w:hAnsi="仿宋_GB2312" w:cs="仿宋_GB2312" w:eastAsia="仿宋_GB2312"/>
              </w:rPr>
              <w:t>4.0000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8生产设备.docx</w:t>
            </w:r>
          </w:p>
        </w:tc>
      </w:tr>
      <w:tr>
        <w:tc>
          <w:tcPr>
            <w:tcW w:type="dxa" w:w="831"/>
            <w:vMerge/>
          </w:tcPr>
          <w:p/>
        </w:tc>
        <w:tc>
          <w:tcPr>
            <w:tcW w:type="dxa" w:w="1661"/>
          </w:tcPr>
          <w:p>
            <w:pPr>
              <w:pStyle w:val="null3"/>
            </w:pPr>
            <w:r>
              <w:rPr>
                <w:rFonts w:ascii="仿宋_GB2312" w:hAnsi="仿宋_GB2312" w:cs="仿宋_GB2312" w:eastAsia="仿宋_GB2312"/>
              </w:rPr>
              <w:t>证书</w:t>
            </w:r>
          </w:p>
        </w:tc>
        <w:tc>
          <w:tcPr>
            <w:tcW w:type="dxa" w:w="2492"/>
          </w:tcPr>
          <w:p>
            <w:pPr>
              <w:pStyle w:val="null3"/>
            </w:pPr>
            <w:r>
              <w:rPr>
                <w:rFonts w:ascii="仿宋_GB2312" w:hAnsi="仿宋_GB2312" w:cs="仿宋_GB2312" w:eastAsia="仿宋_GB2312"/>
              </w:rPr>
              <w:t>（1）投标人具有质量体系认证、环境体系认证、职业健康安全管理体系认证的，提供齐全得1分，未提供或提供不全不计分。 （2）投标人具有有效的《国家秘密载体印制资质证书》(涉密防伪票据) 乙级及以上证书，计2分，未提供不计分。 注：需提供认证证书扫描件，且在有效期内。</w:t>
            </w:r>
          </w:p>
        </w:tc>
        <w:tc>
          <w:tcPr>
            <w:tcW w:type="dxa" w:w="831"/>
          </w:tcPr>
          <w:p>
            <w:pPr>
              <w:pStyle w:val="null3"/>
              <w:jc w:val="right"/>
            </w:pPr>
            <w:r>
              <w:rPr>
                <w:rFonts w:ascii="仿宋_GB2312" w:hAnsi="仿宋_GB2312" w:cs="仿宋_GB2312" w:eastAsia="仿宋_GB2312"/>
              </w:rPr>
              <w:t>3.0000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9证书.docx</w:t>
            </w:r>
          </w:p>
        </w:tc>
      </w:tr>
      <w:tr>
        <w:tc>
          <w:tcPr>
            <w:tcW w:type="dxa" w:w="831"/>
            <w:vMerge/>
          </w:tcPr>
          <w:p/>
        </w:tc>
        <w:tc>
          <w:tcPr>
            <w:tcW w:type="dxa" w:w="1661"/>
          </w:tcPr>
          <w:p>
            <w:pPr>
              <w:pStyle w:val="null3"/>
            </w:pPr>
            <w:r>
              <w:rPr>
                <w:rFonts w:ascii="仿宋_GB2312" w:hAnsi="仿宋_GB2312" w:cs="仿宋_GB2312" w:eastAsia="仿宋_GB2312"/>
              </w:rPr>
              <w:t>检测能力</w:t>
            </w:r>
          </w:p>
        </w:tc>
        <w:tc>
          <w:tcPr>
            <w:tcW w:type="dxa" w:w="2492"/>
          </w:tcPr>
          <w:p>
            <w:pPr>
              <w:pStyle w:val="null3"/>
            </w:pPr>
            <w:r>
              <w:rPr>
                <w:rFonts w:ascii="仿宋_GB2312" w:hAnsi="仿宋_GB2312" w:cs="仿宋_GB2312" w:eastAsia="仿宋_GB2312"/>
              </w:rPr>
              <w:t>投标人具备专业的实验室和检测设备，对特种热敏纸和票据产品进行入库和出库质量检测，提供设备清单（至少包括 1.电子天平、2.定量取样器、3.厚度仪、4.电脑抗张试验机、5.定距取样刀、6.撕裂度仪、7.静态发色仪、8.密度计、9.动态发色仪、10.烘箱、11.恒温恒湿箱、12.照度计、13.荧光灯灯箱、14.圈液器、15.佛格式耐磨实验仪、16.移液管、17.紫外线灯、18.定性滤纸、19.精度为1mm的计量仪器、20.精度为0.1mm的计量仪器、21.精度为0.01mm的计量仪器、22.高效液相色谱仪、23.恒湿震荡水浴、24.过滤器及滤膜、25.分析天平（0.0001g）、26.分光密度仪）。 具有上述全部 26 项设备得5分，少一项设备或一项不全扣0.5分。 注：检测设备需提供清晰的加盖投标人公章的设备购置发票复印件且收货人为投标人和现场实景照片。</w:t>
            </w:r>
          </w:p>
        </w:tc>
        <w:tc>
          <w:tcPr>
            <w:tcW w:type="dxa" w:w="831"/>
          </w:tcPr>
          <w:p>
            <w:pPr>
              <w:pStyle w:val="null3"/>
              <w:jc w:val="right"/>
            </w:pPr>
            <w:r>
              <w:rPr>
                <w:rFonts w:ascii="仿宋_GB2312" w:hAnsi="仿宋_GB2312" w:cs="仿宋_GB2312" w:eastAsia="仿宋_GB2312"/>
              </w:rPr>
              <w:t>5.0000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10检测能力.docx</w:t>
            </w:r>
          </w:p>
        </w:tc>
      </w:tr>
      <w:tr>
        <w:tc>
          <w:tcPr>
            <w:tcW w:type="dxa" w:w="831"/>
            <w:vMerge/>
          </w:tcPr>
          <w:p/>
        </w:tc>
        <w:tc>
          <w:tcPr>
            <w:tcW w:type="dxa" w:w="1661"/>
          </w:tcPr>
          <w:p>
            <w:pPr>
              <w:pStyle w:val="null3"/>
            </w:pPr>
            <w:r>
              <w:rPr>
                <w:rFonts w:ascii="仿宋_GB2312" w:hAnsi="仿宋_GB2312" w:cs="仿宋_GB2312" w:eastAsia="仿宋_GB2312"/>
              </w:rPr>
              <w:t>业绩</w:t>
            </w:r>
          </w:p>
        </w:tc>
        <w:tc>
          <w:tcPr>
            <w:tcW w:type="dxa" w:w="2492"/>
          </w:tcPr>
          <w:p>
            <w:pPr>
              <w:pStyle w:val="null3"/>
            </w:pPr>
            <w:r>
              <w:rPr>
                <w:rFonts w:ascii="仿宋_GB2312" w:hAnsi="仿宋_GB2312" w:cs="仿宋_GB2312" w:eastAsia="仿宋_GB2312"/>
              </w:rPr>
              <w:t>投标人提供 2022年1月1日至今项目业绩：每提供1份同类项目业绩合同的得1分，最高得3分。 注：1.业绩以合同为准，时间以合同签订时间为准弄虚作假者取消其投标资格。</w:t>
            </w:r>
          </w:p>
        </w:tc>
        <w:tc>
          <w:tcPr>
            <w:tcW w:type="dxa" w:w="831"/>
          </w:tcPr>
          <w:p>
            <w:pPr>
              <w:pStyle w:val="null3"/>
              <w:jc w:val="right"/>
            </w:pPr>
            <w:r>
              <w:rPr>
                <w:rFonts w:ascii="仿宋_GB2312" w:hAnsi="仿宋_GB2312" w:cs="仿宋_GB2312" w:eastAsia="仿宋_GB2312"/>
              </w:rPr>
              <w:t>3.0000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11业绩.docx</w:t>
            </w:r>
          </w:p>
        </w:tc>
      </w:tr>
      <w:tr>
        <w:tc>
          <w:tcPr>
            <w:tcW w:type="dxa" w:w="831"/>
            <w:vMerge/>
          </w:tcPr>
          <w:p/>
        </w:tc>
        <w:tc>
          <w:tcPr>
            <w:tcW w:type="dxa" w:w="1661"/>
          </w:tcPr>
          <w:p>
            <w:pPr>
              <w:pStyle w:val="null3"/>
            </w:pPr>
            <w:r>
              <w:rPr>
                <w:rFonts w:ascii="仿宋_GB2312" w:hAnsi="仿宋_GB2312" w:cs="仿宋_GB2312" w:eastAsia="仿宋_GB2312"/>
              </w:rPr>
              <w:t>售后服务承诺</w:t>
            </w:r>
          </w:p>
        </w:tc>
        <w:tc>
          <w:tcPr>
            <w:tcW w:type="dxa" w:w="2492"/>
          </w:tcPr>
          <w:p>
            <w:pPr>
              <w:pStyle w:val="null3"/>
            </w:pPr>
            <w:r>
              <w:rPr>
                <w:rFonts w:ascii="仿宋_GB2312" w:hAnsi="仿宋_GB2312" w:cs="仿宋_GB2312" w:eastAsia="仿宋_GB2312"/>
              </w:rPr>
              <w:t>（1）具有售后服务能力：投标人配备不少于3名固定人员，并提供售后服务机构资料 (需提供用房租赁合同或产权证明复印件)和人员身份证及在本单位交纳社保证明的，得3分； （2）有针对问题产品的质量跟踪和退换货服务承诺，要求承诺内容具体、可行，退换货服务承诺满足项目需求。每提一条满足项目需求的承诺，且经评审委员会一致认可的，计1分，满分2分。 （3）提供在合同有效期内未经采购人书面许可不得将此次热敏纸采购相关权利、义务进行转让或转包给第三方承诺的得1分，未提供不计分。 本项满分6分。</w:t>
            </w:r>
          </w:p>
        </w:tc>
        <w:tc>
          <w:tcPr>
            <w:tcW w:type="dxa" w:w="831"/>
          </w:tcPr>
          <w:p>
            <w:pPr>
              <w:pStyle w:val="null3"/>
              <w:jc w:val="right"/>
            </w:pPr>
            <w:r>
              <w:rPr>
                <w:rFonts w:ascii="仿宋_GB2312" w:hAnsi="仿宋_GB2312" w:cs="仿宋_GB2312" w:eastAsia="仿宋_GB2312"/>
              </w:rPr>
              <w:t>6.0000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12售后服务.docx</w:t>
            </w:r>
          </w:p>
        </w:tc>
      </w:tr>
      <w:tr>
        <w:tc>
          <w:tcPr>
            <w:tcW w:type="dxa" w:w="831"/>
            <w:vMerge/>
          </w:tcPr>
          <w:p/>
        </w:tc>
        <w:tc>
          <w:tcPr>
            <w:tcW w:type="dxa" w:w="1661"/>
          </w:tcPr>
          <w:p>
            <w:pPr>
              <w:pStyle w:val="null3"/>
            </w:pPr>
            <w:r>
              <w:rPr>
                <w:rFonts w:ascii="仿宋_GB2312" w:hAnsi="仿宋_GB2312" w:cs="仿宋_GB2312" w:eastAsia="仿宋_GB2312"/>
              </w:rPr>
              <w:t>保密措施</w:t>
            </w:r>
          </w:p>
        </w:tc>
        <w:tc>
          <w:tcPr>
            <w:tcW w:type="dxa" w:w="2492"/>
          </w:tcPr>
          <w:p>
            <w:pPr>
              <w:pStyle w:val="null3"/>
            </w:pPr>
            <w:r>
              <w:rPr>
                <w:rFonts w:ascii="仿宋_GB2312" w:hAnsi="仿宋_GB2312" w:cs="仿宋_GB2312" w:eastAsia="仿宋_GB2312"/>
              </w:rPr>
              <w:t>针对本项目需求投标人具备电子监控系统（针对生产车间、储存仓库等地），须提供电子系统现状照片，具有完善科学合理的保密制度，保密措施责任明确等方面计分。 满足项目要求，无瑕疵：3分； 内容存在1处瑕疵：2分； 内容存在2处瑕疵：1分； 未提供方案或不满足项目要求或内容存在3处及以上瑕疵：0分； 所称“瑕疵”是指内容缺项、不完整或缺少关键点；非专门针对本项目或不适用本项目特性、套用其他项目内容；对同一问题前后表述矛盾；存在逻辑漏洞、科学原理或常识错误；不利于本项目目标的实现、现有技术条件下不可能出现的情形等任意一种情形。</w:t>
            </w:r>
          </w:p>
        </w:tc>
        <w:tc>
          <w:tcPr>
            <w:tcW w:type="dxa" w:w="831"/>
          </w:tcPr>
          <w:p>
            <w:pPr>
              <w:pStyle w:val="null3"/>
              <w:jc w:val="right"/>
            </w:pPr>
            <w:r>
              <w:rPr>
                <w:rFonts w:ascii="仿宋_GB2312" w:hAnsi="仿宋_GB2312" w:cs="仿宋_GB2312" w:eastAsia="仿宋_GB2312"/>
              </w:rPr>
              <w:t>3.0000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13保密措施.docx</w:t>
            </w:r>
          </w:p>
        </w:tc>
      </w:tr>
      <w:tr>
        <w:tc>
          <w:tcPr>
            <w:tcW w:type="dxa" w:w="831"/>
            <w:vMerge/>
          </w:tcPr>
          <w:p/>
        </w:tc>
        <w:tc>
          <w:tcPr>
            <w:tcW w:type="dxa" w:w="1661"/>
          </w:tcPr>
          <w:p>
            <w:pPr>
              <w:pStyle w:val="null3"/>
            </w:pPr>
            <w:r>
              <w:rPr>
                <w:rFonts w:ascii="仿宋_GB2312" w:hAnsi="仿宋_GB2312" w:cs="仿宋_GB2312" w:eastAsia="仿宋_GB2312"/>
              </w:rPr>
              <w:t>样品</w:t>
            </w:r>
          </w:p>
        </w:tc>
        <w:tc>
          <w:tcPr>
            <w:tcW w:type="dxa" w:w="2492"/>
          </w:tcPr>
          <w:p>
            <w:pPr>
              <w:pStyle w:val="null3"/>
            </w:pPr>
            <w:r>
              <w:rPr>
                <w:rFonts w:ascii="仿宋_GB2312" w:hAnsi="仿宋_GB2312" w:cs="仿宋_GB2312" w:eastAsia="仿宋_GB2312"/>
              </w:rPr>
              <w:t>投标人需提供1套 ( 1整箱+1卷) 体育彩票热敏票样品并以此为依据进行样品打分： 一、整箱 (1整箱) 专用包装箱 (装箱20卷) （本项满分2分）： 根据材质、整体牢固度、摇盖耐折度等差别计0.1-2分。非专用箱视为未提供样品。 二、样票 (1卷) （1）票面质量（本项满分2分）： 票面平整、没有折皱、破洞，印刷图文清晰、完整，纸面 清洁，没有油污、脏点、正反面蹭脏和无其他印刷缺陷的，得2分； 票面有以下现象：不平整、有折皱、破洞，印刷图文不清晰、不完整，纸面不清洁，有油污、脏点、正反面蹭脏和其他印刷缺陷的，得0分。 （2）序列号质量（本项满分2分）： 序列号为字母加连续流水号，字符清晰、易读，不进入图文区域，不出现透印和粘脏现象，得2分； 序列号有以下现象：序列号不符合招标文件要求，数字不连续，序列号进入图文区域，出现透印和粘脏现象，得0分。 （3）色值质量（本项总分12分）：①评标现场测量6个选定点“○”的L*、a*、b*3个值，并与采购人提供的标准L*、a*、b*值进行对比，一个点 L*、a*、b*值误差均在±1.5以内的得2分；误差均在±2.0以内的得0.5分；否则得0分，即 L*、a*、b*值只要有一项不满足得0分。②共计随机抽检6张不同图片，L*、a*、b*值全部在标准偏差1.5以内得12分。③测量方法：本项目样品制作要求中的所有色值均为绝对色值 。 使用爱色丽 528/530 反射分光密度仪(X.rite528/530) 测量。测量条件：物理滤镜：无；光 源：D50；视场：2°。 （4）用此仪器测量色值时注意：先使用仪器标准白板校准，测量样品时在被测量样品下方放置3张与承印物相同的空白纸张。</w:t>
            </w:r>
          </w:p>
        </w:tc>
        <w:tc>
          <w:tcPr>
            <w:tcW w:type="dxa" w:w="831"/>
          </w:tcPr>
          <w:p>
            <w:pPr>
              <w:pStyle w:val="null3"/>
              <w:jc w:val="right"/>
            </w:pPr>
            <w:r>
              <w:rPr>
                <w:rFonts w:ascii="仿宋_GB2312" w:hAnsi="仿宋_GB2312" w:cs="仿宋_GB2312" w:eastAsia="仿宋_GB2312"/>
              </w:rPr>
              <w:t>18.0000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14样品.docx</w:t>
            </w:r>
          </w:p>
        </w:tc>
      </w:tr>
      <w:tr>
        <w:tc>
          <w:tcPr>
            <w:tcW w:type="dxa" w:w="831"/>
          </w:tcPr>
          <w:p>
            <w:pPr>
              <w:pStyle w:val="null3"/>
            </w:pPr>
            <w:r>
              <w:rPr>
                <w:rFonts w:ascii="仿宋_GB2312" w:hAnsi="仿宋_GB2312" w:cs="仿宋_GB2312" w:eastAsia="仿宋_GB2312"/>
              </w:rPr>
              <w:t>价格分</w:t>
            </w:r>
          </w:p>
        </w:tc>
        <w:tc>
          <w:tcPr>
            <w:tcW w:type="dxa" w:w="1661"/>
          </w:tcPr>
          <w:p>
            <w:pPr>
              <w:pStyle w:val="null3"/>
            </w:pPr>
            <w:r>
              <w:rPr>
                <w:rFonts w:ascii="仿宋_GB2312" w:hAnsi="仿宋_GB2312" w:cs="仿宋_GB2312" w:eastAsia="仿宋_GB2312"/>
              </w:rPr>
              <w:t>价格分</w:t>
            </w:r>
          </w:p>
        </w:tc>
        <w:tc>
          <w:tcPr>
            <w:tcW w:type="dxa" w:w="2492"/>
          </w:tcPr>
          <w:p>
            <w:pPr>
              <w:pStyle w:val="null3"/>
            </w:pPr>
            <w:r>
              <w:rPr>
                <w:rFonts w:ascii="仿宋_GB2312" w:hAnsi="仿宋_GB2312" w:cs="仿宋_GB2312" w:eastAsia="仿宋_GB2312"/>
              </w:rPr>
              <w:t>价格分统一采用低价优先法计算，即满足项目要求且投标单价报价最低的投标单价报价为评标基准价，其价格分为满分。其他投标人的价格分统一按照下列公式计算： 价格分=(评标基准价／投标单价报价)×报价分值 注：1、计算分数时四舍五入取小数点后两位。</w:t>
            </w:r>
          </w:p>
        </w:tc>
        <w:tc>
          <w:tcPr>
            <w:tcW w:type="dxa" w:w="831"/>
          </w:tcPr>
          <w:p>
            <w:pPr>
              <w:pStyle w:val="null3"/>
              <w:jc w:val="right"/>
            </w:pPr>
            <w:r>
              <w:rPr>
                <w:rFonts w:ascii="仿宋_GB2312" w:hAnsi="仿宋_GB2312" w:cs="仿宋_GB2312" w:eastAsia="仿宋_GB2312"/>
              </w:rPr>
              <w:t>20.0000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开标一览表</w:t>
            </w:r>
          </w:p>
          <w:p>
            <w:pPr>
              <w:pStyle w:val="null3"/>
            </w:pPr>
            <w:r>
              <w:rPr>
                <w:rFonts w:ascii="仿宋_GB2312" w:hAnsi="仿宋_GB2312" w:cs="仿宋_GB2312" w:eastAsia="仿宋_GB2312"/>
              </w:rPr>
              <w:t>标的清单</w:t>
            </w:r>
          </w:p>
        </w:tc>
      </w:tr>
    </w:tbl>
    <w:p>
      <w:pPr>
        <w:pStyle w:val="null3"/>
      </w:pPr>
      <w:r>
        <w:rPr>
          <w:rFonts w:ascii="仿宋_GB2312" w:hAnsi="仿宋_GB2312" w:cs="仿宋_GB2312" w:eastAsia="仿宋_GB2312"/>
        </w:rPr>
        <w:t>价格扣除</w:t>
      </w:r>
    </w:p>
    <w:tbl>
      <w:tblPr>
        <w:tblW w:w="0" w:type="auto"/>
        <w:tblBorders>
          <w:top w:val="single"/>
          <w:left w:val="single"/>
          <w:bottom w:val="single"/>
          <w:right w:val="single"/>
          <w:insideH w:val="single"/>
          <w:insideV w:val="single"/>
        </w:tblBorders>
      </w:tblPr>
      <w:tblGrid>
        <w:gridCol w:w="831"/>
        <w:gridCol w:w="1661"/>
        <w:gridCol w:w="1661"/>
        <w:gridCol w:w="831"/>
        <w:gridCol w:w="1661"/>
        <w:gridCol w:w="1661"/>
      </w:tblGrid>
      <w:tr>
        <w:tc>
          <w:tcPr>
            <w:tcW w:type="dxa" w:w="831"/>
          </w:tcPr>
          <w:p>
            <w:pPr>
              <w:pStyle w:val="null3"/>
            </w:pPr>
            <w:r>
              <w:rPr>
                <w:rFonts w:ascii="仿宋_GB2312" w:hAnsi="仿宋_GB2312" w:cs="仿宋_GB2312" w:eastAsia="仿宋_GB2312"/>
              </w:rPr>
              <w:t xml:space="preserve"> 序号</w:t>
            </w:r>
          </w:p>
        </w:tc>
        <w:tc>
          <w:tcPr>
            <w:tcW w:type="dxa" w:w="1661"/>
          </w:tcPr>
          <w:p>
            <w:pPr>
              <w:pStyle w:val="null3"/>
            </w:pPr>
            <w:r>
              <w:rPr>
                <w:rFonts w:ascii="仿宋_GB2312" w:hAnsi="仿宋_GB2312" w:cs="仿宋_GB2312" w:eastAsia="仿宋_GB2312"/>
              </w:rPr>
              <w:t xml:space="preserve"> 情形</w:t>
            </w:r>
          </w:p>
        </w:tc>
        <w:tc>
          <w:tcPr>
            <w:tcW w:type="dxa" w:w="1661"/>
          </w:tcPr>
          <w:p>
            <w:pPr>
              <w:pStyle w:val="null3"/>
            </w:pPr>
            <w:r>
              <w:rPr>
                <w:rFonts w:ascii="仿宋_GB2312" w:hAnsi="仿宋_GB2312" w:cs="仿宋_GB2312" w:eastAsia="仿宋_GB2312"/>
              </w:rPr>
              <w:t xml:space="preserve"> 适用对象</w:t>
            </w:r>
          </w:p>
        </w:tc>
        <w:tc>
          <w:tcPr>
            <w:tcW w:type="dxa" w:w="831"/>
          </w:tcPr>
          <w:p>
            <w:pPr>
              <w:pStyle w:val="null3"/>
            </w:pPr>
            <w:r>
              <w:rPr>
                <w:rFonts w:ascii="仿宋_GB2312" w:hAnsi="仿宋_GB2312" w:cs="仿宋_GB2312" w:eastAsia="仿宋_GB2312"/>
              </w:rPr>
              <w:t xml:space="preserve"> 比例</w:t>
            </w:r>
          </w:p>
        </w:tc>
        <w:tc>
          <w:tcPr>
            <w:tcW w:type="dxa" w:w="1661"/>
          </w:tcPr>
          <w:p>
            <w:pPr>
              <w:pStyle w:val="null3"/>
            </w:pPr>
            <w:r>
              <w:rPr>
                <w:rFonts w:ascii="仿宋_GB2312" w:hAnsi="仿宋_GB2312" w:cs="仿宋_GB2312" w:eastAsia="仿宋_GB2312"/>
              </w:rPr>
              <w:t xml:space="preserve"> 说明</w:t>
            </w:r>
          </w:p>
        </w:tc>
        <w:tc>
          <w:tcPr>
            <w:tcW w:type="dxa" w:w="1661"/>
          </w:tcPr>
          <w:p>
            <w:pPr>
              <w:pStyle w:val="null3"/>
            </w:pPr>
            <w:r>
              <w:rPr>
                <w:rFonts w:ascii="仿宋_GB2312" w:hAnsi="仿宋_GB2312" w:cs="仿宋_GB2312" w:eastAsia="仿宋_GB2312"/>
              </w:rPr>
              <w:t xml:space="preserve"> 关联格式</w:t>
            </w:r>
          </w:p>
        </w:tc>
      </w:tr>
      <w:tr>
        <w:tc>
          <w:tcPr>
            <w:tcW w:type="dxa" w:w="8306"/>
            <w:gridSpan w:val="6"/>
          </w:tcPr>
          <w:p>
            <w:pPr>
              <w:pStyle w:val="null3"/>
            </w:pPr>
            <w:r>
              <w:rPr>
                <w:rFonts w:ascii="仿宋_GB2312" w:hAnsi="仿宋_GB2312" w:cs="仿宋_GB2312" w:eastAsia="仿宋_GB2312"/>
              </w:rPr>
              <w:t xml:space="preserve"> 无</w:t>
            </w:r>
          </w:p>
        </w:tc>
      </w:tr>
    </w:tbl>
    <w:p>
      <w:pPr>
        <w:pStyle w:val="null3"/>
      </w:pPr>
      <w:r>
        <w:rPr>
          <w:rFonts w:ascii="仿宋_GB2312" w:hAnsi="仿宋_GB2312" w:cs="仿宋_GB2312" w:eastAsia="仿宋_GB2312"/>
        </w:rPr>
        <w:t>采购包2：</w:t>
      </w:r>
    </w:p>
    <w:tbl>
      <w:tblPr>
        <w:tblW w:w="0" w:type="auto"/>
        <w:tblBorders>
          <w:top w:val="single"/>
          <w:left w:val="single"/>
          <w:bottom w:val="single"/>
          <w:right w:val="single"/>
          <w:insideH w:val="single"/>
          <w:insideV w:val="single"/>
        </w:tblBorders>
      </w:tblPr>
      <w:tblGrid>
        <w:gridCol w:w="831"/>
        <w:gridCol w:w="1661"/>
        <w:gridCol w:w="2492"/>
        <w:gridCol w:w="831"/>
        <w:gridCol w:w="831"/>
        <w:gridCol w:w="1661"/>
      </w:tblGrid>
      <w:tr>
        <w:tc>
          <w:tcPr>
            <w:tcW w:type="dxa" w:w="2492"/>
            <w:gridSpan w:val="2"/>
          </w:tcPr>
          <w:p>
            <w:pPr>
              <w:pStyle w:val="null3"/>
              <w:jc w:val="center"/>
            </w:pPr>
            <w:r>
              <w:rPr>
                <w:rFonts w:ascii="仿宋_GB2312" w:hAnsi="仿宋_GB2312" w:cs="仿宋_GB2312" w:eastAsia="仿宋_GB2312"/>
              </w:rPr>
              <w:t xml:space="preserve"> 评审因素</w:t>
            </w:r>
          </w:p>
        </w:tc>
        <w:tc>
          <w:tcPr>
            <w:tcW w:type="dxa" w:w="5815"/>
            <w:gridSpan w:val="4"/>
          </w:tcPr>
          <w:p>
            <w:pPr>
              <w:pStyle w:val="null3"/>
              <w:jc w:val="center"/>
            </w:pPr>
            <w:r>
              <w:rPr>
                <w:rFonts w:ascii="仿宋_GB2312" w:hAnsi="仿宋_GB2312" w:cs="仿宋_GB2312" w:eastAsia="仿宋_GB2312"/>
              </w:rPr>
              <w:t xml:space="preserve"> 评审标准</w:t>
            </w:r>
          </w:p>
        </w:tc>
      </w:tr>
      <w:tr>
        <w:tc>
          <w:tcPr>
            <w:tcW w:type="dxa" w:w="2492"/>
            <w:gridSpan w:val="2"/>
          </w:tcPr>
          <w:p>
            <w:pPr>
              <w:pStyle w:val="null3"/>
              <w:jc w:val="center"/>
            </w:pPr>
            <w:r>
              <w:rPr>
                <w:rFonts w:ascii="仿宋_GB2312" w:hAnsi="仿宋_GB2312" w:cs="仿宋_GB2312" w:eastAsia="仿宋_GB2312"/>
              </w:rPr>
              <w:t xml:space="preserve"> 分值构成</w:t>
            </w:r>
          </w:p>
        </w:tc>
        <w:tc>
          <w:tcPr>
            <w:tcW w:type="dxa" w:w="5815"/>
            <w:gridSpan w:val="4"/>
          </w:tcPr>
          <w:p>
            <w:pPr>
              <w:pStyle w:val="null3"/>
            </w:pPr>
            <w:r>
              <w:rPr>
                <w:rFonts w:ascii="仿宋_GB2312" w:hAnsi="仿宋_GB2312" w:cs="仿宋_GB2312" w:eastAsia="仿宋_GB2312"/>
              </w:rPr>
              <w:t>详细评审80.0000分</w:t>
            </w:r>
          </w:p>
          <w:p>
            <w:pPr>
              <w:pStyle w:val="null3"/>
            </w:pPr>
            <w:r>
              <w:rPr>
                <w:rFonts w:ascii="仿宋_GB2312" w:hAnsi="仿宋_GB2312" w:cs="仿宋_GB2312" w:eastAsia="仿宋_GB2312"/>
              </w:rPr>
              <w:t>报价得分20.0000分</w:t>
            </w:r>
          </w:p>
        </w:tc>
      </w:tr>
      <w:tr>
        <w:tc>
          <w:tcPr>
            <w:tcW w:type="dxa" w:w="831"/>
          </w:tcPr>
          <w:p>
            <w:pPr>
              <w:pStyle w:val="null3"/>
              <w:jc w:val="center"/>
            </w:pPr>
            <w:r>
              <w:rPr>
                <w:rFonts w:ascii="仿宋_GB2312" w:hAnsi="仿宋_GB2312" w:cs="仿宋_GB2312" w:eastAsia="仿宋_GB2312"/>
              </w:rPr>
              <w:t xml:space="preserve"> 评审因素分类</w:t>
            </w:r>
          </w:p>
        </w:tc>
        <w:tc>
          <w:tcPr>
            <w:tcW w:type="dxa" w:w="1661"/>
          </w:tcPr>
          <w:p>
            <w:pPr>
              <w:pStyle w:val="null3"/>
              <w:jc w:val="center"/>
            </w:pPr>
            <w:r>
              <w:rPr>
                <w:rFonts w:ascii="仿宋_GB2312" w:hAnsi="仿宋_GB2312" w:cs="仿宋_GB2312" w:eastAsia="仿宋_GB2312"/>
              </w:rPr>
              <w:t xml:space="preserve"> 评审项</w:t>
            </w:r>
          </w:p>
        </w:tc>
        <w:tc>
          <w:tcPr>
            <w:tcW w:type="dxa" w:w="2492"/>
          </w:tcPr>
          <w:p>
            <w:pPr>
              <w:pStyle w:val="null3"/>
              <w:jc w:val="center"/>
            </w:pPr>
            <w:r>
              <w:rPr>
                <w:rFonts w:ascii="仿宋_GB2312" w:hAnsi="仿宋_GB2312" w:cs="仿宋_GB2312" w:eastAsia="仿宋_GB2312"/>
              </w:rPr>
              <w:t xml:space="preserve"> 详细描述</w:t>
            </w:r>
          </w:p>
        </w:tc>
        <w:tc>
          <w:tcPr>
            <w:tcW w:type="dxa" w:w="831"/>
          </w:tcPr>
          <w:p>
            <w:pPr>
              <w:pStyle w:val="null3"/>
              <w:jc w:val="center"/>
            </w:pPr>
            <w:r>
              <w:rPr>
                <w:rFonts w:ascii="仿宋_GB2312" w:hAnsi="仿宋_GB2312" w:cs="仿宋_GB2312" w:eastAsia="仿宋_GB2312"/>
              </w:rPr>
              <w:t xml:space="preserve"> 分值</w:t>
            </w:r>
          </w:p>
        </w:tc>
        <w:tc>
          <w:tcPr>
            <w:tcW w:type="dxa" w:w="831"/>
          </w:tcPr>
          <w:p>
            <w:pPr>
              <w:pStyle w:val="null3"/>
              <w:jc w:val="center"/>
            </w:pPr>
            <w:r>
              <w:rPr>
                <w:rFonts w:ascii="仿宋_GB2312" w:hAnsi="仿宋_GB2312" w:cs="仿宋_GB2312" w:eastAsia="仿宋_GB2312"/>
              </w:rPr>
              <w:t xml:space="preserve"> 客观/主观</w:t>
            </w:r>
          </w:p>
        </w:tc>
        <w:tc>
          <w:tcPr>
            <w:tcW w:type="dxa" w:w="1661"/>
          </w:tcPr>
          <w:p>
            <w:pPr>
              <w:pStyle w:val="null3"/>
              <w:jc w:val="center"/>
            </w:pPr>
            <w:r>
              <w:rPr>
                <w:rFonts w:ascii="仿宋_GB2312" w:hAnsi="仿宋_GB2312" w:cs="仿宋_GB2312" w:eastAsia="仿宋_GB2312"/>
              </w:rPr>
              <w:t xml:space="preserve"> 关联格式</w:t>
            </w:r>
          </w:p>
        </w:tc>
      </w:tr>
      <w:tr>
        <w:tc>
          <w:tcPr>
            <w:tcW w:type="dxa" w:w="831"/>
            <w:vMerge w:val="restart"/>
          </w:tcPr>
          <w:p>
            <w:pPr>
              <w:pStyle w:val="null3"/>
            </w:pPr>
            <w:r>
              <w:rPr>
                <w:rFonts w:ascii="仿宋_GB2312" w:hAnsi="仿宋_GB2312" w:cs="仿宋_GB2312" w:eastAsia="仿宋_GB2312"/>
              </w:rPr>
              <w:t>详细评审</w:t>
            </w:r>
          </w:p>
        </w:tc>
        <w:tc>
          <w:tcPr>
            <w:tcW w:type="dxa" w:w="1661"/>
          </w:tcPr>
          <w:p>
            <w:pPr>
              <w:pStyle w:val="null3"/>
            </w:pPr>
            <w:r>
              <w:rPr>
                <w:rFonts w:ascii="仿宋_GB2312" w:hAnsi="仿宋_GB2312" w:cs="仿宋_GB2312" w:eastAsia="仿宋_GB2312"/>
              </w:rPr>
              <w:t>技术参数</w:t>
            </w:r>
          </w:p>
        </w:tc>
        <w:tc>
          <w:tcPr>
            <w:tcW w:type="dxa" w:w="2492"/>
          </w:tcPr>
          <w:p>
            <w:pPr>
              <w:pStyle w:val="null3"/>
            </w:pPr>
            <w:r>
              <w:rPr>
                <w:rFonts w:ascii="仿宋_GB2312" w:hAnsi="仿宋_GB2312" w:cs="仿宋_GB2312" w:eastAsia="仿宋_GB2312"/>
              </w:rPr>
              <w:t>所投产品技术指标完全符合、满足招标文件技术要求的，计10分；技术参数与性能指标每有一条负偏离扣0.3分。 注：①需提供自2023年1月至今的一份具有CMA标志的热敏票检测报告复印件，评审以报告中的指标为准。②报告中的送检单位须为投标人。</w:t>
            </w:r>
          </w:p>
        </w:tc>
        <w:tc>
          <w:tcPr>
            <w:tcW w:type="dxa" w:w="831"/>
          </w:tcPr>
          <w:p>
            <w:pPr>
              <w:pStyle w:val="null3"/>
              <w:jc w:val="right"/>
            </w:pPr>
            <w:r>
              <w:rPr>
                <w:rFonts w:ascii="仿宋_GB2312" w:hAnsi="仿宋_GB2312" w:cs="仿宋_GB2312" w:eastAsia="仿宋_GB2312"/>
              </w:rPr>
              <w:t>10.0000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3采购需求响应与偏离表、佐证材料.docx</w:t>
            </w:r>
          </w:p>
        </w:tc>
      </w:tr>
      <w:tr>
        <w:tc>
          <w:tcPr>
            <w:tcW w:type="dxa" w:w="831"/>
            <w:vMerge/>
          </w:tcPr>
          <w:p/>
        </w:tc>
        <w:tc>
          <w:tcPr>
            <w:tcW w:type="dxa" w:w="1661"/>
          </w:tcPr>
          <w:p>
            <w:pPr>
              <w:pStyle w:val="null3"/>
            </w:pPr>
            <w:r>
              <w:rPr>
                <w:rFonts w:ascii="仿宋_GB2312" w:hAnsi="仿宋_GB2312" w:cs="仿宋_GB2312" w:eastAsia="仿宋_GB2312"/>
              </w:rPr>
              <w:t>实施方案</w:t>
            </w:r>
          </w:p>
        </w:tc>
        <w:tc>
          <w:tcPr>
            <w:tcW w:type="dxa" w:w="2492"/>
          </w:tcPr>
          <w:p>
            <w:pPr>
              <w:pStyle w:val="null3"/>
            </w:pPr>
            <w:r>
              <w:rPr>
                <w:rFonts w:ascii="仿宋_GB2312" w:hAnsi="仿宋_GB2312" w:cs="仿宋_GB2312" w:eastAsia="仿宋_GB2312"/>
              </w:rPr>
              <w:t>根据投标人提供的实施方案（包括但不限于材料采购、生产计划、人员投入及分工、供货保障等）链条是否完整，措施是否具体，责任分工是否明确及方案的可行性进行计分。 满足项目要求，无瑕疵：12分； 方案内容存在1处瑕疵：10分； 方案内容存在2处瑕疵：8分； 方案内容存在3处瑕疵：6分； 方案内容存在4处瑕疵：4分； 方案内容存在5处瑕疵：2分； 未提供方案或不满足项目要求或内容存在6处及以上瑕疵：0分。 所称“瑕疵”是指内容缺项、不完整或缺少关键点；非专门针对本项目或不适用本项目特性、套用其他项目内容；对同一问题前后表述矛盾；存在逻辑漏洞、科学原理或常识错误；不利于本项目目标的实现、现有技术条件下不可能出现的情形等任意一种情形。</w:t>
            </w:r>
          </w:p>
        </w:tc>
        <w:tc>
          <w:tcPr>
            <w:tcW w:type="dxa" w:w="831"/>
          </w:tcPr>
          <w:p>
            <w:pPr>
              <w:pStyle w:val="null3"/>
              <w:jc w:val="right"/>
            </w:pPr>
            <w:r>
              <w:rPr>
                <w:rFonts w:ascii="仿宋_GB2312" w:hAnsi="仿宋_GB2312" w:cs="仿宋_GB2312" w:eastAsia="仿宋_GB2312"/>
              </w:rPr>
              <w:t>12.0000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4实施方案.docx</w:t>
            </w:r>
          </w:p>
        </w:tc>
      </w:tr>
      <w:tr>
        <w:tc>
          <w:tcPr>
            <w:tcW w:type="dxa" w:w="831"/>
            <w:vMerge/>
          </w:tcPr>
          <w:p/>
        </w:tc>
        <w:tc>
          <w:tcPr>
            <w:tcW w:type="dxa" w:w="1661"/>
          </w:tcPr>
          <w:p>
            <w:pPr>
              <w:pStyle w:val="null3"/>
            </w:pPr>
            <w:r>
              <w:rPr>
                <w:rFonts w:ascii="仿宋_GB2312" w:hAnsi="仿宋_GB2312" w:cs="仿宋_GB2312" w:eastAsia="仿宋_GB2312"/>
              </w:rPr>
              <w:t>配送方案</w:t>
            </w:r>
          </w:p>
        </w:tc>
        <w:tc>
          <w:tcPr>
            <w:tcW w:type="dxa" w:w="2492"/>
          </w:tcPr>
          <w:p>
            <w:pPr>
              <w:pStyle w:val="null3"/>
            </w:pPr>
            <w:r>
              <w:rPr>
                <w:rFonts w:ascii="仿宋_GB2312" w:hAnsi="仿宋_GB2312" w:cs="仿宋_GB2312" w:eastAsia="仿宋_GB2312"/>
              </w:rPr>
              <w:t>投标人根据项目需求提供配送方案，要求方案详尽完整，配送计划及方式合理明确，配送车辆充足且用车规范，安保可靠，可实施性强，贴合项目需求。 满足项目要求，无瑕疵：8分； 方案内容存在1处瑕疵：7分； 方案内容存在2处瑕疵：6分； 方案内容存在3处瑕疵：5分； 方案内容存在4处瑕疵：4分； 方案内容存在5处瑕疵：3分； 方案内容存在6处瑕疵：2分； 方案内容存在7处瑕疵：1分； 未提供方案或不满足项目要求或内容存在8处及以上瑕疵：0分。 所称“瑕疵”是指内容缺项、不完整或缺少关键点；非专门针对本项目或不适用本项目特性、套用其他项目内容；对同一问题前后表述矛盾；存在逻辑漏洞、科学原理或常识错误；不利于本项目目标的实现、现有技术条件下不可能出现的情形等任意一种情形。</w:t>
            </w:r>
          </w:p>
        </w:tc>
        <w:tc>
          <w:tcPr>
            <w:tcW w:type="dxa" w:w="831"/>
          </w:tcPr>
          <w:p>
            <w:pPr>
              <w:pStyle w:val="null3"/>
              <w:jc w:val="right"/>
            </w:pPr>
            <w:r>
              <w:rPr>
                <w:rFonts w:ascii="仿宋_GB2312" w:hAnsi="仿宋_GB2312" w:cs="仿宋_GB2312" w:eastAsia="仿宋_GB2312"/>
              </w:rPr>
              <w:t>8.0000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5配送方案.docx</w:t>
            </w:r>
          </w:p>
        </w:tc>
      </w:tr>
      <w:tr>
        <w:tc>
          <w:tcPr>
            <w:tcW w:type="dxa" w:w="831"/>
            <w:vMerge/>
          </w:tcPr>
          <w:p/>
        </w:tc>
        <w:tc>
          <w:tcPr>
            <w:tcW w:type="dxa" w:w="1661"/>
          </w:tcPr>
          <w:p>
            <w:pPr>
              <w:pStyle w:val="null3"/>
            </w:pPr>
            <w:r>
              <w:rPr>
                <w:rFonts w:ascii="仿宋_GB2312" w:hAnsi="仿宋_GB2312" w:cs="仿宋_GB2312" w:eastAsia="仿宋_GB2312"/>
              </w:rPr>
              <w:t>质量控制体系及措施</w:t>
            </w:r>
          </w:p>
        </w:tc>
        <w:tc>
          <w:tcPr>
            <w:tcW w:type="dxa" w:w="2492"/>
          </w:tcPr>
          <w:p>
            <w:pPr>
              <w:pStyle w:val="null3"/>
            </w:pPr>
            <w:r>
              <w:rPr>
                <w:rFonts w:ascii="仿宋_GB2312" w:hAnsi="仿宋_GB2312" w:cs="仿宋_GB2312" w:eastAsia="仿宋_GB2312"/>
              </w:rPr>
              <w:t>针对项目需求及特点，投标人具备完善的质量控制体系及合理详细的质量控制措施，要求方案完整详尽，质量控制体系完善合理，控制措施具体、科学、可实施性强，责任落实清晰，贴合采购需求。 满足项目要求，无瑕疵：4分； 方案内容存在1处瑕疵：3分； 方案内容存在2处瑕疵：2分； 方案内容存在3处瑕疵：1分； 未提供方案或不满足项目要求或内容存在4处及以上瑕疵：0分。 所称“瑕疵”是指内容缺项、不完整或缺少关键点；非专门针对本项目或不适用本项目特性、套用其他项目内容；对同一问题前后表述矛盾；存在逻辑漏洞、科学原理或常识错误；不利于本项目目标的实现、现有技术条件下不可能出现的情形等任意一种情形。</w:t>
            </w:r>
          </w:p>
        </w:tc>
        <w:tc>
          <w:tcPr>
            <w:tcW w:type="dxa" w:w="831"/>
          </w:tcPr>
          <w:p>
            <w:pPr>
              <w:pStyle w:val="null3"/>
              <w:jc w:val="right"/>
            </w:pPr>
            <w:r>
              <w:rPr>
                <w:rFonts w:ascii="仿宋_GB2312" w:hAnsi="仿宋_GB2312" w:cs="仿宋_GB2312" w:eastAsia="仿宋_GB2312"/>
              </w:rPr>
              <w:t>4.0000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6质量控制体系及措施.docx</w:t>
            </w:r>
          </w:p>
        </w:tc>
      </w:tr>
      <w:tr>
        <w:tc>
          <w:tcPr>
            <w:tcW w:type="dxa" w:w="831"/>
            <w:vMerge/>
          </w:tcPr>
          <w:p/>
        </w:tc>
        <w:tc>
          <w:tcPr>
            <w:tcW w:type="dxa" w:w="1661"/>
          </w:tcPr>
          <w:p>
            <w:pPr>
              <w:pStyle w:val="null3"/>
            </w:pPr>
            <w:r>
              <w:rPr>
                <w:rFonts w:ascii="仿宋_GB2312" w:hAnsi="仿宋_GB2312" w:cs="仿宋_GB2312" w:eastAsia="仿宋_GB2312"/>
              </w:rPr>
              <w:t>仓储实力保障</w:t>
            </w:r>
          </w:p>
        </w:tc>
        <w:tc>
          <w:tcPr>
            <w:tcW w:type="dxa" w:w="2492"/>
          </w:tcPr>
          <w:p>
            <w:pPr>
              <w:pStyle w:val="null3"/>
            </w:pPr>
            <w:r>
              <w:rPr>
                <w:rFonts w:ascii="仿宋_GB2312" w:hAnsi="仿宋_GB2312" w:cs="仿宋_GB2312" w:eastAsia="仿宋_GB2312"/>
              </w:rPr>
              <w:t>根据投标人提供的库房总面积、库房的设施状况、安全措施以及针对本项目的仓储方案计分。 满足项目要求，无瑕疵：4分； 方案内容存在1处瑕疵：3分； 方案内容存在2处瑕疵：2分； 方案内容存在3处瑕疵：1分； 未提供方案或不满足项目要求或内容存在4处及以上瑕疵：0分。 注：①需提供库房的产权资料复印件 (不限于购置合同、租赁合同等)，库房的平面图、照片，未提供或缺项的不得分。②所称“瑕疵”是指内容缺项、不完整或缺少关键点；非专门针对本项目或不适用本项目特性、套用其他项目内容；对同一问题前后表述矛盾；存在逻辑漏洞、科学原理或常识错误；不利于本项目目标的实现、现有技术条件下不可能出现的情形等任意一种情形。</w:t>
            </w:r>
          </w:p>
        </w:tc>
        <w:tc>
          <w:tcPr>
            <w:tcW w:type="dxa" w:w="831"/>
          </w:tcPr>
          <w:p>
            <w:pPr>
              <w:pStyle w:val="null3"/>
              <w:jc w:val="right"/>
            </w:pPr>
            <w:r>
              <w:rPr>
                <w:rFonts w:ascii="仿宋_GB2312" w:hAnsi="仿宋_GB2312" w:cs="仿宋_GB2312" w:eastAsia="仿宋_GB2312"/>
              </w:rPr>
              <w:t>4.0000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7仓储实力保障.docx</w:t>
            </w:r>
          </w:p>
        </w:tc>
      </w:tr>
      <w:tr>
        <w:tc>
          <w:tcPr>
            <w:tcW w:type="dxa" w:w="831"/>
            <w:vMerge/>
          </w:tcPr>
          <w:p/>
        </w:tc>
        <w:tc>
          <w:tcPr>
            <w:tcW w:type="dxa" w:w="1661"/>
          </w:tcPr>
          <w:p>
            <w:pPr>
              <w:pStyle w:val="null3"/>
            </w:pPr>
            <w:r>
              <w:rPr>
                <w:rFonts w:ascii="仿宋_GB2312" w:hAnsi="仿宋_GB2312" w:cs="仿宋_GB2312" w:eastAsia="仿宋_GB2312"/>
              </w:rPr>
              <w:t>生产设备</w:t>
            </w:r>
          </w:p>
        </w:tc>
        <w:tc>
          <w:tcPr>
            <w:tcW w:type="dxa" w:w="2492"/>
          </w:tcPr>
          <w:p>
            <w:pPr>
              <w:pStyle w:val="null3"/>
            </w:pPr>
            <w:r>
              <w:rPr>
                <w:rFonts w:ascii="仿宋_GB2312" w:hAnsi="仿宋_GB2312" w:cs="仿宋_GB2312" w:eastAsia="仿宋_GB2312"/>
              </w:rPr>
              <w:t>投标人自有2台六色及以上票据轮转印刷专用设备得2分，每增加1台加1分，满分4分，2台以下不得分。 注：需提供清晰的加盖投标人公章的设备购置发票复印件，且收货人为投标人。</w:t>
            </w:r>
          </w:p>
        </w:tc>
        <w:tc>
          <w:tcPr>
            <w:tcW w:type="dxa" w:w="831"/>
          </w:tcPr>
          <w:p>
            <w:pPr>
              <w:pStyle w:val="null3"/>
              <w:jc w:val="right"/>
            </w:pPr>
            <w:r>
              <w:rPr>
                <w:rFonts w:ascii="仿宋_GB2312" w:hAnsi="仿宋_GB2312" w:cs="仿宋_GB2312" w:eastAsia="仿宋_GB2312"/>
              </w:rPr>
              <w:t>4.0000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8生产设备.docx</w:t>
            </w:r>
          </w:p>
        </w:tc>
      </w:tr>
      <w:tr>
        <w:tc>
          <w:tcPr>
            <w:tcW w:type="dxa" w:w="831"/>
            <w:vMerge/>
          </w:tcPr>
          <w:p/>
        </w:tc>
        <w:tc>
          <w:tcPr>
            <w:tcW w:type="dxa" w:w="1661"/>
          </w:tcPr>
          <w:p>
            <w:pPr>
              <w:pStyle w:val="null3"/>
            </w:pPr>
            <w:r>
              <w:rPr>
                <w:rFonts w:ascii="仿宋_GB2312" w:hAnsi="仿宋_GB2312" w:cs="仿宋_GB2312" w:eastAsia="仿宋_GB2312"/>
              </w:rPr>
              <w:t>证书</w:t>
            </w:r>
          </w:p>
        </w:tc>
        <w:tc>
          <w:tcPr>
            <w:tcW w:type="dxa" w:w="2492"/>
          </w:tcPr>
          <w:p>
            <w:pPr>
              <w:pStyle w:val="null3"/>
            </w:pPr>
            <w:r>
              <w:rPr>
                <w:rFonts w:ascii="仿宋_GB2312" w:hAnsi="仿宋_GB2312" w:cs="仿宋_GB2312" w:eastAsia="仿宋_GB2312"/>
              </w:rPr>
              <w:t>（1）投标人具有质量体系认证、环境体系认证、职业健康安全管理体系认证的，提供齐全得1分，未提供或提供不全不计分。 （2）投标人具有有效的《国家秘密载体印制资质证书》(涉密防伪票据) 乙级及以上证书，计2分，未提供不计分。 注：需提供认证证书扫描件，且在有效期内。</w:t>
            </w:r>
          </w:p>
        </w:tc>
        <w:tc>
          <w:tcPr>
            <w:tcW w:type="dxa" w:w="831"/>
          </w:tcPr>
          <w:p>
            <w:pPr>
              <w:pStyle w:val="null3"/>
              <w:jc w:val="right"/>
            </w:pPr>
            <w:r>
              <w:rPr>
                <w:rFonts w:ascii="仿宋_GB2312" w:hAnsi="仿宋_GB2312" w:cs="仿宋_GB2312" w:eastAsia="仿宋_GB2312"/>
              </w:rPr>
              <w:t>3.0000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9证书.docx</w:t>
            </w:r>
          </w:p>
        </w:tc>
      </w:tr>
      <w:tr>
        <w:tc>
          <w:tcPr>
            <w:tcW w:type="dxa" w:w="831"/>
            <w:vMerge/>
          </w:tcPr>
          <w:p/>
        </w:tc>
        <w:tc>
          <w:tcPr>
            <w:tcW w:type="dxa" w:w="1661"/>
          </w:tcPr>
          <w:p>
            <w:pPr>
              <w:pStyle w:val="null3"/>
            </w:pPr>
            <w:r>
              <w:rPr>
                <w:rFonts w:ascii="仿宋_GB2312" w:hAnsi="仿宋_GB2312" w:cs="仿宋_GB2312" w:eastAsia="仿宋_GB2312"/>
              </w:rPr>
              <w:t>检测能力</w:t>
            </w:r>
          </w:p>
        </w:tc>
        <w:tc>
          <w:tcPr>
            <w:tcW w:type="dxa" w:w="2492"/>
          </w:tcPr>
          <w:p>
            <w:pPr>
              <w:pStyle w:val="null3"/>
            </w:pPr>
            <w:r>
              <w:rPr>
                <w:rFonts w:ascii="仿宋_GB2312" w:hAnsi="仿宋_GB2312" w:cs="仿宋_GB2312" w:eastAsia="仿宋_GB2312"/>
              </w:rPr>
              <w:t>投标人具备专业的实验室和检测设备，对特种热敏纸和票据产品进行入库和出库质量检测，提供设备清单（至少包括 1.电子天平、2.定量取样器、3.厚度仪、4.电脑抗张试验机、5.定距取样刀、6.撕裂度仪、7.静态发色仪、8.密度计、9.动态发色仪、10.烘箱、11.恒温恒湿箱、12.照度计、13.荧光灯灯箱、14.圈液器、15.佛格式耐磨实验仪、16.移液管、17.紫外线灯、18.定性滤纸、19.精度为1mm的计量仪器、20.精度为0.1mm的计量仪器、21.精度为0.01mm的计量仪器、22.高效液相色谱仪、23.恒湿震荡水浴、24.过滤器及滤膜、25.分析天平（0.0001g）、26.分光密度仪）。 具有上述全部 26 项设备得5分，少一项设备或一项不全扣0.5分。 注：检测设备需提供清晰的加盖投标人公章的设备购置发票复印件且收货人为投标人和现场实景照片。</w:t>
            </w:r>
          </w:p>
        </w:tc>
        <w:tc>
          <w:tcPr>
            <w:tcW w:type="dxa" w:w="831"/>
          </w:tcPr>
          <w:p>
            <w:pPr>
              <w:pStyle w:val="null3"/>
              <w:jc w:val="right"/>
            </w:pPr>
            <w:r>
              <w:rPr>
                <w:rFonts w:ascii="仿宋_GB2312" w:hAnsi="仿宋_GB2312" w:cs="仿宋_GB2312" w:eastAsia="仿宋_GB2312"/>
              </w:rPr>
              <w:t>5.0000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10检测能力.docx</w:t>
            </w:r>
          </w:p>
        </w:tc>
      </w:tr>
      <w:tr>
        <w:tc>
          <w:tcPr>
            <w:tcW w:type="dxa" w:w="831"/>
            <w:vMerge/>
          </w:tcPr>
          <w:p/>
        </w:tc>
        <w:tc>
          <w:tcPr>
            <w:tcW w:type="dxa" w:w="1661"/>
          </w:tcPr>
          <w:p>
            <w:pPr>
              <w:pStyle w:val="null3"/>
            </w:pPr>
            <w:r>
              <w:rPr>
                <w:rFonts w:ascii="仿宋_GB2312" w:hAnsi="仿宋_GB2312" w:cs="仿宋_GB2312" w:eastAsia="仿宋_GB2312"/>
              </w:rPr>
              <w:t>业绩</w:t>
            </w:r>
          </w:p>
        </w:tc>
        <w:tc>
          <w:tcPr>
            <w:tcW w:type="dxa" w:w="2492"/>
          </w:tcPr>
          <w:p>
            <w:pPr>
              <w:pStyle w:val="null3"/>
            </w:pPr>
            <w:r>
              <w:rPr>
                <w:rFonts w:ascii="仿宋_GB2312" w:hAnsi="仿宋_GB2312" w:cs="仿宋_GB2312" w:eastAsia="仿宋_GB2312"/>
              </w:rPr>
              <w:t>投标人提供 2022年1月1日至今项目业绩：每提供1份同类项目业绩合同的得1分，最高得3分。 注：1.业绩以合同为准，时间以合同签订时间为准弄虚作假者取消其投标资格。</w:t>
            </w:r>
          </w:p>
        </w:tc>
        <w:tc>
          <w:tcPr>
            <w:tcW w:type="dxa" w:w="831"/>
          </w:tcPr>
          <w:p>
            <w:pPr>
              <w:pStyle w:val="null3"/>
              <w:jc w:val="right"/>
            </w:pPr>
            <w:r>
              <w:rPr>
                <w:rFonts w:ascii="仿宋_GB2312" w:hAnsi="仿宋_GB2312" w:cs="仿宋_GB2312" w:eastAsia="仿宋_GB2312"/>
              </w:rPr>
              <w:t>3.0000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11业绩.docx</w:t>
            </w:r>
          </w:p>
        </w:tc>
      </w:tr>
      <w:tr>
        <w:tc>
          <w:tcPr>
            <w:tcW w:type="dxa" w:w="831"/>
            <w:vMerge/>
          </w:tcPr>
          <w:p/>
        </w:tc>
        <w:tc>
          <w:tcPr>
            <w:tcW w:type="dxa" w:w="1661"/>
          </w:tcPr>
          <w:p>
            <w:pPr>
              <w:pStyle w:val="null3"/>
            </w:pPr>
            <w:r>
              <w:rPr>
                <w:rFonts w:ascii="仿宋_GB2312" w:hAnsi="仿宋_GB2312" w:cs="仿宋_GB2312" w:eastAsia="仿宋_GB2312"/>
              </w:rPr>
              <w:t>售后服务承诺</w:t>
            </w:r>
          </w:p>
        </w:tc>
        <w:tc>
          <w:tcPr>
            <w:tcW w:type="dxa" w:w="2492"/>
          </w:tcPr>
          <w:p>
            <w:pPr>
              <w:pStyle w:val="null3"/>
            </w:pPr>
            <w:r>
              <w:rPr>
                <w:rFonts w:ascii="仿宋_GB2312" w:hAnsi="仿宋_GB2312" w:cs="仿宋_GB2312" w:eastAsia="仿宋_GB2312"/>
              </w:rPr>
              <w:t>（1）具有售后服务能力：投标人配备不少于3名固定人员，并提供售后服务机构资料 (需提供用房租赁合同或产权证明复印件)和人员身份证及在本单位交纳社保证明的，得3分； （2）有针对问题产品的质量跟踪和退换货服务承诺，要求承诺内容具体、可行，退换货服务承诺满足项目需求。每提一条满足项目需求的承诺，且经评审委员会一致认可的，计1分，满分2分。 （3）提供在合同有效期内未经采购人书面许可不得将此次热敏纸采购相关权利、义务进行转让或转包给第三方承诺的得1分，未提供不计分。 本项满分6分。</w:t>
            </w:r>
          </w:p>
        </w:tc>
        <w:tc>
          <w:tcPr>
            <w:tcW w:type="dxa" w:w="831"/>
          </w:tcPr>
          <w:p>
            <w:pPr>
              <w:pStyle w:val="null3"/>
              <w:jc w:val="right"/>
            </w:pPr>
            <w:r>
              <w:rPr>
                <w:rFonts w:ascii="仿宋_GB2312" w:hAnsi="仿宋_GB2312" w:cs="仿宋_GB2312" w:eastAsia="仿宋_GB2312"/>
              </w:rPr>
              <w:t>6.0000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12售后服务.docx</w:t>
            </w:r>
          </w:p>
        </w:tc>
      </w:tr>
      <w:tr>
        <w:tc>
          <w:tcPr>
            <w:tcW w:type="dxa" w:w="831"/>
            <w:vMerge/>
          </w:tcPr>
          <w:p/>
        </w:tc>
        <w:tc>
          <w:tcPr>
            <w:tcW w:type="dxa" w:w="1661"/>
          </w:tcPr>
          <w:p>
            <w:pPr>
              <w:pStyle w:val="null3"/>
            </w:pPr>
            <w:r>
              <w:rPr>
                <w:rFonts w:ascii="仿宋_GB2312" w:hAnsi="仿宋_GB2312" w:cs="仿宋_GB2312" w:eastAsia="仿宋_GB2312"/>
              </w:rPr>
              <w:t>保密措施</w:t>
            </w:r>
          </w:p>
        </w:tc>
        <w:tc>
          <w:tcPr>
            <w:tcW w:type="dxa" w:w="2492"/>
          </w:tcPr>
          <w:p>
            <w:pPr>
              <w:pStyle w:val="null3"/>
            </w:pPr>
            <w:r>
              <w:rPr>
                <w:rFonts w:ascii="仿宋_GB2312" w:hAnsi="仿宋_GB2312" w:cs="仿宋_GB2312" w:eastAsia="仿宋_GB2312"/>
              </w:rPr>
              <w:t>针对本项目需求投标人具备电子监控系统（针对生产车间、储存仓库等地），须提供电子系统现状照片，具有完善科学合理的保密制度，保密措施责任明确等方面计分。 满足项目要求，无瑕疵：3分； 内容存在1处瑕疵：2分； 内容存在2处瑕疵：1分； 未提供方案或不满足项目要求或内容存在3处及以上瑕疵：0分； 所称“瑕疵”是指内容缺项、不完整或缺少关键点；非专门针对本项目或不适用本项目特性、套用其他项目内容；对同一问题前后表述矛盾；存在逻辑漏洞、科学原理或常识错误；不利于本项目目标的实现、现有技术条件下不可能出现的情形等任意一种情形。</w:t>
            </w:r>
          </w:p>
        </w:tc>
        <w:tc>
          <w:tcPr>
            <w:tcW w:type="dxa" w:w="831"/>
          </w:tcPr>
          <w:p>
            <w:pPr>
              <w:pStyle w:val="null3"/>
              <w:jc w:val="right"/>
            </w:pPr>
            <w:r>
              <w:rPr>
                <w:rFonts w:ascii="仿宋_GB2312" w:hAnsi="仿宋_GB2312" w:cs="仿宋_GB2312" w:eastAsia="仿宋_GB2312"/>
              </w:rPr>
              <w:t>3.0000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13保密措施.docx</w:t>
            </w:r>
          </w:p>
        </w:tc>
      </w:tr>
      <w:tr>
        <w:tc>
          <w:tcPr>
            <w:tcW w:type="dxa" w:w="831"/>
            <w:vMerge/>
          </w:tcPr>
          <w:p/>
        </w:tc>
        <w:tc>
          <w:tcPr>
            <w:tcW w:type="dxa" w:w="1661"/>
          </w:tcPr>
          <w:p>
            <w:pPr>
              <w:pStyle w:val="null3"/>
            </w:pPr>
            <w:r>
              <w:rPr>
                <w:rFonts w:ascii="仿宋_GB2312" w:hAnsi="仿宋_GB2312" w:cs="仿宋_GB2312" w:eastAsia="仿宋_GB2312"/>
              </w:rPr>
              <w:t>样品</w:t>
            </w:r>
          </w:p>
        </w:tc>
        <w:tc>
          <w:tcPr>
            <w:tcW w:type="dxa" w:w="2492"/>
          </w:tcPr>
          <w:p>
            <w:pPr>
              <w:pStyle w:val="null3"/>
            </w:pPr>
            <w:r>
              <w:rPr>
                <w:rFonts w:ascii="仿宋_GB2312" w:hAnsi="仿宋_GB2312" w:cs="仿宋_GB2312" w:eastAsia="仿宋_GB2312"/>
              </w:rPr>
              <w:t>投标人需提供1套 ( 1整箱+1卷) 体育彩票热敏票样品并以此为依据进行样品打分： 一、整箱 (1整箱) 专用包装箱 (装箱20卷) （本项满分2分）： 根据材质、整体牢固度、摇盖耐折度等差别计0.1-2分。非专用箱视为未提供样品。 二、样票 (1卷) （1）票面质量（本项满分2分）： 票面平整、没有折皱、破洞，印刷图文清晰、完整，纸面 清洁，没有油污、脏点、正反面蹭脏和无其他印刷缺陷的，得2分； 票面有以下现象：不平整、有折皱、破洞，印刷图文不清晰、不完整，纸面不清洁，有油污、脏点、正反面蹭脏和其他印刷缺陷的，得0分。 （2）序列号质量（本项满分2分）： 序列号为字母加连续流水号，字符清晰、易读，不进入图文区域，不出现透印和粘脏现象，得2分； 序列号有以下现象：序列号不符合招标文件要求，数字不连续，序列号进入图文区域，出现透印和粘脏现象，得0分。 （3）色值质量（本项总分12分）：①评标现场测量6个选定点“○”的L*、a*、b*3个值，并与采购人提供的标准L*、a*、b*值进行对比，一个点 L*、a*、b*值误差均在±1.5以内的得2分；误差均在±2.0以内的得0.5分；否则得0分，即 L*、a*、b*值只要有一项不满足得0分。②共计随机抽检6张不同图片，L*、a*、b*值全部在标准偏差1.5以内得12分。③测量方法：本项目样品制作要求中的所有色值均为绝对色值 。 使用爱色丽 528/530 反射分光密度仪(X.rite528/530) 测量。测量条件：物理滤镜：无；光 源：D50；视场：2°。 （4）用此仪器测量色值时注意：先使用仪器标准白板校准，测量样品时在被测量样品下方放置3张与承印物相同的空白纸张。</w:t>
            </w:r>
          </w:p>
        </w:tc>
        <w:tc>
          <w:tcPr>
            <w:tcW w:type="dxa" w:w="831"/>
          </w:tcPr>
          <w:p>
            <w:pPr>
              <w:pStyle w:val="null3"/>
              <w:jc w:val="right"/>
            </w:pPr>
            <w:r>
              <w:rPr>
                <w:rFonts w:ascii="仿宋_GB2312" w:hAnsi="仿宋_GB2312" w:cs="仿宋_GB2312" w:eastAsia="仿宋_GB2312"/>
              </w:rPr>
              <w:t>18.0000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14样品.docx</w:t>
            </w:r>
          </w:p>
        </w:tc>
      </w:tr>
      <w:tr>
        <w:tc>
          <w:tcPr>
            <w:tcW w:type="dxa" w:w="831"/>
          </w:tcPr>
          <w:p>
            <w:pPr>
              <w:pStyle w:val="null3"/>
            </w:pPr>
            <w:r>
              <w:rPr>
                <w:rFonts w:ascii="仿宋_GB2312" w:hAnsi="仿宋_GB2312" w:cs="仿宋_GB2312" w:eastAsia="仿宋_GB2312"/>
              </w:rPr>
              <w:t>价格分</w:t>
            </w:r>
          </w:p>
        </w:tc>
        <w:tc>
          <w:tcPr>
            <w:tcW w:type="dxa" w:w="1661"/>
          </w:tcPr>
          <w:p>
            <w:pPr>
              <w:pStyle w:val="null3"/>
            </w:pPr>
            <w:r>
              <w:rPr>
                <w:rFonts w:ascii="仿宋_GB2312" w:hAnsi="仿宋_GB2312" w:cs="仿宋_GB2312" w:eastAsia="仿宋_GB2312"/>
              </w:rPr>
              <w:t>价格分</w:t>
            </w:r>
          </w:p>
        </w:tc>
        <w:tc>
          <w:tcPr>
            <w:tcW w:type="dxa" w:w="2492"/>
          </w:tcPr>
          <w:p>
            <w:pPr>
              <w:pStyle w:val="null3"/>
            </w:pPr>
            <w:r>
              <w:rPr>
                <w:rFonts w:ascii="仿宋_GB2312" w:hAnsi="仿宋_GB2312" w:cs="仿宋_GB2312" w:eastAsia="仿宋_GB2312"/>
              </w:rPr>
              <w:t>价格分统一采用低价优先法计算，即满足项目要求且投标单价报价最低的投标单价报价为评标基准价，其价格分为满分。其他投标人的价格分统一按照下列公式计算： 价格分=(评标基准价／投标单价报价)×报价分值 注：1、计算分数时四舍五入取小数点后两位。</w:t>
            </w:r>
          </w:p>
        </w:tc>
        <w:tc>
          <w:tcPr>
            <w:tcW w:type="dxa" w:w="831"/>
          </w:tcPr>
          <w:p>
            <w:pPr>
              <w:pStyle w:val="null3"/>
              <w:jc w:val="right"/>
            </w:pPr>
            <w:r>
              <w:rPr>
                <w:rFonts w:ascii="仿宋_GB2312" w:hAnsi="仿宋_GB2312" w:cs="仿宋_GB2312" w:eastAsia="仿宋_GB2312"/>
              </w:rPr>
              <w:t>20.0000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开标一览表</w:t>
            </w:r>
          </w:p>
          <w:p>
            <w:pPr>
              <w:pStyle w:val="null3"/>
            </w:pPr>
            <w:r>
              <w:rPr>
                <w:rFonts w:ascii="仿宋_GB2312" w:hAnsi="仿宋_GB2312" w:cs="仿宋_GB2312" w:eastAsia="仿宋_GB2312"/>
              </w:rPr>
              <w:t>标的清单</w:t>
            </w:r>
          </w:p>
        </w:tc>
      </w:tr>
    </w:tbl>
    <w:p>
      <w:pPr>
        <w:pStyle w:val="null3"/>
      </w:pPr>
      <w:r>
        <w:rPr>
          <w:rFonts w:ascii="仿宋_GB2312" w:hAnsi="仿宋_GB2312" w:cs="仿宋_GB2312" w:eastAsia="仿宋_GB2312"/>
        </w:rPr>
        <w:t>价格扣除</w:t>
      </w:r>
    </w:p>
    <w:tbl>
      <w:tblPr>
        <w:tblW w:w="0" w:type="auto"/>
        <w:tblBorders>
          <w:top w:val="single"/>
          <w:left w:val="single"/>
          <w:bottom w:val="single"/>
          <w:right w:val="single"/>
          <w:insideH w:val="single"/>
          <w:insideV w:val="single"/>
        </w:tblBorders>
      </w:tblPr>
      <w:tblGrid>
        <w:gridCol w:w="831"/>
        <w:gridCol w:w="1661"/>
        <w:gridCol w:w="1661"/>
        <w:gridCol w:w="831"/>
        <w:gridCol w:w="1661"/>
        <w:gridCol w:w="1661"/>
      </w:tblGrid>
      <w:tr>
        <w:tc>
          <w:tcPr>
            <w:tcW w:type="dxa" w:w="831"/>
          </w:tcPr>
          <w:p>
            <w:pPr>
              <w:pStyle w:val="null3"/>
            </w:pPr>
            <w:r>
              <w:rPr>
                <w:rFonts w:ascii="仿宋_GB2312" w:hAnsi="仿宋_GB2312" w:cs="仿宋_GB2312" w:eastAsia="仿宋_GB2312"/>
              </w:rPr>
              <w:t xml:space="preserve"> 序号</w:t>
            </w:r>
          </w:p>
        </w:tc>
        <w:tc>
          <w:tcPr>
            <w:tcW w:type="dxa" w:w="1661"/>
          </w:tcPr>
          <w:p>
            <w:pPr>
              <w:pStyle w:val="null3"/>
            </w:pPr>
            <w:r>
              <w:rPr>
                <w:rFonts w:ascii="仿宋_GB2312" w:hAnsi="仿宋_GB2312" w:cs="仿宋_GB2312" w:eastAsia="仿宋_GB2312"/>
              </w:rPr>
              <w:t xml:space="preserve"> 情形</w:t>
            </w:r>
          </w:p>
        </w:tc>
        <w:tc>
          <w:tcPr>
            <w:tcW w:type="dxa" w:w="1661"/>
          </w:tcPr>
          <w:p>
            <w:pPr>
              <w:pStyle w:val="null3"/>
            </w:pPr>
            <w:r>
              <w:rPr>
                <w:rFonts w:ascii="仿宋_GB2312" w:hAnsi="仿宋_GB2312" w:cs="仿宋_GB2312" w:eastAsia="仿宋_GB2312"/>
              </w:rPr>
              <w:t xml:space="preserve"> 适用对象</w:t>
            </w:r>
          </w:p>
        </w:tc>
        <w:tc>
          <w:tcPr>
            <w:tcW w:type="dxa" w:w="831"/>
          </w:tcPr>
          <w:p>
            <w:pPr>
              <w:pStyle w:val="null3"/>
            </w:pPr>
            <w:r>
              <w:rPr>
                <w:rFonts w:ascii="仿宋_GB2312" w:hAnsi="仿宋_GB2312" w:cs="仿宋_GB2312" w:eastAsia="仿宋_GB2312"/>
              </w:rPr>
              <w:t xml:space="preserve"> 比例</w:t>
            </w:r>
          </w:p>
        </w:tc>
        <w:tc>
          <w:tcPr>
            <w:tcW w:type="dxa" w:w="1661"/>
          </w:tcPr>
          <w:p>
            <w:pPr>
              <w:pStyle w:val="null3"/>
            </w:pPr>
            <w:r>
              <w:rPr>
                <w:rFonts w:ascii="仿宋_GB2312" w:hAnsi="仿宋_GB2312" w:cs="仿宋_GB2312" w:eastAsia="仿宋_GB2312"/>
              </w:rPr>
              <w:t xml:space="preserve"> 说明</w:t>
            </w:r>
          </w:p>
        </w:tc>
        <w:tc>
          <w:tcPr>
            <w:tcW w:type="dxa" w:w="1661"/>
          </w:tcPr>
          <w:p>
            <w:pPr>
              <w:pStyle w:val="null3"/>
            </w:pPr>
            <w:r>
              <w:rPr>
                <w:rFonts w:ascii="仿宋_GB2312" w:hAnsi="仿宋_GB2312" w:cs="仿宋_GB2312" w:eastAsia="仿宋_GB2312"/>
              </w:rPr>
              <w:t xml:space="preserve"> 关联格式</w:t>
            </w:r>
          </w:p>
        </w:tc>
      </w:tr>
      <w:tr>
        <w:tc>
          <w:tcPr>
            <w:tcW w:type="dxa" w:w="8306"/>
            <w:gridSpan w:val="6"/>
          </w:tcPr>
          <w:p>
            <w:pPr>
              <w:pStyle w:val="null3"/>
            </w:pPr>
            <w:r>
              <w:rPr>
                <w:rFonts w:ascii="仿宋_GB2312" w:hAnsi="仿宋_GB2312" w:cs="仿宋_GB2312" w:eastAsia="仿宋_GB2312"/>
              </w:rPr>
              <w:t xml:space="preserve"> 无</w:t>
            </w:r>
          </w:p>
        </w:tc>
      </w:tr>
    </w:tbl>
    <w:p>
      <w:pPr>
        <w:pStyle w:val="null3"/>
        <w:ind w:firstLine="480"/>
      </w:pPr>
      <w:r>
        <w:rPr>
          <w:rFonts w:ascii="仿宋_GB2312" w:hAnsi="仿宋_GB2312" w:cs="仿宋_GB2312" w:eastAsia="仿宋_GB2312"/>
        </w:rPr>
        <w:t>说明：</w:t>
      </w:r>
    </w:p>
    <w:p>
      <w:pPr>
        <w:pStyle w:val="null3"/>
        <w:ind w:firstLine="480"/>
      </w:pPr>
      <w:r>
        <w:rPr>
          <w:rFonts w:ascii="仿宋_GB2312" w:hAnsi="仿宋_GB2312" w:cs="仿宋_GB2312" w:eastAsia="仿宋_GB2312"/>
        </w:rPr>
        <w:t>1、评分的取值按四舍五入法，保留小数点后两位；</w:t>
      </w:r>
    </w:p>
    <w:p>
      <w:pPr>
        <w:pStyle w:val="null3"/>
        <w:ind w:firstLine="480"/>
      </w:pPr>
      <w:r>
        <w:rPr>
          <w:rFonts w:ascii="仿宋_GB2312" w:hAnsi="仿宋_GB2312" w:cs="仿宋_GB2312" w:eastAsia="仿宋_GB2312"/>
        </w:rPr>
        <w:t>2、评分标准中要求提供的证明材料须清晰可辨。</w:t>
      </w:r>
    </w:p>
    <w:p>
      <w:pPr>
        <w:pStyle w:val="null3"/>
        <w:ind w:firstLine="480"/>
      </w:pPr>
      <w:r>
        <w:rPr>
          <w:rFonts w:ascii="仿宋_GB2312" w:hAnsi="仿宋_GB2312" w:cs="仿宋_GB2312" w:eastAsia="仿宋_GB2312"/>
        </w:rPr>
        <w:t xml:space="preserve"> （最低评标价法适用）采用最低评标价法的，投标文件满足招标文件全部实质性要求，且投标报价最低的投标人为中标候选人。采用最低评标价法评标时，除了算术修正和落实政府采购政策需进行的价格扣除外，不能对投标人的投标价格进行任何调整。</w:t>
      </w:r>
    </w:p>
    <w:p>
      <w:pPr>
        <w:pStyle w:val="null3"/>
        <w:outlineLvl w:val="2"/>
      </w:pPr>
      <w:r>
        <w:rPr>
          <w:rFonts w:ascii="仿宋_GB2312" w:hAnsi="仿宋_GB2312" w:cs="仿宋_GB2312" w:eastAsia="仿宋_GB2312"/>
          <w:sz w:val="28"/>
          <w:b/>
        </w:rPr>
        <w:t>5.7废标</w:t>
      </w:r>
    </w:p>
    <w:p>
      <w:pPr>
        <w:pStyle w:val="null3"/>
        <w:ind w:firstLine="480"/>
      </w:pPr>
      <w:r>
        <w:rPr>
          <w:rFonts w:ascii="仿宋_GB2312" w:hAnsi="仿宋_GB2312" w:cs="仿宋_GB2312" w:eastAsia="仿宋_GB2312"/>
        </w:rPr>
        <w:t>本次政府采购活动中，出现下列情形之一的，予以废标：</w:t>
      </w:r>
    </w:p>
    <w:p>
      <w:pPr>
        <w:pStyle w:val="null3"/>
        <w:ind w:firstLine="480"/>
      </w:pPr>
      <w:r>
        <w:rPr>
          <w:rFonts w:ascii="仿宋_GB2312" w:hAnsi="仿宋_GB2312" w:cs="仿宋_GB2312" w:eastAsia="仿宋_GB2312"/>
        </w:rPr>
        <w:t>一、符合专业条件的投标人或者对招标文件作实质响应的投标人不足三家的；</w:t>
      </w:r>
    </w:p>
    <w:p>
      <w:pPr>
        <w:pStyle w:val="null3"/>
        <w:ind w:firstLine="480"/>
      </w:pPr>
      <w:r>
        <w:rPr>
          <w:rFonts w:ascii="仿宋_GB2312" w:hAnsi="仿宋_GB2312" w:cs="仿宋_GB2312" w:eastAsia="仿宋_GB2312"/>
        </w:rPr>
        <w:t>二、出现影响采购公正的违法、违规行为的；</w:t>
      </w:r>
    </w:p>
    <w:p>
      <w:pPr>
        <w:pStyle w:val="null3"/>
        <w:ind w:firstLine="480"/>
      </w:pPr>
      <w:r>
        <w:rPr>
          <w:rFonts w:ascii="仿宋_GB2312" w:hAnsi="仿宋_GB2312" w:cs="仿宋_GB2312" w:eastAsia="仿宋_GB2312"/>
        </w:rPr>
        <w:t>三、投标人的报价均超过了采购预算，采购人不能支付的；</w:t>
      </w:r>
    </w:p>
    <w:p>
      <w:pPr>
        <w:pStyle w:val="null3"/>
        <w:ind w:firstLine="480"/>
      </w:pPr>
      <w:r>
        <w:rPr>
          <w:rFonts w:ascii="仿宋_GB2312" w:hAnsi="仿宋_GB2312" w:cs="仿宋_GB2312" w:eastAsia="仿宋_GB2312"/>
        </w:rPr>
        <w:t>四、因重大变故，采购任务取消的；</w:t>
      </w:r>
    </w:p>
    <w:p>
      <w:pPr>
        <w:pStyle w:val="null3"/>
        <w:ind w:firstLine="480"/>
      </w:pPr>
      <w:r>
        <w:rPr>
          <w:rFonts w:ascii="仿宋_GB2312" w:hAnsi="仿宋_GB2312" w:cs="仿宋_GB2312" w:eastAsia="仿宋_GB2312"/>
        </w:rPr>
        <w:t xml:space="preserve"> 废标后，代理机构将在陕西省政府采购网上公告。对于评标过程中废标的采购项目，评标委员会应当对招标文件是否存在倾向性和歧视性、是否存在不合理条款进行论证，并出具书面论证意见。</w:t>
      </w:r>
    </w:p>
    <w:p>
      <w:pPr>
        <w:pStyle w:val="null3"/>
        <w:outlineLvl w:val="2"/>
      </w:pPr>
      <w:r>
        <w:rPr>
          <w:rFonts w:ascii="仿宋_GB2312" w:hAnsi="仿宋_GB2312" w:cs="仿宋_GB2312" w:eastAsia="仿宋_GB2312"/>
          <w:sz w:val="28"/>
          <w:b/>
        </w:rPr>
        <w:t>5.8定标</w:t>
      </w:r>
    </w:p>
    <w:p>
      <w:pPr>
        <w:pStyle w:val="null3"/>
        <w:outlineLvl w:val="3"/>
      </w:pPr>
      <w:r>
        <w:rPr>
          <w:rFonts w:ascii="仿宋_GB2312" w:hAnsi="仿宋_GB2312" w:cs="仿宋_GB2312" w:eastAsia="仿宋_GB2312"/>
          <w:sz w:val="24"/>
          <w:b/>
        </w:rPr>
        <w:t>5.8.1 定标原则</w:t>
      </w:r>
    </w:p>
    <w:p>
      <w:pPr>
        <w:pStyle w:val="null3"/>
      </w:pPr>
      <w:r>
        <w:rPr>
          <w:rFonts w:ascii="仿宋_GB2312" w:hAnsi="仿宋_GB2312" w:cs="仿宋_GB2312" w:eastAsia="仿宋_GB2312"/>
        </w:rPr>
        <w:t>采购人在评标报告确定的中标候选人名单中按顺序确定1名中标人。中标候选人并列的，由采购人采取随机抽取的方式确定中标人。</w:t>
      </w:r>
    </w:p>
    <w:p>
      <w:pPr>
        <w:pStyle w:val="null3"/>
        <w:outlineLvl w:val="3"/>
      </w:pPr>
      <w:r>
        <w:rPr>
          <w:rFonts w:ascii="仿宋_GB2312" w:hAnsi="仿宋_GB2312" w:cs="仿宋_GB2312" w:eastAsia="仿宋_GB2312"/>
          <w:sz w:val="24"/>
          <w:b/>
        </w:rPr>
        <w:t>5.8.2定标程序</w:t>
      </w:r>
    </w:p>
    <w:p>
      <w:pPr>
        <w:pStyle w:val="null3"/>
      </w:pPr>
      <w:r>
        <w:rPr>
          <w:rFonts w:ascii="仿宋_GB2312" w:hAnsi="仿宋_GB2312" w:cs="仿宋_GB2312" w:eastAsia="仿宋_GB2312"/>
        </w:rPr>
        <w:t>一、评标委员会在项目电子化交易系统中编制评标情况，生成评标报告。</w:t>
      </w:r>
    </w:p>
    <w:p>
      <w:pPr>
        <w:pStyle w:val="null3"/>
      </w:pPr>
      <w:r>
        <w:rPr>
          <w:rFonts w:ascii="仿宋_GB2312" w:hAnsi="仿宋_GB2312" w:cs="仿宋_GB2312" w:eastAsia="仿宋_GB2312"/>
        </w:rPr>
        <w:t>二、代理机构在评标结束之日起2个工作日内将评标报告送采购人。</w:t>
      </w:r>
    </w:p>
    <w:p>
      <w:pPr>
        <w:pStyle w:val="null3"/>
      </w:pPr>
      <w:r>
        <w:rPr>
          <w:rFonts w:ascii="仿宋_GB2312" w:hAnsi="仿宋_GB2312" w:cs="仿宋_GB2312" w:eastAsia="仿宋_GB2312"/>
        </w:rPr>
        <w:t>三、采购人在收到评标报告后5个工作日内，按照评标报告中推荐的中标候选人顺序确定中标供应商。逾期未确认的，又不能说明合法理由的，视同按评标报告推荐的顺序确定排名第一的中标候选人为中标供应商。</w:t>
      </w:r>
    </w:p>
    <w:p>
      <w:pPr>
        <w:pStyle w:val="null3"/>
      </w:pPr>
      <w:r>
        <w:rPr>
          <w:rFonts w:ascii="仿宋_GB2312" w:hAnsi="仿宋_GB2312" w:cs="仿宋_GB2312" w:eastAsia="仿宋_GB2312"/>
        </w:rPr>
        <w:t>四、根据确定的中标供应商，代理机构在陕西省政府采购网上发布中标结果公告，通过项目电子化交易系统向中标供应商发出中标通知书。</w:t>
      </w:r>
    </w:p>
    <w:p>
      <w:pPr>
        <w:pStyle w:val="null3"/>
        <w:outlineLvl w:val="2"/>
      </w:pPr>
      <w:r>
        <w:rPr>
          <w:rFonts w:ascii="仿宋_GB2312" w:hAnsi="仿宋_GB2312" w:cs="仿宋_GB2312" w:eastAsia="仿宋_GB2312"/>
          <w:sz w:val="28"/>
          <w:b/>
        </w:rPr>
        <w:t>5.9评审专家在政府采购活动中承担以下义务</w:t>
      </w:r>
    </w:p>
    <w:p>
      <w:pPr>
        <w:pStyle w:val="null3"/>
        <w:ind w:firstLine="480"/>
      </w:pPr>
      <w:r>
        <w:rPr>
          <w:rFonts w:ascii="仿宋_GB2312" w:hAnsi="仿宋_GB2312" w:cs="仿宋_GB2312" w:eastAsia="仿宋_GB2312"/>
        </w:rPr>
        <w:t>（一）遵守评审工作纪律；</w:t>
      </w:r>
    </w:p>
    <w:p>
      <w:pPr>
        <w:pStyle w:val="null3"/>
        <w:ind w:firstLine="480"/>
      </w:pPr>
      <w:r>
        <w:rPr>
          <w:rFonts w:ascii="仿宋_GB2312" w:hAnsi="仿宋_GB2312" w:cs="仿宋_GB2312" w:eastAsia="仿宋_GB2312"/>
        </w:rPr>
        <w:t>（二）按照客观、公正、审慎的原则，根据采购文件规定的评审程序、评审方法和评审标准进行独立评审；</w:t>
      </w:r>
    </w:p>
    <w:p>
      <w:pPr>
        <w:pStyle w:val="null3"/>
        <w:ind w:firstLine="480"/>
      </w:pPr>
      <w:r>
        <w:rPr>
          <w:rFonts w:ascii="仿宋_GB2312" w:hAnsi="仿宋_GB2312" w:cs="仿宋_GB2312" w:eastAsia="仿宋_GB2312"/>
        </w:rPr>
        <w:t>（三）不得泄露评审文件、评审情况和在评审过程中获悉的商业秘密；</w:t>
      </w:r>
    </w:p>
    <w:p>
      <w:pPr>
        <w:pStyle w:val="null3"/>
        <w:ind w:firstLine="480"/>
      </w:pPr>
      <w:r>
        <w:rPr>
          <w:rFonts w:ascii="仿宋_GB2312" w:hAnsi="仿宋_GB2312" w:cs="仿宋_GB2312" w:eastAsia="仿宋_GB2312"/>
        </w:rPr>
        <w:t xml:space="preserve"> （四）及时向监督管理部门报告评审过程中的违法违规情况，包括采购组织单位向评审专家作出倾向性、误导性的解释或者说明情况，供应商行贿、提供虚假材料或者串通情况，其他非法干预评审情况等；</w:t>
      </w:r>
    </w:p>
    <w:p>
      <w:pPr>
        <w:pStyle w:val="null3"/>
        <w:ind w:firstLine="480"/>
      </w:pPr>
      <w:r>
        <w:rPr>
          <w:rFonts w:ascii="仿宋_GB2312" w:hAnsi="仿宋_GB2312" w:cs="仿宋_GB2312" w:eastAsia="仿宋_GB2312"/>
        </w:rPr>
        <w:t xml:space="preserve"> （五）发现采购文件内容违反国家有关强制性规定或者存在歧义、重大缺陷导致评审工作无法进行时，停止评审并通过项目电子化交易系统向采购组织单位书面说明情况，说明停止评审的情形和具体理由；</w:t>
      </w:r>
    </w:p>
    <w:p>
      <w:pPr>
        <w:pStyle w:val="null3"/>
        <w:ind w:firstLine="480"/>
      </w:pPr>
      <w:r>
        <w:rPr>
          <w:rFonts w:ascii="仿宋_GB2312" w:hAnsi="仿宋_GB2312" w:cs="仿宋_GB2312" w:eastAsia="仿宋_GB2312"/>
        </w:rPr>
        <w:t>（六）配合答复处理供应商的询问、质疑和投诉等事项；</w:t>
      </w:r>
    </w:p>
    <w:p>
      <w:pPr>
        <w:pStyle w:val="null3"/>
        <w:ind w:firstLine="480"/>
      </w:pPr>
      <w:r>
        <w:rPr>
          <w:rFonts w:ascii="仿宋_GB2312" w:hAnsi="仿宋_GB2312" w:cs="仿宋_GB2312" w:eastAsia="仿宋_GB2312"/>
        </w:rPr>
        <w:t>（七）法律、法规和规章规定的其他义务。</w:t>
      </w:r>
    </w:p>
    <w:p>
      <w:pPr>
        <w:pStyle w:val="null3"/>
        <w:outlineLvl w:val="2"/>
      </w:pPr>
      <w:r>
        <w:rPr>
          <w:rFonts w:ascii="仿宋_GB2312" w:hAnsi="仿宋_GB2312" w:cs="仿宋_GB2312" w:eastAsia="仿宋_GB2312"/>
          <w:sz w:val="28"/>
          <w:b/>
        </w:rPr>
        <w:t>5.10评审专家在政府采购活动中应当遵守以下工作纪律</w:t>
      </w:r>
    </w:p>
    <w:p>
      <w:pPr>
        <w:pStyle w:val="null3"/>
        <w:ind w:firstLine="480"/>
      </w:pPr>
      <w:r>
        <w:rPr>
          <w:rFonts w:ascii="仿宋_GB2312" w:hAnsi="仿宋_GB2312" w:cs="仿宋_GB2312" w:eastAsia="仿宋_GB2312"/>
        </w:rPr>
        <w:t xml:space="preserve"> （一）遵行《中华人民共和国政府采购法》第十二条和《中华人民共和国政府采购法实施条例》第九条及财政部关于回避的规定。</w:t>
      </w:r>
    </w:p>
    <w:p>
      <w:pPr>
        <w:pStyle w:val="null3"/>
        <w:ind w:firstLine="480"/>
      </w:pPr>
      <w:r>
        <w:rPr>
          <w:rFonts w:ascii="仿宋_GB2312" w:hAnsi="仿宋_GB2312" w:cs="仿宋_GB2312" w:eastAsia="仿宋_GB2312"/>
        </w:rPr>
        <w:t>（二）评标前，应当将通讯工具或者相关电子设备交由采购组织单位统一保管。</w:t>
      </w:r>
    </w:p>
    <w:p>
      <w:pPr>
        <w:pStyle w:val="null3"/>
        <w:ind w:firstLine="480"/>
      </w:pPr>
      <w:r>
        <w:rPr>
          <w:rFonts w:ascii="仿宋_GB2312" w:hAnsi="仿宋_GB2312" w:cs="仿宋_GB2312" w:eastAsia="仿宋_GB2312"/>
        </w:rPr>
        <w:t>（三）评标过程中，不得与外界联系，因发生不可预见情况，确实需要与外界联系的， 应当在监督人员监督之下办理。</w:t>
      </w:r>
    </w:p>
    <w:p>
      <w:pPr>
        <w:pStyle w:val="null3"/>
        <w:ind w:firstLine="480"/>
      </w:pPr>
      <w:r>
        <w:rPr>
          <w:rFonts w:ascii="仿宋_GB2312" w:hAnsi="仿宋_GB2312" w:cs="仿宋_GB2312" w:eastAsia="仿宋_GB2312"/>
        </w:rPr>
        <w:t>（四）评标过程中，不得干预或者影响正常评标工作，不得发表倾向性、引导性意见， 不得修改或细化招标文件确定的评标程序、评标方法、评审因素和评审标准，不得接受供应商主动提出的澄清和解释，不得征询采购人代表的意见，不得协商评分，不得违反规定的评审格式评分和撰写评标意见，不得拒绝对自己的评标意见签字确认。</w:t>
      </w:r>
    </w:p>
    <w:p>
      <w:pPr>
        <w:pStyle w:val="null3"/>
        <w:ind w:firstLine="480"/>
      </w:pPr>
      <w:r>
        <w:rPr>
          <w:rFonts w:ascii="仿宋_GB2312" w:hAnsi="仿宋_GB2312" w:cs="仿宋_GB2312" w:eastAsia="仿宋_GB2312"/>
        </w:rPr>
        <w:t xml:space="preserve"> （五）在评审过程中和评审结束后，不得记录、复制或带走任何评审资料，不得向外界透露评审内容。</w:t>
      </w:r>
    </w:p>
    <w:p>
      <w:pPr>
        <w:pStyle w:val="null3"/>
        <w:ind w:firstLine="480"/>
      </w:pPr>
      <w:r>
        <w:rPr>
          <w:rFonts w:ascii="仿宋_GB2312" w:hAnsi="仿宋_GB2312" w:cs="仿宋_GB2312" w:eastAsia="仿宋_GB2312"/>
        </w:rPr>
        <w:t>（六）服从评审现场采购组织单位的现场秩序管理，接受评审现场监督人员的合法监督。</w:t>
      </w:r>
    </w:p>
    <w:p>
      <w:pPr>
        <w:pStyle w:val="null3"/>
        <w:ind w:firstLine="480"/>
      </w:pPr>
      <w:r>
        <w:rPr>
          <w:rFonts w:ascii="仿宋_GB2312" w:hAnsi="仿宋_GB2312" w:cs="仿宋_GB2312" w:eastAsia="仿宋_GB2312"/>
        </w:rPr>
        <w:t xml:space="preserve"> （七）遵守有关廉洁自律规定，不得私下接触供应商，不得收受供应商及有关业务单位和个人的财物或好处，不得接受采购组织单位的请托。</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第6章投标文件格式</w:t>
      </w:r>
    </w:p>
    <w:p>
      <w:pPr>
        <w:pStyle w:val="null3"/>
        <w:outlineLvl w:val="2"/>
      </w:pPr>
      <w:r>
        <w:rPr>
          <w:rFonts w:ascii="仿宋_GB2312" w:hAnsi="仿宋_GB2312" w:cs="仿宋_GB2312" w:eastAsia="仿宋_GB2312"/>
          <w:sz w:val="28"/>
          <w:b/>
        </w:rPr>
        <w:t>6.1投标文件封面格式</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分册名称：投标响应文件分册</w:t>
      </w:r>
    </w:p>
    <w:p>
      <w:pPr>
        <w:pStyle w:val="null3"/>
        <w:ind w:firstLine="960"/>
      </w:pPr>
      <w:r>
        <w:rPr>
          <w:rFonts w:ascii="仿宋_GB2312" w:hAnsi="仿宋_GB2312" w:cs="仿宋_GB2312" w:eastAsia="仿宋_GB2312"/>
        </w:rPr>
        <w:t>详见附件：投标文件封面</w:t>
      </w:r>
    </w:p>
    <w:p>
      <w:pPr>
        <w:pStyle w:val="null3"/>
        <w:ind w:firstLine="960"/>
      </w:pPr>
      <w:r>
        <w:rPr>
          <w:rFonts w:ascii="仿宋_GB2312" w:hAnsi="仿宋_GB2312" w:cs="仿宋_GB2312" w:eastAsia="仿宋_GB2312"/>
        </w:rPr>
        <w:t>详见附件：投标函</w:t>
      </w:r>
    </w:p>
    <w:p>
      <w:pPr>
        <w:pStyle w:val="null3"/>
        <w:ind w:firstLine="960"/>
      </w:pPr>
      <w:r>
        <w:rPr>
          <w:rFonts w:ascii="仿宋_GB2312" w:hAnsi="仿宋_GB2312" w:cs="仿宋_GB2312" w:eastAsia="仿宋_GB2312"/>
        </w:rPr>
        <w:t>详见附件：中小企业声明函</w:t>
      </w:r>
    </w:p>
    <w:p>
      <w:pPr>
        <w:pStyle w:val="null3"/>
        <w:ind w:firstLine="960"/>
      </w:pPr>
      <w:r>
        <w:rPr>
          <w:rFonts w:ascii="仿宋_GB2312" w:hAnsi="仿宋_GB2312" w:cs="仿宋_GB2312" w:eastAsia="仿宋_GB2312"/>
        </w:rPr>
        <w:t>详见附件：残疾人福利性单位声明函</w:t>
      </w:r>
    </w:p>
    <w:p>
      <w:pPr>
        <w:pStyle w:val="null3"/>
        <w:ind w:firstLine="960"/>
      </w:pPr>
      <w:r>
        <w:rPr>
          <w:rFonts w:ascii="仿宋_GB2312" w:hAnsi="仿宋_GB2312" w:cs="仿宋_GB2312" w:eastAsia="仿宋_GB2312"/>
        </w:rPr>
        <w:t>详见附件：监狱企业的证明文件</w:t>
      </w:r>
    </w:p>
    <w:p>
      <w:pPr>
        <w:pStyle w:val="null3"/>
        <w:ind w:firstLine="960"/>
      </w:pPr>
      <w:r>
        <w:rPr>
          <w:rFonts w:ascii="仿宋_GB2312" w:hAnsi="仿宋_GB2312" w:cs="仿宋_GB2312" w:eastAsia="仿宋_GB2312"/>
        </w:rPr>
        <w:t>详见附件：开标一览表</w:t>
      </w:r>
    </w:p>
    <w:p>
      <w:pPr>
        <w:pStyle w:val="null3"/>
        <w:ind w:firstLine="960"/>
      </w:pPr>
      <w:r>
        <w:rPr>
          <w:rFonts w:ascii="仿宋_GB2312" w:hAnsi="仿宋_GB2312" w:cs="仿宋_GB2312" w:eastAsia="仿宋_GB2312"/>
        </w:rPr>
        <w:t>详见附件：标的清单</w:t>
      </w:r>
    </w:p>
    <w:p>
      <w:pPr>
        <w:pStyle w:val="null3"/>
        <w:ind w:firstLine="960"/>
      </w:pPr>
      <w:r>
        <w:rPr>
          <w:rFonts w:ascii="仿宋_GB2312" w:hAnsi="仿宋_GB2312" w:cs="仿宋_GB2312" w:eastAsia="仿宋_GB2312"/>
        </w:rPr>
        <w:t>详见附件：1.资格证明文件.docx</w:t>
      </w:r>
    </w:p>
    <w:p>
      <w:pPr>
        <w:pStyle w:val="null3"/>
        <w:ind w:firstLine="960"/>
      </w:pPr>
      <w:r>
        <w:rPr>
          <w:rFonts w:ascii="仿宋_GB2312" w:hAnsi="仿宋_GB2312" w:cs="仿宋_GB2312" w:eastAsia="仿宋_GB2312"/>
        </w:rPr>
        <w:t>详见附件：2商务要求偏离表.docx</w:t>
      </w:r>
    </w:p>
    <w:p>
      <w:pPr>
        <w:pStyle w:val="null3"/>
        <w:ind w:firstLine="960"/>
      </w:pPr>
      <w:r>
        <w:rPr>
          <w:rFonts w:ascii="仿宋_GB2312" w:hAnsi="仿宋_GB2312" w:cs="仿宋_GB2312" w:eastAsia="仿宋_GB2312"/>
        </w:rPr>
        <w:t>详见附件：3采购需求响应与偏离表、佐证材料.docx</w:t>
      </w:r>
    </w:p>
    <w:p>
      <w:pPr>
        <w:pStyle w:val="null3"/>
        <w:ind w:firstLine="960"/>
      </w:pPr>
      <w:r>
        <w:rPr>
          <w:rFonts w:ascii="仿宋_GB2312" w:hAnsi="仿宋_GB2312" w:cs="仿宋_GB2312" w:eastAsia="仿宋_GB2312"/>
        </w:rPr>
        <w:t>详见附件：4实施方案.docx</w:t>
      </w:r>
    </w:p>
    <w:p>
      <w:pPr>
        <w:pStyle w:val="null3"/>
        <w:ind w:firstLine="960"/>
      </w:pPr>
      <w:r>
        <w:rPr>
          <w:rFonts w:ascii="仿宋_GB2312" w:hAnsi="仿宋_GB2312" w:cs="仿宋_GB2312" w:eastAsia="仿宋_GB2312"/>
        </w:rPr>
        <w:t>详见附件：5配送方案.docx</w:t>
      </w:r>
    </w:p>
    <w:p>
      <w:pPr>
        <w:pStyle w:val="null3"/>
        <w:ind w:firstLine="960"/>
      </w:pPr>
      <w:r>
        <w:rPr>
          <w:rFonts w:ascii="仿宋_GB2312" w:hAnsi="仿宋_GB2312" w:cs="仿宋_GB2312" w:eastAsia="仿宋_GB2312"/>
        </w:rPr>
        <w:t>详见附件：6质量控制体系及措施.docx</w:t>
      </w:r>
    </w:p>
    <w:p>
      <w:pPr>
        <w:pStyle w:val="null3"/>
        <w:ind w:firstLine="960"/>
      </w:pPr>
      <w:r>
        <w:rPr>
          <w:rFonts w:ascii="仿宋_GB2312" w:hAnsi="仿宋_GB2312" w:cs="仿宋_GB2312" w:eastAsia="仿宋_GB2312"/>
        </w:rPr>
        <w:t>详见附件：7仓储实力保障.docx</w:t>
      </w:r>
    </w:p>
    <w:p>
      <w:pPr>
        <w:pStyle w:val="null3"/>
        <w:ind w:firstLine="960"/>
      </w:pPr>
      <w:r>
        <w:rPr>
          <w:rFonts w:ascii="仿宋_GB2312" w:hAnsi="仿宋_GB2312" w:cs="仿宋_GB2312" w:eastAsia="仿宋_GB2312"/>
        </w:rPr>
        <w:t>详见附件：8生产设备.docx</w:t>
      </w:r>
    </w:p>
    <w:p>
      <w:pPr>
        <w:pStyle w:val="null3"/>
        <w:ind w:firstLine="960"/>
      </w:pPr>
      <w:r>
        <w:rPr>
          <w:rFonts w:ascii="仿宋_GB2312" w:hAnsi="仿宋_GB2312" w:cs="仿宋_GB2312" w:eastAsia="仿宋_GB2312"/>
        </w:rPr>
        <w:t>详见附件：9证书.docx</w:t>
      </w:r>
    </w:p>
    <w:p>
      <w:pPr>
        <w:pStyle w:val="null3"/>
        <w:ind w:firstLine="960"/>
      </w:pPr>
      <w:r>
        <w:rPr>
          <w:rFonts w:ascii="仿宋_GB2312" w:hAnsi="仿宋_GB2312" w:cs="仿宋_GB2312" w:eastAsia="仿宋_GB2312"/>
        </w:rPr>
        <w:t>详见附件：10检测能力.docx</w:t>
      </w:r>
    </w:p>
    <w:p>
      <w:pPr>
        <w:pStyle w:val="null3"/>
        <w:ind w:firstLine="960"/>
      </w:pPr>
      <w:r>
        <w:rPr>
          <w:rFonts w:ascii="仿宋_GB2312" w:hAnsi="仿宋_GB2312" w:cs="仿宋_GB2312" w:eastAsia="仿宋_GB2312"/>
        </w:rPr>
        <w:t>详见附件：11业绩.docx</w:t>
      </w:r>
    </w:p>
    <w:p>
      <w:pPr>
        <w:pStyle w:val="null3"/>
        <w:ind w:firstLine="960"/>
      </w:pPr>
      <w:r>
        <w:rPr>
          <w:rFonts w:ascii="仿宋_GB2312" w:hAnsi="仿宋_GB2312" w:cs="仿宋_GB2312" w:eastAsia="仿宋_GB2312"/>
        </w:rPr>
        <w:t>详见附件：12售后服务.docx</w:t>
      </w:r>
    </w:p>
    <w:p>
      <w:pPr>
        <w:pStyle w:val="null3"/>
        <w:ind w:firstLine="960"/>
      </w:pPr>
      <w:r>
        <w:rPr>
          <w:rFonts w:ascii="仿宋_GB2312" w:hAnsi="仿宋_GB2312" w:cs="仿宋_GB2312" w:eastAsia="仿宋_GB2312"/>
        </w:rPr>
        <w:t>详见附件：13保密措施.docx</w:t>
      </w:r>
    </w:p>
    <w:p>
      <w:pPr>
        <w:pStyle w:val="null3"/>
        <w:ind w:firstLine="960"/>
      </w:pPr>
      <w:r>
        <w:rPr>
          <w:rFonts w:ascii="仿宋_GB2312" w:hAnsi="仿宋_GB2312" w:cs="仿宋_GB2312" w:eastAsia="仿宋_GB2312"/>
        </w:rPr>
        <w:t>详见附件：14样品.docx</w:t>
      </w:r>
    </w:p>
    <w:p>
      <w:pPr>
        <w:pStyle w:val="null3"/>
      </w:pPr>
      <w:r>
        <w:rPr>
          <w:rFonts w:ascii="仿宋_GB2312" w:hAnsi="仿宋_GB2312" w:cs="仿宋_GB2312" w:eastAsia="仿宋_GB2312"/>
        </w:rPr>
        <w:t>采购包2：</w:t>
      </w:r>
    </w:p>
    <w:p>
      <w:pPr>
        <w:pStyle w:val="null3"/>
      </w:pPr>
      <w:r>
        <w:rPr>
          <w:rFonts w:ascii="仿宋_GB2312" w:hAnsi="仿宋_GB2312" w:cs="仿宋_GB2312" w:eastAsia="仿宋_GB2312"/>
        </w:rPr>
        <w:t>分册名称：投标响应文件分册</w:t>
      </w:r>
    </w:p>
    <w:p>
      <w:pPr>
        <w:pStyle w:val="null3"/>
        <w:ind w:firstLine="960"/>
      </w:pPr>
      <w:r>
        <w:rPr>
          <w:rFonts w:ascii="仿宋_GB2312" w:hAnsi="仿宋_GB2312" w:cs="仿宋_GB2312" w:eastAsia="仿宋_GB2312"/>
        </w:rPr>
        <w:t>详见附件：投标文件封面</w:t>
      </w:r>
    </w:p>
    <w:p>
      <w:pPr>
        <w:pStyle w:val="null3"/>
        <w:ind w:firstLine="960"/>
      </w:pPr>
      <w:r>
        <w:rPr>
          <w:rFonts w:ascii="仿宋_GB2312" w:hAnsi="仿宋_GB2312" w:cs="仿宋_GB2312" w:eastAsia="仿宋_GB2312"/>
        </w:rPr>
        <w:t>详见附件：投标函</w:t>
      </w:r>
    </w:p>
    <w:p>
      <w:pPr>
        <w:pStyle w:val="null3"/>
        <w:ind w:firstLine="960"/>
      </w:pPr>
      <w:r>
        <w:rPr>
          <w:rFonts w:ascii="仿宋_GB2312" w:hAnsi="仿宋_GB2312" w:cs="仿宋_GB2312" w:eastAsia="仿宋_GB2312"/>
        </w:rPr>
        <w:t>详见附件：中小企业声明函</w:t>
      </w:r>
    </w:p>
    <w:p>
      <w:pPr>
        <w:pStyle w:val="null3"/>
        <w:ind w:firstLine="960"/>
      </w:pPr>
      <w:r>
        <w:rPr>
          <w:rFonts w:ascii="仿宋_GB2312" w:hAnsi="仿宋_GB2312" w:cs="仿宋_GB2312" w:eastAsia="仿宋_GB2312"/>
        </w:rPr>
        <w:t>详见附件：残疾人福利性单位声明函</w:t>
      </w:r>
    </w:p>
    <w:p>
      <w:pPr>
        <w:pStyle w:val="null3"/>
        <w:ind w:firstLine="960"/>
      </w:pPr>
      <w:r>
        <w:rPr>
          <w:rFonts w:ascii="仿宋_GB2312" w:hAnsi="仿宋_GB2312" w:cs="仿宋_GB2312" w:eastAsia="仿宋_GB2312"/>
        </w:rPr>
        <w:t>详见附件：监狱企业的证明文件</w:t>
      </w:r>
    </w:p>
    <w:p>
      <w:pPr>
        <w:pStyle w:val="null3"/>
        <w:ind w:firstLine="960"/>
      </w:pPr>
      <w:r>
        <w:rPr>
          <w:rFonts w:ascii="仿宋_GB2312" w:hAnsi="仿宋_GB2312" w:cs="仿宋_GB2312" w:eastAsia="仿宋_GB2312"/>
        </w:rPr>
        <w:t>详见附件：开标一览表</w:t>
      </w:r>
    </w:p>
    <w:p>
      <w:pPr>
        <w:pStyle w:val="null3"/>
        <w:ind w:firstLine="960"/>
      </w:pPr>
      <w:r>
        <w:rPr>
          <w:rFonts w:ascii="仿宋_GB2312" w:hAnsi="仿宋_GB2312" w:cs="仿宋_GB2312" w:eastAsia="仿宋_GB2312"/>
        </w:rPr>
        <w:t>详见附件：标的清单</w:t>
      </w:r>
    </w:p>
    <w:p>
      <w:pPr>
        <w:pStyle w:val="null3"/>
        <w:ind w:firstLine="960"/>
      </w:pPr>
      <w:r>
        <w:rPr>
          <w:rFonts w:ascii="仿宋_GB2312" w:hAnsi="仿宋_GB2312" w:cs="仿宋_GB2312" w:eastAsia="仿宋_GB2312"/>
        </w:rPr>
        <w:t>详见附件：1.资格证明文件.docx</w:t>
      </w:r>
    </w:p>
    <w:p>
      <w:pPr>
        <w:pStyle w:val="null3"/>
        <w:ind w:firstLine="960"/>
      </w:pPr>
      <w:r>
        <w:rPr>
          <w:rFonts w:ascii="仿宋_GB2312" w:hAnsi="仿宋_GB2312" w:cs="仿宋_GB2312" w:eastAsia="仿宋_GB2312"/>
        </w:rPr>
        <w:t>详见附件：2商务要求偏离表.docx</w:t>
      </w:r>
    </w:p>
    <w:p>
      <w:pPr>
        <w:pStyle w:val="null3"/>
        <w:ind w:firstLine="960"/>
      </w:pPr>
      <w:r>
        <w:rPr>
          <w:rFonts w:ascii="仿宋_GB2312" w:hAnsi="仿宋_GB2312" w:cs="仿宋_GB2312" w:eastAsia="仿宋_GB2312"/>
        </w:rPr>
        <w:t>详见附件：3采购需求响应与偏离表、佐证材料.docx</w:t>
      </w:r>
    </w:p>
    <w:p>
      <w:pPr>
        <w:pStyle w:val="null3"/>
        <w:ind w:firstLine="960"/>
      </w:pPr>
      <w:r>
        <w:rPr>
          <w:rFonts w:ascii="仿宋_GB2312" w:hAnsi="仿宋_GB2312" w:cs="仿宋_GB2312" w:eastAsia="仿宋_GB2312"/>
        </w:rPr>
        <w:t>详见附件：4实施方案.docx</w:t>
      </w:r>
    </w:p>
    <w:p>
      <w:pPr>
        <w:pStyle w:val="null3"/>
        <w:ind w:firstLine="960"/>
      </w:pPr>
      <w:r>
        <w:rPr>
          <w:rFonts w:ascii="仿宋_GB2312" w:hAnsi="仿宋_GB2312" w:cs="仿宋_GB2312" w:eastAsia="仿宋_GB2312"/>
        </w:rPr>
        <w:t>详见附件：5配送方案.docx</w:t>
      </w:r>
    </w:p>
    <w:p>
      <w:pPr>
        <w:pStyle w:val="null3"/>
        <w:ind w:firstLine="960"/>
      </w:pPr>
      <w:r>
        <w:rPr>
          <w:rFonts w:ascii="仿宋_GB2312" w:hAnsi="仿宋_GB2312" w:cs="仿宋_GB2312" w:eastAsia="仿宋_GB2312"/>
        </w:rPr>
        <w:t>详见附件：6质量控制体系及措施.docx</w:t>
      </w:r>
    </w:p>
    <w:p>
      <w:pPr>
        <w:pStyle w:val="null3"/>
        <w:ind w:firstLine="960"/>
      </w:pPr>
      <w:r>
        <w:rPr>
          <w:rFonts w:ascii="仿宋_GB2312" w:hAnsi="仿宋_GB2312" w:cs="仿宋_GB2312" w:eastAsia="仿宋_GB2312"/>
        </w:rPr>
        <w:t>详见附件：7仓储实力保障.docx</w:t>
      </w:r>
    </w:p>
    <w:p>
      <w:pPr>
        <w:pStyle w:val="null3"/>
        <w:ind w:firstLine="960"/>
      </w:pPr>
      <w:r>
        <w:rPr>
          <w:rFonts w:ascii="仿宋_GB2312" w:hAnsi="仿宋_GB2312" w:cs="仿宋_GB2312" w:eastAsia="仿宋_GB2312"/>
        </w:rPr>
        <w:t>详见附件：8生产设备.docx</w:t>
      </w:r>
    </w:p>
    <w:p>
      <w:pPr>
        <w:pStyle w:val="null3"/>
        <w:ind w:firstLine="960"/>
      </w:pPr>
      <w:r>
        <w:rPr>
          <w:rFonts w:ascii="仿宋_GB2312" w:hAnsi="仿宋_GB2312" w:cs="仿宋_GB2312" w:eastAsia="仿宋_GB2312"/>
        </w:rPr>
        <w:t>详见附件：9证书.docx</w:t>
      </w:r>
    </w:p>
    <w:p>
      <w:pPr>
        <w:pStyle w:val="null3"/>
        <w:ind w:firstLine="960"/>
      </w:pPr>
      <w:r>
        <w:rPr>
          <w:rFonts w:ascii="仿宋_GB2312" w:hAnsi="仿宋_GB2312" w:cs="仿宋_GB2312" w:eastAsia="仿宋_GB2312"/>
        </w:rPr>
        <w:t>详见附件：10检测能力.docx</w:t>
      </w:r>
    </w:p>
    <w:p>
      <w:pPr>
        <w:pStyle w:val="null3"/>
        <w:ind w:firstLine="960"/>
      </w:pPr>
      <w:r>
        <w:rPr>
          <w:rFonts w:ascii="仿宋_GB2312" w:hAnsi="仿宋_GB2312" w:cs="仿宋_GB2312" w:eastAsia="仿宋_GB2312"/>
        </w:rPr>
        <w:t>详见附件：11业绩.docx</w:t>
      </w:r>
    </w:p>
    <w:p>
      <w:pPr>
        <w:pStyle w:val="null3"/>
        <w:ind w:firstLine="960"/>
      </w:pPr>
      <w:r>
        <w:rPr>
          <w:rFonts w:ascii="仿宋_GB2312" w:hAnsi="仿宋_GB2312" w:cs="仿宋_GB2312" w:eastAsia="仿宋_GB2312"/>
        </w:rPr>
        <w:t>详见附件：12售后服务.docx</w:t>
      </w:r>
    </w:p>
    <w:p>
      <w:pPr>
        <w:pStyle w:val="null3"/>
        <w:ind w:firstLine="960"/>
      </w:pPr>
      <w:r>
        <w:rPr>
          <w:rFonts w:ascii="仿宋_GB2312" w:hAnsi="仿宋_GB2312" w:cs="仿宋_GB2312" w:eastAsia="仿宋_GB2312"/>
        </w:rPr>
        <w:t>详见附件：13保密措施.docx</w:t>
      </w:r>
    </w:p>
    <w:p>
      <w:pPr>
        <w:pStyle w:val="null3"/>
        <w:ind w:firstLine="960"/>
      </w:pPr>
      <w:r>
        <w:rPr>
          <w:rFonts w:ascii="仿宋_GB2312" w:hAnsi="仿宋_GB2312" w:cs="仿宋_GB2312" w:eastAsia="仿宋_GB2312"/>
        </w:rPr>
        <w:t>详见附件：14样品.docx</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第7章 拟签订采购合同文本</w:t>
      </w:r>
    </w:p>
    <w:p>
      <w:pPr>
        <w:pStyle w:val="null3"/>
      </w:pPr>
      <w:r>
        <w:rPr>
          <w:rFonts w:ascii="仿宋_GB2312" w:hAnsi="仿宋_GB2312" w:cs="仿宋_GB2312" w:eastAsia="仿宋_GB2312"/>
        </w:rPr>
        <w:t>详见附件：合同文本.docx</w:t>
      </w:r>
    </w:p>
    <w:p>
      <w:pPr>
        <w:pStyle w:val="null3"/>
      </w:pPr>
      <w:r>
        <w:rPr>
          <w:rFonts w:ascii="仿宋_GB2312" w:hAnsi="仿宋_GB2312" w:cs="仿宋_GB2312" w:eastAsia="仿宋_GB2312"/>
        </w:rPr>
        <w:t xml:space="preserve"> </w:t>
        <w:br/>
        <w:br w:type="page"/>
      </w:r>
    </w:p>
    <w:p>
      <w:pPr>
        <w:pStyle w:val="null3"/>
        <w:rPr>
          <w:rFonts w:hint="eastAsia"/>
          <w:lang w:val="en-US" w:eastAsia="zh-Hans"/>
        </w:rPr>
      </w:pPr>
      <w:r>
        <w:rPr>
          <w:rFonts w:hint="eastAsia"/>
          <w:lang w:val="en-US" w:eastAsia="zh-Hans"/>
        </w:rPr>
        <w:t/>
      </w:r>
      <w:bookmarkStart w:id="0" w:name="_GoBack"/>
      <w:bookmarkEnd w:id="0"/>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汉仪书宋二KW"/>
    <w:panose1 w:val="00000000000000000000"/>
    <w:charset w:val="00"/>
    <w:family w:val="auto"/>
    <w:pitch w:val="default"/>
    <w:sig w:usb0="00000000" w:usb1="00000000" w:usb2="00000000" w:usb3="00000000" w:csb0="00000000" w:csb1="00000000"/>
  </w:font>
  <w:font w:name="DejaVu Sans">
    <w:altName w:val="苹方-简"/>
    <w:panose1 w:val="02020603050405020304"/>
    <w:charset w:val="00"/>
    <w:family w:val="roman"/>
    <w:pitch w:val="default"/>
    <w:sig w:usb0="20007A87" w:usb1="80000000" w:usb2="00000008" w:usb3="00000000" w:csb0="000001FF" w:csb1="00000000"/>
  </w:font>
  <w:font w:name="方正书宋_GBK">
    <w:panose1 w:val="02000000000000000000"/>
    <w:charset w:val="86"/>
    <w:family w:val="auto"/>
    <w:pitch w:val="default"/>
    <w:sig w:usb0="A00002BF" w:usb1="38CF7CFA" w:usb2="00082016" w:usb3="00000000" w:csb0="00040001" w:csb1="00000000"/>
  </w:font>
  <w:font w:name="方正黑体_GBK">
    <w:altName w:val="苹方-简"/>
    <w:panose1 w:val="02000000000000000000"/>
    <w:charset w:val="00"/>
    <w:family w:val="auto"/>
    <w:pitch w:val="default"/>
    <w:sig w:usb0="00000001" w:usb1="08000000" w:usb2="00000000" w:usb3="00000000" w:csb0="00040000" w:csb1="00000000"/>
  </w:font>
  <w:font w:name="Cambria">
    <w:altName w:val="苹方-简"/>
    <w:panose1 w:val="02040503050406030204"/>
    <w:charset w:val="00"/>
    <w:family w:val="roman"/>
    <w:pitch w:val="default"/>
    <w:sig w:usb0="00000000" w:usb1="00000000" w:usb2="00000000" w:usb3="00000000" w:csb0="0000019F" w:csb1="00000000"/>
  </w:font>
  <w:font w:name="Calibri">
    <w:altName w:val="Helvetica Neue"/>
    <w:panose1 w:val="020F0502020204030204"/>
    <w:charset w:val="00"/>
    <w:family w:val="swiss"/>
    <w:pitch w:val="default"/>
    <w:sig w:usb0="00000000" w:usb1="00000000" w:usb2="00000001" w:usb3="00000000" w:csb0="0000019F" w:csb1="00000000"/>
  </w:font>
  <w:font w:name="汉仪书宋二KW">
    <w:panose1 w:val="00020600040101010101"/>
    <w:charset w:val="86"/>
    <w:family w:val="auto"/>
    <w:pitch w:val="default"/>
    <w:sig w:usb0="A00002BF" w:usb1="18EF7CFA" w:usb2="00000016" w:usb3="00000000" w:csb0="00040000" w:csb1="00000000"/>
  </w:font>
  <w:font w:name="苹方-简">
    <w:panose1 w:val="020B0400000000000000"/>
    <w:charset w:val="86"/>
    <w:family w:val="auto"/>
    <w:pitch w:val="default"/>
    <w:sig w:usb0="A00002FF" w:usb1="7ACFFDFB" w:usb2="00000017" w:usb3="00000000" w:csb0="00040001" w:csb1="00000000"/>
  </w:font>
  <w:font w:name="Helvetica Neue">
    <w:panose1 w:val="02000503000000020004"/>
    <w:charset w:val="00"/>
    <w:family w:val="auto"/>
    <w:pitch w:val="default"/>
    <w:sig w:usb0="E50002FF" w:usb1="500079DB" w:usb2="00000010" w:usb3="00000000" w:csb0="0000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5"/>
  <w:doNotDisplayPageBoundaries w:val="1"/>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53B52B8D"/>
    <w:rsid w:val="177F50ED"/>
    <w:rsid w:val="53B52B8D"/>
    <w:rsid w:val="77F79321"/>
    <w:rsid w:val="BBBF777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pPrDefault>
      <w:pPr/>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2">
    <w:name w:val="Default Paragraph Font"/>
    <w:semiHidden/>
    <w:qFormat/>
    <w:uiPriority w:val="0"/>
  </w:style>
  <w:style w:type="table" w:default="1" w:styleId="3">
    <w:name w:val="Normal Table"/>
    <w:semiHidden/>
    <w:qFormat/>
    <w:uiPriority w:val="0"/>
    <w:tblPr>
      <w:tblCellMar>
        <w:top w:w="0" w:type="dxa"/>
        <w:left w:w="108" w:type="dxa"/>
        <w:bottom w:w="0" w:type="dxa"/>
        <w:right w:w="108" w:type="dxa"/>
      </w:tblCellMar>
    </w:tblPr>
  </w:style>
  <w:style w:customStyle="true" w:type="paragraph" w:styleId="null3">
    <w:name w:val="null3"/>
    <w:hidden/>
    <w:rPr>
      <w:rFonts w:hint="eastAsia"/>
      <w:lang w:val="en-US" w:eastAsia="zh-Hans"/>
    </w:rPr>
  </w:style>
</w:styles>
</file>

<file path=word/_rels/document.xml.rels><?xml version="1.0" encoding="UTF-8" standalone="yes"?><Relationships xmlns="http://schemas.openxmlformats.org/package/2006/relationships"><Relationship Id="rId1" Target="styles.xml" Type="http://schemas.openxmlformats.org/officeDocument/2006/relationships/styles"/><Relationship Id="rId10" Target="media/image5.jpeg" Type="http://schemas.openxmlformats.org/officeDocument/2006/relationships/image"/><Relationship Id="rId11" Target="media/image6.png" Type="http://schemas.openxmlformats.org/officeDocument/2006/relationships/image"/><Relationship Id="rId12" Target="media/image7.png" Type="http://schemas.openxmlformats.org/officeDocument/2006/relationships/image"/><Relationship Id="rId13" Target="media/image8.png" Type="http://schemas.openxmlformats.org/officeDocument/2006/relationships/image"/><Relationship Id="rId14" Target="media/image9.png" Type="http://schemas.openxmlformats.org/officeDocument/2006/relationships/image"/><Relationship Id="rId15" Target="media/image10.png" Type="http://schemas.openxmlformats.org/officeDocument/2006/relationships/image"/><Relationship Id="rId16" Target="media/image11.png" Type="http://schemas.openxmlformats.org/officeDocument/2006/relationships/image"/><Relationship Id="rId17" Target="media/image12.png" Type="http://schemas.openxmlformats.org/officeDocument/2006/relationships/image"/><Relationship Id="rId18" Target="media/image13.png" Type="http://schemas.openxmlformats.org/officeDocument/2006/relationships/image"/><Relationship Id="rId19" Target="media/image14.png" Type="http://schemas.openxmlformats.org/officeDocument/2006/relationships/image"/><Relationship Id="rId2" Target="settings.xml" Type="http://schemas.openxmlformats.org/officeDocument/2006/relationships/settings"/><Relationship Id="rId20" Target="media/image15.png" Type="http://schemas.openxmlformats.org/officeDocument/2006/relationships/image"/><Relationship Id="rId21" Target="media/image16.png" Type="http://schemas.openxmlformats.org/officeDocument/2006/relationships/image"/><Relationship Id="rId22" Target="media/image17.png" Type="http://schemas.openxmlformats.org/officeDocument/2006/relationships/image"/><Relationship Id="rId3" Target="theme/theme1.xml" Type="http://schemas.openxmlformats.org/officeDocument/2006/relationships/theme"/><Relationship Id="rId4" Target="../customXml/item1.xml" Type="http://schemas.openxmlformats.org/officeDocument/2006/relationships/customXml"/><Relationship Id="rId5" Target="fontTable.xml" Type="http://schemas.openxmlformats.org/officeDocument/2006/relationships/fontTable"/><Relationship Id="rId6" Target="media/image1.jpeg" Type="http://schemas.openxmlformats.org/officeDocument/2006/relationships/image"/><Relationship Id="rId7" Target="media/image2.jpeg" Type="http://schemas.openxmlformats.org/officeDocument/2006/relationships/image"/><Relationship Id="rId8" Target="media/image3.jpeg" Type="http://schemas.openxmlformats.org/officeDocument/2006/relationships/image"/><Relationship Id="rId9" Target="media/image4.jpeg" Type="http://schemas.openxmlformats.org/officeDocument/2006/relationships/image"/></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Relationships xmlns="http://schemas.openxmlformats.org/package/2006/relationships"><Relationship Id="rId1" Target="itemProps1.xml" Type="http://schemas.openxmlformats.org/officeDocument/2006/relationships/customXmlProps"/></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ScaleCrop>false</ScaleCrop>
  <LinksUpToDate>false</LinksUpToDate>
  <CharactersWithSpaces>0</CharactersWithSpaces>
  <Application>WPS Office_3.9.3.6359_F1E327BC-269C-435d-A152-05C5408002CA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xsi="http://www.w3.org/2001/XMLSchema-instance">
  <dcterms:created xsi:type="dcterms:W3CDTF">2022-04-08T19:57:00Z</dcterms:created>
  <dc:creator>五块钱</dc:creator>
  <cp:lastModifiedBy>五块钱</cp:lastModifiedBy>
  <dcterms:modified xsi:type="dcterms:W3CDTF">2022-04-27T17:40:01Z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2052-3.9.3.6359</vt:lpwstr>
  </property>
</Properties>
</file>