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版本号：THXZB2025-100720250327001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高速公路通信系统运维</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THXZB2025-1007</w:t>
      </w:r>
      <w:r>
        <w:br/>
      </w:r>
      <w:r>
        <w:br/>
      </w:r>
      <w:r>
        <w:br/>
      </w:r>
    </w:p>
    <w:p>
      <w:pPr>
        <w:pStyle w:val="null3"/>
        <w:jc w:val="center"/>
        <w:outlineLvl w:val="2"/>
      </w:pPr>
      <w:r>
        <w:rPr>
          <w:rFonts w:ascii="仿宋_GB2312" w:hAnsi="仿宋_GB2312" w:cs="仿宋_GB2312" w:eastAsia="仿宋_GB2312"/>
          <w:sz w:val="28"/>
          <w:b/>
        </w:rPr>
        <w:t>陕西省高速公路收费中心</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陕西省高速公路收费中心</w:t>
      </w:r>
      <w:r>
        <w:rPr>
          <w:rFonts w:ascii="仿宋_GB2312" w:hAnsi="仿宋_GB2312" w:cs="仿宋_GB2312" w:eastAsia="仿宋_GB2312"/>
        </w:rPr>
        <w:t>委托，拟对</w:t>
      </w:r>
      <w:r>
        <w:rPr>
          <w:rFonts w:ascii="仿宋_GB2312" w:hAnsi="仿宋_GB2312" w:cs="仿宋_GB2312" w:eastAsia="仿宋_GB2312"/>
        </w:rPr>
        <w:t>高速公路通信系统运维</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高速公路通信系统运维</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高速公路通信系统运维服务项目预算为30万元，通信系统是陕西省高速公路信息系统重要的组成部分，承载着全省高速公路联网收费、综合监控、程控交务及视频会议等业务的数据传输，在保障高速公路各类信息系统正常运行中发挥着底座的功能。对陕西省高速公路通信系统进行有效的维护及保养，使其处于良好的工作状态，可以确保各项业务正常运行。为对省中心高速公路通信系统进行有效的维护，保障通信系统运行状态良好并稳定运行并保障各项业务正常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采购包1（高速公路通信系统运维）：属于专门面向中小企业采购。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p>
      <w:pPr>
        <w:pStyle w:val="null3"/>
      </w:pPr>
      <w:r>
        <w:rPr>
          <w:rFonts w:ascii="仿宋_GB2312" w:hAnsi="仿宋_GB2312" w:cs="仿宋_GB2312" w:eastAsia="仿宋_GB2312"/>
        </w:rPr>
        <w:t>9、中华人民共和国增值电信业务经营许可证：供应商需提供合法有效的《中华人民共和国增值电信业务经营许可证》</w:t>
      </w:r>
    </w:p>
    <w:p>
      <w:pPr>
        <w:pStyle w:val="null3"/>
      </w:pPr>
      <w:r>
        <w:rPr>
          <w:rFonts w:ascii="仿宋_GB2312" w:hAnsi="仿宋_GB2312" w:cs="仿宋_GB2312" w:eastAsia="仿宋_GB2312"/>
        </w:rPr>
        <w:t>10、中小企业声明函：提供中小企业声明函。（本项目属于专门面向中小企业采购项目）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陕西省高速公路收费中心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029-86531251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陕西省西安市雁塔区陕西省西安市高新区唐延南路8号泰维智链中心二期南楼1602室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按照国家计委关于印发《招标代理服务收费管理暂行办法》的通知（计价格〔2002〕1980号）、《国家发展和改革委员会办公厅关于招标代理服务收费有关问题的通知》（发改办价格〔2003〕857号）文件取费标准优惠12%向招标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陕西省高速公路收费中心</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陕西省高速公路收费中心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陕西省高速公路收费中心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联系人：王天鹏</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地址：陕西省西安市雁塔区唐延南路8号泰维智链中心二期南楼1602室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速公路通信系统运维服务项目预算为30万元，通信系统是陕西省高速公路信息系统重要的组成部分，承载着全省高速公路联网收费、综合监控、程控交务及视频会议等业务的数据传输，在保障高速公路各类信息系统正常运行中发挥着底座的功能。对陕西省高速公路通信系统进行有效的维护及保养，使其处于良好的工作状态，可以确保各项业务正常运行。为对省中心高速公路通信系统进行有效的维护，保障通信系统运行状态良好并稳定运行并保障各项业务正常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高速公路通信系统运维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标的名称：高速公路通信系统运维</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88"/>
              <w:gridCol w:w="88"/>
              <w:gridCol w:w="1684"/>
            </w:tblGrid>
            <w:tr>
              <w:tc>
                <w:tcPr>
                  <w:tcW w:type="dxa" w:w="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1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技术参数与性能指标</w:t>
                  </w:r>
                </w:p>
              </w:tc>
            </w:tr>
            <w:tr>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服务范围</w:t>
                  </w:r>
                </w:p>
                <w:p>
                  <w:pPr>
                    <w:pStyle w:val="null3"/>
                    <w:ind w:firstLine="400"/>
                    <w:jc w:val="both"/>
                  </w:pPr>
                  <w:r>
                    <w:rPr>
                      <w:rFonts w:ascii="仿宋_GB2312" w:hAnsi="仿宋_GB2312" w:cs="仿宋_GB2312" w:eastAsia="仿宋_GB2312"/>
                      <w:sz w:val="18"/>
                    </w:rPr>
                    <w:t>本次运维服务范围包括传输系统、网管系统、程控交换系统、</w:t>
                  </w:r>
                  <w:r>
                    <w:rPr>
                      <w:rFonts w:ascii="仿宋_GB2312" w:hAnsi="仿宋_GB2312" w:cs="仿宋_GB2312" w:eastAsia="仿宋_GB2312"/>
                      <w:sz w:val="18"/>
                    </w:rPr>
                    <w:t>ODF光纤配线架、传输系统配套备用供电系统（通信电源、配电柜、UPS及电池）、通信设备环境等。</w:t>
                  </w:r>
                </w:p>
                <w:p>
                  <w:pPr>
                    <w:pStyle w:val="null3"/>
                    <w:ind w:firstLine="400"/>
                    <w:jc w:val="both"/>
                  </w:pPr>
                  <w:r>
                    <w:rPr>
                      <w:rFonts w:ascii="仿宋_GB2312" w:hAnsi="仿宋_GB2312" w:cs="仿宋_GB2312" w:eastAsia="仿宋_GB2312"/>
                      <w:sz w:val="18"/>
                    </w:rPr>
                    <w:t>通信系统维护清单</w:t>
                  </w:r>
                </w:p>
                <w:tbl>
                  <w:tblPr>
                    <w:tblBorders>
                      <w:top w:val="none" w:color="000000" w:sz="4"/>
                      <w:left w:val="none" w:color="000000" w:sz="4"/>
                      <w:bottom w:val="none" w:color="000000" w:sz="4"/>
                      <w:right w:val="none" w:color="000000" w:sz="4"/>
                      <w:insideH w:val="none"/>
                      <w:insideV w:val="none"/>
                    </w:tblBorders>
                  </w:tblPr>
                  <w:tblGrid>
                    <w:gridCol w:w="152"/>
                    <w:gridCol w:w="276"/>
                    <w:gridCol w:w="723"/>
                    <w:gridCol w:w="310"/>
                  </w:tblGrid>
                  <w:tr>
                    <w:tc>
                      <w:tcPr>
                        <w:tcW w:type="dxa" w:w="1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序号</w:t>
                        </w:r>
                      </w:p>
                    </w:tc>
                    <w:tc>
                      <w:tcPr>
                        <w:tcW w:type="dxa" w:w="27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类型</w:t>
                        </w:r>
                      </w:p>
                    </w:tc>
                    <w:tc>
                      <w:tcPr>
                        <w:tcW w:type="dxa" w:w="7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设备品牌型号</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数量（套）</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c>
                      <w:tcPr>
                        <w:tcW w:type="dxa" w:w="2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SDH</w:t>
                        </w:r>
                      </w:p>
                      <w:p>
                        <w:pPr>
                          <w:pStyle w:val="null3"/>
                          <w:ind w:firstLine="400"/>
                          <w:jc w:val="both"/>
                        </w:p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华为</w:t>
                        </w:r>
                        <w:r>
                          <w:rPr>
                            <w:rFonts w:ascii="仿宋_GB2312" w:hAnsi="仿宋_GB2312" w:cs="仿宋_GB2312" w:eastAsia="仿宋_GB2312"/>
                            <w:sz w:val="18"/>
                          </w:rPr>
                          <w:t>Metro3000（Optix 2500+</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w:t>
                        </w:r>
                      </w:p>
                    </w:tc>
                    <w:tc>
                      <w:tcPr>
                        <w:tcW w:type="dxa" w:w="276"/>
                        <w:vMerge/>
                        <w:tcBorders>
                          <w:top w:val="none" w:color="000000" w:sz="4"/>
                          <w:left w:val="single" w:color="000000" w:sz="4"/>
                          <w:bottom w:val="single" w:color="000000" w:sz="4"/>
                          <w:right w:val="single" w:color="000000" w:sz="4"/>
                        </w:tcBorders>
                      </w:tc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w:t>
                        </w:r>
                        <w:r>
                          <w:rPr>
                            <w:rFonts w:ascii="仿宋_GB2312" w:hAnsi="仿宋_GB2312" w:cs="仿宋_GB2312" w:eastAsia="仿宋_GB2312"/>
                            <w:sz w:val="18"/>
                          </w:rPr>
                          <w:t>OSN 7500</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3</w:t>
                        </w:r>
                      </w:p>
                    </w:tc>
                    <w:tc>
                      <w:tcPr>
                        <w:tcW w:type="dxa" w:w="276"/>
                        <w:vMerge/>
                        <w:tcBorders>
                          <w:top w:val="none" w:color="000000" w:sz="4"/>
                          <w:left w:val="single" w:color="000000" w:sz="4"/>
                          <w:bottom w:val="single" w:color="000000" w:sz="4"/>
                          <w:right w:val="single" w:color="000000" w:sz="4"/>
                        </w:tcBorders>
                      </w:tc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w:t>
                        </w:r>
                        <w:r>
                          <w:rPr>
                            <w:rFonts w:ascii="仿宋_GB2312" w:hAnsi="仿宋_GB2312" w:cs="仿宋_GB2312" w:eastAsia="仿宋_GB2312"/>
                            <w:sz w:val="18"/>
                          </w:rPr>
                          <w:t>OSN 3500</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4</w:t>
                        </w:r>
                      </w:p>
                    </w:tc>
                    <w:tc>
                      <w:tcPr>
                        <w:tcW w:type="dxa" w:w="276"/>
                        <w:vMerge/>
                        <w:tcBorders>
                          <w:top w:val="none" w:color="000000" w:sz="4"/>
                          <w:left w:val="single" w:color="000000" w:sz="4"/>
                          <w:bottom w:val="single" w:color="000000" w:sz="4"/>
                          <w:right w:val="single" w:color="000000" w:sz="4"/>
                        </w:tcBorders>
                      </w:tc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中兴</w:t>
                        </w:r>
                        <w:r>
                          <w:rPr>
                            <w:rFonts w:ascii="仿宋_GB2312" w:hAnsi="仿宋_GB2312" w:cs="仿宋_GB2312" w:eastAsia="仿宋_GB2312"/>
                            <w:sz w:val="18"/>
                          </w:rPr>
                          <w:t>ZMP S385</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5</w:t>
                        </w:r>
                      </w:p>
                    </w:tc>
                    <w:tc>
                      <w:tcPr>
                        <w:tcW w:type="dxa" w:w="2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OTN</w:t>
                        </w: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w:t>
                        </w:r>
                        <w:r>
                          <w:rPr>
                            <w:rFonts w:ascii="仿宋_GB2312" w:hAnsi="仿宋_GB2312" w:cs="仿宋_GB2312" w:eastAsia="仿宋_GB2312"/>
                            <w:sz w:val="18"/>
                          </w:rPr>
                          <w:t>OSN 9800</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6</w:t>
                        </w:r>
                      </w:p>
                    </w:tc>
                    <w:tc>
                      <w:tcPr>
                        <w:tcW w:type="dxa" w:w="276"/>
                        <w:vMerge/>
                        <w:tcBorders>
                          <w:top w:val="none" w:color="000000" w:sz="4"/>
                          <w:left w:val="single" w:color="000000" w:sz="4"/>
                          <w:bottom w:val="single" w:color="000000" w:sz="4"/>
                          <w:right w:val="single" w:color="000000" w:sz="4"/>
                        </w:tcBorders>
                      </w:tc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中兴</w:t>
                        </w:r>
                        <w:r>
                          <w:rPr>
                            <w:rFonts w:ascii="仿宋_GB2312" w:hAnsi="仿宋_GB2312" w:cs="仿宋_GB2312" w:eastAsia="仿宋_GB2312"/>
                            <w:sz w:val="18"/>
                          </w:rPr>
                          <w:t>ZXONE8700</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7</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程控交换机</w:t>
                        </w: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w:t>
                        </w:r>
                        <w:r>
                          <w:rPr>
                            <w:rFonts w:ascii="仿宋_GB2312" w:hAnsi="仿宋_GB2312" w:cs="仿宋_GB2312" w:eastAsia="仿宋_GB2312"/>
                            <w:sz w:val="18"/>
                          </w:rPr>
                          <w:t>CC8808</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8</w:t>
                        </w:r>
                      </w:p>
                    </w:tc>
                    <w:tc>
                      <w:tcPr>
                        <w:tcW w:type="dxa" w:w="27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8"/>
                          </w:rPr>
                          <w:t>ODF光纤配线架</w:t>
                        </w: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9</w:t>
                        </w:r>
                      </w:p>
                    </w:tc>
                    <w:tc>
                      <w:tcPr>
                        <w:tcW w:type="dxa" w:w="27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电源</w:t>
                        </w:r>
                      </w:p>
                      <w:p>
                        <w:pPr>
                          <w:pStyle w:val="null3"/>
                          <w:ind w:firstLine="400"/>
                          <w:jc w:val="both"/>
                        </w:pPr>
                        <w:r>
                          <w:rPr>
                            <w:rFonts w:ascii="仿宋_GB2312" w:hAnsi="仿宋_GB2312" w:cs="仿宋_GB2312" w:eastAsia="仿宋_GB2312"/>
                            <w:sz w:val="18"/>
                          </w:rPr>
                          <w:t>电源</w:t>
                        </w:r>
                      </w:p>
                    </w:tc>
                    <w:tc>
                      <w:tcPr>
                        <w:tcW w:type="dxa" w:w="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艾默生</w:t>
                        </w:r>
                        <w:r>
                          <w:rPr>
                            <w:rFonts w:ascii="仿宋_GB2312" w:hAnsi="仿宋_GB2312" w:cs="仿宋_GB2312" w:eastAsia="仿宋_GB2312"/>
                            <w:sz w:val="18"/>
                          </w:rPr>
                          <w:t>PS48300 电源柜</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10</w:t>
                        </w:r>
                      </w:p>
                    </w:tc>
                    <w:tc>
                      <w:tcPr>
                        <w:tcW w:type="dxa" w:w="276"/>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中兴</w:t>
                        </w:r>
                        <w:r>
                          <w:rPr>
                            <w:rFonts w:ascii="仿宋_GB2312" w:hAnsi="仿宋_GB2312" w:cs="仿宋_GB2312" w:eastAsia="仿宋_GB2312"/>
                            <w:sz w:val="18"/>
                          </w:rPr>
                          <w:t>新</w:t>
                        </w:r>
                        <w:r>
                          <w:rPr>
                            <w:rFonts w:ascii="仿宋_GB2312" w:hAnsi="仿宋_GB2312" w:cs="仿宋_GB2312" w:eastAsia="仿宋_GB2312"/>
                            <w:sz w:val="18"/>
                          </w:rPr>
                          <w:t>S385 ZXDU48 电源柜</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11</w:t>
                        </w:r>
                      </w:p>
                    </w:tc>
                    <w:tc>
                      <w:tcPr>
                        <w:tcW w:type="dxa" w:w="276"/>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华为新</w:t>
                        </w:r>
                        <w:r>
                          <w:rPr>
                            <w:rFonts w:ascii="仿宋_GB2312" w:hAnsi="仿宋_GB2312" w:cs="仿宋_GB2312" w:eastAsia="仿宋_GB2312"/>
                            <w:sz w:val="18"/>
                          </w:rPr>
                          <w:t>7500 3500 ETP4890 电源柜</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12</w:t>
                        </w:r>
                      </w:p>
                    </w:tc>
                    <w:tc>
                      <w:tcPr>
                        <w:tcW w:type="dxa" w:w="276"/>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中兴</w:t>
                        </w:r>
                        <w:r>
                          <w:rPr>
                            <w:rFonts w:ascii="仿宋_GB2312" w:hAnsi="仿宋_GB2312" w:cs="仿宋_GB2312" w:eastAsia="仿宋_GB2312"/>
                            <w:sz w:val="18"/>
                          </w:rPr>
                          <w:t>OTN 电源柜</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13</w:t>
                        </w:r>
                      </w:p>
                    </w:tc>
                    <w:tc>
                      <w:tcPr>
                        <w:tcW w:type="dxa" w:w="276"/>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w:t>
                        </w:r>
                        <w:r>
                          <w:rPr>
                            <w:rFonts w:ascii="仿宋_GB2312" w:hAnsi="仿宋_GB2312" w:cs="仿宋_GB2312" w:eastAsia="仿宋_GB2312"/>
                            <w:sz w:val="18"/>
                          </w:rPr>
                          <w:t>OTN 电源柜</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14</w:t>
                        </w:r>
                      </w:p>
                    </w:tc>
                    <w:tc>
                      <w:tcPr>
                        <w:tcW w:type="dxa" w:w="27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网管</w:t>
                        </w: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w:t>
                        </w:r>
                        <w:r>
                          <w:rPr>
                            <w:rFonts w:ascii="仿宋_GB2312" w:hAnsi="仿宋_GB2312" w:cs="仿宋_GB2312" w:eastAsia="仿宋_GB2312"/>
                            <w:sz w:val="18"/>
                          </w:rPr>
                          <w:t>U2000 SDH 网管</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15</w:t>
                        </w:r>
                      </w:p>
                    </w:tc>
                    <w:tc>
                      <w:tcPr>
                        <w:tcW w:type="dxa" w:w="276"/>
                        <w:vMerge/>
                        <w:tcBorders>
                          <w:top w:val="none" w:color="000000" w:sz="4"/>
                          <w:left w:val="single" w:color="000000" w:sz="4"/>
                          <w:bottom w:val="single" w:color="000000" w:sz="4"/>
                          <w:right w:val="single" w:color="000000" w:sz="4"/>
                        </w:tcBorders>
                      </w:tc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w:t>
                        </w:r>
                        <w:r>
                          <w:rPr>
                            <w:rFonts w:ascii="仿宋_GB2312" w:hAnsi="仿宋_GB2312" w:cs="仿宋_GB2312" w:eastAsia="仿宋_GB2312"/>
                            <w:sz w:val="18"/>
                          </w:rPr>
                          <w:t>NCE OTN 网管</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16</w:t>
                        </w:r>
                      </w:p>
                    </w:tc>
                    <w:tc>
                      <w:tcPr>
                        <w:tcW w:type="dxa" w:w="276"/>
                        <w:vMerge/>
                        <w:tcBorders>
                          <w:top w:val="none" w:color="000000" w:sz="4"/>
                          <w:left w:val="single" w:color="000000" w:sz="4"/>
                          <w:bottom w:val="single" w:color="000000" w:sz="4"/>
                          <w:right w:val="single" w:color="000000" w:sz="4"/>
                        </w:tcBorders>
                      </w:tc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中兴</w:t>
                        </w:r>
                        <w:r>
                          <w:rPr>
                            <w:rFonts w:ascii="仿宋_GB2312" w:hAnsi="仿宋_GB2312" w:cs="仿宋_GB2312" w:eastAsia="仿宋_GB2312"/>
                            <w:sz w:val="18"/>
                          </w:rPr>
                          <w:t>U31 OTN 网管</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17</w:t>
                        </w:r>
                      </w:p>
                    </w:tc>
                    <w:tc>
                      <w:tcPr>
                        <w:tcW w:type="dxa" w:w="276"/>
                        <w:vMerge/>
                        <w:tcBorders>
                          <w:top w:val="none" w:color="000000" w:sz="4"/>
                          <w:left w:val="single" w:color="000000" w:sz="4"/>
                          <w:bottom w:val="single" w:color="000000" w:sz="4"/>
                          <w:right w:val="single" w:color="000000" w:sz="4"/>
                        </w:tcBorders>
                      </w:tc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中兴</w:t>
                        </w:r>
                        <w:r>
                          <w:rPr>
                            <w:rFonts w:ascii="仿宋_GB2312" w:hAnsi="仿宋_GB2312" w:cs="仿宋_GB2312" w:eastAsia="仿宋_GB2312"/>
                            <w:sz w:val="18"/>
                          </w:rPr>
                          <w:t>U31 SDH 网管</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18</w:t>
                        </w:r>
                      </w:p>
                    </w:tc>
                    <w:tc>
                      <w:tcPr>
                        <w:tcW w:type="dxa" w:w="276"/>
                        <w:vMerge/>
                        <w:tcBorders>
                          <w:top w:val="none" w:color="000000" w:sz="4"/>
                          <w:left w:val="single" w:color="000000" w:sz="4"/>
                          <w:bottom w:val="single" w:color="000000" w:sz="4"/>
                          <w:right w:val="single" w:color="000000" w:sz="4"/>
                        </w:tcBorders>
                      </w:tc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w:t>
                        </w:r>
                        <w:r>
                          <w:rPr>
                            <w:rFonts w:ascii="仿宋_GB2312" w:hAnsi="仿宋_GB2312" w:cs="仿宋_GB2312" w:eastAsia="仿宋_GB2312"/>
                            <w:sz w:val="18"/>
                          </w:rPr>
                          <w:t>C&amp;C 08 网管</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19</w:t>
                        </w:r>
                      </w:p>
                    </w:tc>
                    <w:tc>
                      <w:tcPr>
                        <w:tcW w:type="dxa" w:w="276"/>
                        <w:vMerge/>
                        <w:tcBorders>
                          <w:top w:val="none" w:color="000000" w:sz="4"/>
                          <w:left w:val="single" w:color="000000" w:sz="4"/>
                          <w:bottom w:val="single" w:color="000000" w:sz="4"/>
                          <w:right w:val="single" w:color="000000" w:sz="4"/>
                        </w:tcBorders>
                      </w:tcPr>
                      <w:p/>
                    </w:tc>
                    <w:tc>
                      <w:tcPr>
                        <w:tcW w:type="dxa" w:w="7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华为</w:t>
                        </w:r>
                        <w:r>
                          <w:rPr>
                            <w:rFonts w:ascii="仿宋_GB2312" w:hAnsi="仿宋_GB2312" w:cs="仿宋_GB2312" w:eastAsia="仿宋_GB2312"/>
                            <w:sz w:val="18"/>
                          </w:rPr>
                          <w:t>SYNLOCK 网管</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20</w:t>
                        </w:r>
                      </w:p>
                    </w:tc>
                    <w:tc>
                      <w:tcPr>
                        <w:tcW w:type="dxa" w:w="276"/>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蓄电池</w:t>
                        </w:r>
                      </w:p>
                      <w:p>
                        <w:pPr>
                          <w:pStyle w:val="null3"/>
                          <w:ind w:firstLine="400"/>
                          <w:jc w:val="both"/>
                        </w:pPr>
                      </w:p>
                    </w:tc>
                    <w:tc>
                      <w:tcPr>
                        <w:tcW w:type="dxa" w:w="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8"/>
                          </w:rPr>
                          <w:t>24块2V 200 Ah（中兴 SDH）</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21</w:t>
                        </w:r>
                      </w:p>
                    </w:tc>
                    <w:tc>
                      <w:tcPr>
                        <w:tcW w:type="dxa" w:w="276"/>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24块 2V 200 Ah（华为SDH）</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22</w:t>
                        </w:r>
                      </w:p>
                    </w:tc>
                    <w:tc>
                      <w:tcPr>
                        <w:tcW w:type="dxa" w:w="276"/>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4块48V200 Ah（中兴 OTN）</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23</w:t>
                        </w:r>
                      </w:p>
                    </w:tc>
                    <w:tc>
                      <w:tcPr>
                        <w:tcW w:type="dxa" w:w="276"/>
                        <w:vMerge/>
                        <w:tcBorders>
                          <w:top w:val="none" w:color="000000" w:sz="4"/>
                          <w:left w:val="none" w:color="000000" w:sz="4"/>
                          <w:bottom w:val="single" w:color="000000" w:sz="4"/>
                          <w:right w:val="single" w:color="000000" w:sz="4"/>
                        </w:tcBorders>
                      </w:tcPr>
                      <w:p/>
                    </w:tc>
                    <w:tc>
                      <w:tcPr>
                        <w:tcW w:type="dxa" w:w="7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4块48V200 Ah（华为 OTN）</w:t>
                        </w:r>
                      </w:p>
                    </w:tc>
                    <w:tc>
                      <w:tcPr>
                        <w:tcW w:type="dxa" w:w="3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1</w:t>
                        </w:r>
                      </w:p>
                    </w:tc>
                  </w:tr>
                  <w:tr>
                    <w:tc>
                      <w:tcPr>
                        <w:tcW w:type="dxa" w:w="1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24</w:t>
                        </w:r>
                      </w:p>
                    </w:tc>
                    <w:tc>
                      <w:tcPr>
                        <w:tcW w:type="dxa" w:w="1309"/>
                        <w:gridSpan w:val="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00"/>
                          <w:jc w:val="both"/>
                        </w:pPr>
                        <w:r>
                          <w:rPr>
                            <w:rFonts w:ascii="仿宋_GB2312" w:hAnsi="仿宋_GB2312" w:cs="仿宋_GB2312" w:eastAsia="仿宋_GB2312"/>
                            <w:sz w:val="18"/>
                          </w:rPr>
                          <w:t>其它通信相关协议转换设备、通信环境等</w:t>
                        </w:r>
                      </w:p>
                    </w:tc>
                  </w:tr>
                </w:tbl>
                <w:p>
                  <w:pPr>
                    <w:pStyle w:val="null3"/>
                    <w:ind w:firstLine="400"/>
                    <w:jc w:val="both"/>
                  </w:pPr>
                  <w:r>
                    <w:rPr>
                      <w:rFonts w:ascii="仿宋_GB2312" w:hAnsi="仿宋_GB2312" w:cs="仿宋_GB2312" w:eastAsia="仿宋_GB2312"/>
                      <w:sz w:val="18"/>
                    </w:rPr>
                    <w:t>二、服务内容</w:t>
                  </w:r>
                </w:p>
                <w:p>
                  <w:pPr>
                    <w:pStyle w:val="null3"/>
                    <w:ind w:firstLine="400"/>
                    <w:jc w:val="both"/>
                  </w:pPr>
                  <w:r>
                    <w:rPr>
                      <w:rFonts w:ascii="仿宋_GB2312" w:hAnsi="仿宋_GB2312" w:cs="仿宋_GB2312" w:eastAsia="仿宋_GB2312"/>
                      <w:sz w:val="18"/>
                    </w:rPr>
                    <w:t>供应商应安排驻场运维工程师提供</w:t>
                  </w:r>
                  <w:r>
                    <w:rPr>
                      <w:rFonts w:ascii="仿宋_GB2312" w:hAnsi="仿宋_GB2312" w:cs="仿宋_GB2312" w:eastAsia="仿宋_GB2312"/>
                      <w:sz w:val="18"/>
                    </w:rPr>
                    <w:t>5*8小时的传输设备、网管系统、程控交换设备、ODF光纤配线架、配套的备用供电系统等运行情况进行现场巡检、实时监测和预警服务。常规时期现场巡检不少于每天2次，特殊时期，如电力故障或重保期间现场巡检不少于每天4次，并做好每日巡检记录。如出现设备故障问题，及时协助省中心协调相关厂商进行维修，并做好事件记录和故障报告的编写工作。通信系统维护内容</w:t>
                  </w:r>
                </w:p>
                <w:tbl>
                  <w:tblPr>
                    <w:tblInd w:type="dxa" w:w="90"/>
                    <w:tblBorders>
                      <w:top w:val="none" w:color="000000" w:sz="4"/>
                      <w:left w:val="none" w:color="000000" w:sz="4"/>
                      <w:bottom w:val="none" w:color="000000" w:sz="4"/>
                      <w:right w:val="none" w:color="000000" w:sz="4"/>
                      <w:insideH w:val="none"/>
                      <w:insideV w:val="none"/>
                    </w:tblBorders>
                  </w:tblPr>
                  <w:tblGrid>
                    <w:gridCol w:w="210"/>
                    <w:gridCol w:w="210"/>
                    <w:gridCol w:w="210"/>
                    <w:gridCol w:w="210"/>
                    <w:gridCol w:w="210"/>
                    <w:gridCol w:w="210"/>
                    <w:gridCol w:w="210"/>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服务</w:t>
                        </w:r>
                      </w:p>
                      <w:p>
                        <w:pPr>
                          <w:pStyle w:val="null3"/>
                        </w:pPr>
                        <w:r>
                          <w:rPr>
                            <w:rFonts w:ascii="仿宋_GB2312" w:hAnsi="仿宋_GB2312" w:cs="仿宋_GB2312" w:eastAsia="仿宋_GB2312"/>
                            <w:sz w:val="18"/>
                          </w:rPr>
                          <w:t>名称</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服务描述</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服务时间</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服务频度</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交付方式</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交付成果</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传输设备运行监控</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1）通过现场巡查的方式对中心机房传输硬件设备的运行状态进行巡检、记录。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2）如发生异常情况，应第一时间报告省中心协助省中心协调相关厂商进行故障排查和维修。</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每周</w:t>
                        </w:r>
                        <w:r>
                          <w:rPr>
                            <w:rFonts w:ascii="仿宋_GB2312" w:hAnsi="仿宋_GB2312" w:cs="仿宋_GB2312" w:eastAsia="仿宋_GB2312"/>
                            <w:sz w:val="18"/>
                          </w:rPr>
                          <w:t>5*8小时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1）巡检：2次/天，特殊情况下4次/天；（2）发生故障时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现场</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网管系统运行监测</w:t>
                        </w:r>
                      </w:p>
                      <w:p>
                        <w:pPr>
                          <w:pStyle w:val="null3"/>
                        </w:pP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1）通过现场巡查的方式对中心网管系统的运行状态进行巡检、记录。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2）对中心网管系统日志进行监测，及时通告、处置相关告警。</w:t>
                        </w:r>
                      </w:p>
                      <w:p>
                        <w:pPr>
                          <w:pStyle w:val="null3"/>
                        </w:pPr>
                        <w:r>
                          <w:rPr>
                            <w:rFonts w:ascii="仿宋_GB2312" w:hAnsi="仿宋_GB2312" w:cs="仿宋_GB2312" w:eastAsia="仿宋_GB2312"/>
                            <w:sz w:val="18"/>
                          </w:rPr>
                          <w:t>（</w:t>
                        </w:r>
                        <w:r>
                          <w:rPr>
                            <w:rFonts w:ascii="仿宋_GB2312" w:hAnsi="仿宋_GB2312" w:cs="仿宋_GB2312" w:eastAsia="仿宋_GB2312"/>
                            <w:sz w:val="18"/>
                          </w:rPr>
                          <w:t>3）如发生异常情况，应第一时间报告省中心协助省中心协调相关厂商进行故障排查和维修。</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每周</w:t>
                        </w:r>
                      </w:p>
                      <w:p>
                        <w:pPr>
                          <w:pStyle w:val="null3"/>
                        </w:pPr>
                        <w:r>
                          <w:rPr>
                            <w:rFonts w:ascii="仿宋_GB2312" w:hAnsi="仿宋_GB2312" w:cs="仿宋_GB2312" w:eastAsia="仿宋_GB2312"/>
                            <w:sz w:val="18"/>
                          </w:rPr>
                          <w:t>5*8小时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1）巡检：2次/天，特殊情况下4次/天；（2）发生故障时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现场</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ODF光纤配线架运行监测</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通过现场巡查方式对</w:t>
                        </w:r>
                        <w:r>
                          <w:rPr>
                            <w:rFonts w:ascii="仿宋_GB2312" w:hAnsi="仿宋_GB2312" w:cs="仿宋_GB2312" w:eastAsia="仿宋_GB2312"/>
                            <w:sz w:val="18"/>
                          </w:rPr>
                          <w:t>ODF光纤配线架的检查连接状态和光纤的外观损耗情况并进行巡检和记录。</w:t>
                        </w:r>
                      </w:p>
                      <w:p>
                        <w:pPr>
                          <w:pStyle w:val="null3"/>
                        </w:pPr>
                        <w:r>
                          <w:rPr>
                            <w:rFonts w:ascii="仿宋_GB2312" w:hAnsi="仿宋_GB2312" w:cs="仿宋_GB2312" w:eastAsia="仿宋_GB2312"/>
                            <w:sz w:val="18"/>
                          </w:rPr>
                          <w:t>应定期对</w:t>
                        </w:r>
                        <w:r>
                          <w:rPr>
                            <w:rFonts w:ascii="仿宋_GB2312" w:hAnsi="仿宋_GB2312" w:cs="仿宋_GB2312" w:eastAsia="仿宋_GB2312"/>
                            <w:sz w:val="18"/>
                          </w:rPr>
                          <w:t>ODF光纤配线架清洁避免灰尘和污垢的积累影响光信号的传输。</w:t>
                        </w:r>
                      </w:p>
                      <w:p>
                        <w:pPr>
                          <w:pStyle w:val="null3"/>
                        </w:pPr>
                        <w:r>
                          <w:rPr>
                            <w:rFonts w:ascii="仿宋_GB2312" w:hAnsi="仿宋_GB2312" w:cs="仿宋_GB2312" w:eastAsia="仿宋_GB2312"/>
                            <w:sz w:val="18"/>
                          </w:rPr>
                          <w:t>（</w:t>
                        </w:r>
                        <w:r>
                          <w:rPr>
                            <w:rFonts w:ascii="仿宋_GB2312" w:hAnsi="仿宋_GB2312" w:cs="仿宋_GB2312" w:eastAsia="仿宋_GB2312"/>
                            <w:sz w:val="18"/>
                          </w:rPr>
                          <w:t>3）如发生异常情况，应第一时间报告省中心协助省中心协调相关厂商进行故障排查和维修。</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每周</w:t>
                        </w:r>
                      </w:p>
                      <w:p>
                        <w:pPr>
                          <w:pStyle w:val="null3"/>
                        </w:pPr>
                        <w:r>
                          <w:rPr>
                            <w:rFonts w:ascii="仿宋_GB2312" w:hAnsi="仿宋_GB2312" w:cs="仿宋_GB2312" w:eastAsia="仿宋_GB2312"/>
                            <w:sz w:val="18"/>
                          </w:rPr>
                          <w:t>5*8小时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1）巡检：2次/天，特殊情况下4次/天；（2）发生故障时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现场</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程控交换系统运行监测</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1）通过现场巡查的方式对中心程控交换系统的运行状态进行巡检、记录。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2）如发生异常情况，应第一时间报告省中心协助省中心协调相关厂商进行故障排查和维修。</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每周</w:t>
                        </w:r>
                        <w:r>
                          <w:rPr>
                            <w:rFonts w:ascii="仿宋_GB2312" w:hAnsi="仿宋_GB2312" w:cs="仿宋_GB2312" w:eastAsia="仿宋_GB2312"/>
                            <w:sz w:val="18"/>
                          </w:rPr>
                          <w:t>5*8小时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1）巡检：2次/天，特殊情况下4次/天；（2）发生故障时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现场</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传输系统配套备用供电系统运行监测</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1）通过现场巡查的方式对中心传输系统配套电源的运行状态进行巡检、记录。</w:t>
                        </w:r>
                      </w:p>
                      <w:p>
                        <w:pPr>
                          <w:pStyle w:val="null3"/>
                        </w:pPr>
                        <w:r>
                          <w:rPr>
                            <w:rFonts w:ascii="仿宋_GB2312" w:hAnsi="仿宋_GB2312" w:cs="仿宋_GB2312" w:eastAsia="仿宋_GB2312"/>
                            <w:sz w:val="18"/>
                          </w:rPr>
                          <w:t>（</w:t>
                        </w:r>
                        <w:r>
                          <w:rPr>
                            <w:rFonts w:ascii="仿宋_GB2312" w:hAnsi="仿宋_GB2312" w:cs="仿宋_GB2312" w:eastAsia="仿宋_GB2312"/>
                            <w:sz w:val="18"/>
                          </w:rPr>
                          <w:t>2）在不经常停电时，每半年人为充放电一次，测试UPS电池应急运行状态。</w:t>
                        </w:r>
                      </w:p>
                      <w:p>
                        <w:pPr>
                          <w:pStyle w:val="null3"/>
                        </w:pPr>
                        <w:r>
                          <w:rPr>
                            <w:rFonts w:ascii="仿宋_GB2312" w:hAnsi="仿宋_GB2312" w:cs="仿宋_GB2312" w:eastAsia="仿宋_GB2312"/>
                            <w:sz w:val="18"/>
                          </w:rPr>
                          <w:t>（</w:t>
                        </w:r>
                        <w:r>
                          <w:rPr>
                            <w:rFonts w:ascii="仿宋_GB2312" w:hAnsi="仿宋_GB2312" w:cs="仿宋_GB2312" w:eastAsia="仿宋_GB2312"/>
                            <w:sz w:val="18"/>
                          </w:rPr>
                          <w:t>3）如发生异常情况，应第一时间报告省中心协助省中心协调相关厂商进行故障排查和维修。</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每周</w:t>
                        </w:r>
                        <w:r>
                          <w:rPr>
                            <w:rFonts w:ascii="仿宋_GB2312" w:hAnsi="仿宋_GB2312" w:cs="仿宋_GB2312" w:eastAsia="仿宋_GB2312"/>
                            <w:sz w:val="18"/>
                          </w:rPr>
                          <w:t>5*8小时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w:t>
                        </w:r>
                        <w:r>
                          <w:rPr>
                            <w:rFonts w:ascii="仿宋_GB2312" w:hAnsi="仿宋_GB2312" w:cs="仿宋_GB2312" w:eastAsia="仿宋_GB2312"/>
                            <w:sz w:val="18"/>
                          </w:rPr>
                          <w:t>1）巡检：2次/天，特殊情况下4次/天；（2）发生故障时</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现场</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1）《巡检报告》；</w:t>
                        </w:r>
                      </w:p>
                      <w:p>
                        <w:pPr>
                          <w:pStyle w:val="null3"/>
                          <w:jc w:val="left"/>
                        </w:pPr>
                        <w:r>
                          <w:rPr>
                            <w:rFonts w:ascii="仿宋_GB2312" w:hAnsi="仿宋_GB2312" w:cs="仿宋_GB2312" w:eastAsia="仿宋_GB2312"/>
                            <w:sz w:val="18"/>
                          </w:rPr>
                          <w:t>（</w:t>
                        </w:r>
                        <w:r>
                          <w:rPr>
                            <w:rFonts w:ascii="仿宋_GB2312" w:hAnsi="仿宋_GB2312" w:cs="仿宋_GB2312" w:eastAsia="仿宋_GB2312"/>
                            <w:sz w:val="18"/>
                          </w:rPr>
                          <w:t>2）《服务事件记录》、《故障报告》</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传输资产管理</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提供传输详细的时隙业务分配、光缆拓扑、设备软硬件配置、电路使用、其它各系统设备的软硬件配置、资源分配等方面的文字材料。</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5*8</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1次/年</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现场</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《资产清单》</w:t>
                        </w:r>
                      </w:p>
                    </w:tc>
                  </w:tr>
                </w:tbl>
                <w:p>
                  <w:pPr>
                    <w:pStyle w:val="null3"/>
                    <w:ind w:firstLine="400"/>
                    <w:jc w:val="both"/>
                  </w:pPr>
                  <w:r>
                    <w:rPr>
                      <w:rFonts w:ascii="仿宋_GB2312" w:hAnsi="仿宋_GB2312" w:cs="仿宋_GB2312" w:eastAsia="仿宋_GB2312"/>
                      <w:sz w:val="18"/>
                    </w:rPr>
                    <w:t>（一）传输设备运行监控</w:t>
                  </w:r>
                </w:p>
                <w:p>
                  <w:pPr>
                    <w:pStyle w:val="null3"/>
                    <w:jc w:val="both"/>
                  </w:pPr>
                  <w:r>
                    <w:rPr>
                      <w:rFonts w:ascii="仿宋_GB2312" w:hAnsi="仿宋_GB2312" w:cs="仿宋_GB2312" w:eastAsia="仿宋_GB2312"/>
                      <w:sz w:val="18"/>
                    </w:rPr>
                    <w:t>1.通过现场巡查的方式对中心机房传输硬件设备的运行状态进行巡检、记录。</w:t>
                  </w:r>
                </w:p>
                <w:p>
                  <w:pPr>
                    <w:pStyle w:val="null3"/>
                    <w:jc w:val="both"/>
                  </w:pPr>
                  <w:r>
                    <w:rPr>
                      <w:rFonts w:ascii="仿宋_GB2312" w:hAnsi="仿宋_GB2312" w:cs="仿宋_GB2312" w:eastAsia="仿宋_GB2312"/>
                      <w:sz w:val="18"/>
                    </w:rPr>
                    <w:t>2.如发生异常情况，应第一时间报告省中心协助省中心协调相关厂商进行故障排查和维修。</w:t>
                  </w:r>
                </w:p>
                <w:p>
                  <w:pPr>
                    <w:pStyle w:val="null3"/>
                    <w:jc w:val="both"/>
                  </w:pPr>
                  <w:r>
                    <w:rPr>
                      <w:rFonts w:ascii="仿宋_GB2312" w:hAnsi="仿宋_GB2312" w:cs="仿宋_GB2312" w:eastAsia="仿宋_GB2312"/>
                      <w:sz w:val="18"/>
                    </w:rPr>
                    <w:t>（二）网管系统运行监测</w:t>
                  </w:r>
                </w:p>
                <w:p>
                  <w:pPr>
                    <w:pStyle w:val="null3"/>
                    <w:jc w:val="both"/>
                  </w:pPr>
                  <w:r>
                    <w:rPr>
                      <w:rFonts w:ascii="仿宋_GB2312" w:hAnsi="仿宋_GB2312" w:cs="仿宋_GB2312" w:eastAsia="仿宋_GB2312"/>
                      <w:sz w:val="18"/>
                    </w:rPr>
                    <w:t>1.通过现场巡查的方式对中心网管系统的运行状态进行巡检、记录。</w:t>
                  </w:r>
                </w:p>
                <w:p>
                  <w:pPr>
                    <w:pStyle w:val="null3"/>
                    <w:jc w:val="both"/>
                  </w:pPr>
                  <w:r>
                    <w:rPr>
                      <w:rFonts w:ascii="仿宋_GB2312" w:hAnsi="仿宋_GB2312" w:cs="仿宋_GB2312" w:eastAsia="仿宋_GB2312"/>
                      <w:sz w:val="18"/>
                    </w:rPr>
                    <w:t>2.对中心网管系统日志进行监测，及时通告、处置相关告警。</w:t>
                  </w:r>
                </w:p>
                <w:p>
                  <w:pPr>
                    <w:pStyle w:val="null3"/>
                    <w:jc w:val="both"/>
                  </w:pPr>
                  <w:r>
                    <w:rPr>
                      <w:rFonts w:ascii="仿宋_GB2312" w:hAnsi="仿宋_GB2312" w:cs="仿宋_GB2312" w:eastAsia="仿宋_GB2312"/>
                      <w:sz w:val="18"/>
                    </w:rPr>
                    <w:t>3.如发生异常情况，应第一时间报告省中心协助省中心协调相关厂商进行故障排查和维修。</w:t>
                  </w:r>
                </w:p>
                <w:p>
                  <w:pPr>
                    <w:pStyle w:val="null3"/>
                    <w:jc w:val="both"/>
                  </w:pPr>
                  <w:r>
                    <w:rPr>
                      <w:rFonts w:ascii="仿宋_GB2312" w:hAnsi="仿宋_GB2312" w:cs="仿宋_GB2312" w:eastAsia="仿宋_GB2312"/>
                      <w:sz w:val="18"/>
                    </w:rPr>
                    <w:t>（三）</w:t>
                  </w:r>
                  <w:r>
                    <w:rPr>
                      <w:rFonts w:ascii="仿宋_GB2312" w:hAnsi="仿宋_GB2312" w:cs="仿宋_GB2312" w:eastAsia="仿宋_GB2312"/>
                      <w:sz w:val="18"/>
                    </w:rPr>
                    <w:t>ODF光纤配线架运行监测</w:t>
                  </w:r>
                </w:p>
                <w:p>
                  <w:pPr>
                    <w:pStyle w:val="null3"/>
                    <w:jc w:val="both"/>
                  </w:pPr>
                  <w:r>
                    <w:rPr>
                      <w:rFonts w:ascii="仿宋_GB2312" w:hAnsi="仿宋_GB2312" w:cs="仿宋_GB2312" w:eastAsia="仿宋_GB2312"/>
                      <w:sz w:val="18"/>
                    </w:rPr>
                    <w:t>1.通过现场巡查方式对ODF光纤配线架的检查连接状态和光纤的外观损耗情况并进行巡检和记录。</w:t>
                  </w:r>
                </w:p>
                <w:p>
                  <w:pPr>
                    <w:pStyle w:val="null3"/>
                    <w:jc w:val="both"/>
                  </w:pPr>
                  <w:r>
                    <w:rPr>
                      <w:rFonts w:ascii="仿宋_GB2312" w:hAnsi="仿宋_GB2312" w:cs="仿宋_GB2312" w:eastAsia="仿宋_GB2312"/>
                      <w:sz w:val="18"/>
                    </w:rPr>
                    <w:t>2.定期对ODF光纤配线架清洁避免灰尘和污垢的积累影响光信号的传输。</w:t>
                  </w:r>
                </w:p>
                <w:p>
                  <w:pPr>
                    <w:pStyle w:val="null3"/>
                    <w:jc w:val="both"/>
                  </w:pPr>
                  <w:r>
                    <w:rPr>
                      <w:rFonts w:ascii="仿宋_GB2312" w:hAnsi="仿宋_GB2312" w:cs="仿宋_GB2312" w:eastAsia="仿宋_GB2312"/>
                      <w:sz w:val="18"/>
                    </w:rPr>
                    <w:t>3.如发生异常情况，应第一时间报告省中心协助省中心协调相关厂商进行故障排查和维修。</w:t>
                  </w:r>
                </w:p>
                <w:p>
                  <w:pPr>
                    <w:pStyle w:val="null3"/>
                    <w:jc w:val="both"/>
                  </w:pPr>
                  <w:r>
                    <w:rPr>
                      <w:rFonts w:ascii="仿宋_GB2312" w:hAnsi="仿宋_GB2312" w:cs="仿宋_GB2312" w:eastAsia="仿宋_GB2312"/>
                      <w:sz w:val="18"/>
                    </w:rPr>
                    <w:t>（四）程控交换系统运行监测</w:t>
                  </w:r>
                </w:p>
                <w:p>
                  <w:pPr>
                    <w:pStyle w:val="null3"/>
                    <w:jc w:val="both"/>
                  </w:pPr>
                  <w:r>
                    <w:rPr>
                      <w:rFonts w:ascii="仿宋_GB2312" w:hAnsi="仿宋_GB2312" w:cs="仿宋_GB2312" w:eastAsia="仿宋_GB2312"/>
                      <w:sz w:val="18"/>
                    </w:rPr>
                    <w:t>1.通过现场巡查的方式对中心程控交换系统的运行状态进行巡检、记录。</w:t>
                  </w:r>
                </w:p>
                <w:p>
                  <w:pPr>
                    <w:pStyle w:val="null3"/>
                    <w:jc w:val="both"/>
                  </w:pPr>
                  <w:r>
                    <w:rPr>
                      <w:rFonts w:ascii="仿宋_GB2312" w:hAnsi="仿宋_GB2312" w:cs="仿宋_GB2312" w:eastAsia="仿宋_GB2312"/>
                      <w:sz w:val="18"/>
                    </w:rPr>
                    <w:t>2.如发生异常情况，应第一时间报告省中心协助省中心协调相关厂商进行故障排查和维修。</w:t>
                  </w:r>
                </w:p>
                <w:p>
                  <w:pPr>
                    <w:pStyle w:val="null3"/>
                    <w:jc w:val="both"/>
                  </w:pPr>
                  <w:r>
                    <w:rPr>
                      <w:rFonts w:ascii="仿宋_GB2312" w:hAnsi="仿宋_GB2312" w:cs="仿宋_GB2312" w:eastAsia="仿宋_GB2312"/>
                      <w:sz w:val="18"/>
                    </w:rPr>
                    <w:t>（五）传输系统配套备用供电系统运行监测</w:t>
                  </w:r>
                </w:p>
                <w:p>
                  <w:pPr>
                    <w:pStyle w:val="null3"/>
                    <w:jc w:val="both"/>
                  </w:pPr>
                  <w:r>
                    <w:rPr>
                      <w:rFonts w:ascii="仿宋_GB2312" w:hAnsi="仿宋_GB2312" w:cs="仿宋_GB2312" w:eastAsia="仿宋_GB2312"/>
                      <w:sz w:val="18"/>
                    </w:rPr>
                    <w:t>1.通过现场巡查的方式对中心传输系统配套电源的运行状态进行巡检、记录。</w:t>
                  </w:r>
                </w:p>
                <w:p>
                  <w:pPr>
                    <w:pStyle w:val="null3"/>
                    <w:jc w:val="both"/>
                  </w:pPr>
                  <w:r>
                    <w:rPr>
                      <w:rFonts w:ascii="仿宋_GB2312" w:hAnsi="仿宋_GB2312" w:cs="仿宋_GB2312" w:eastAsia="仿宋_GB2312"/>
                      <w:sz w:val="18"/>
                    </w:rPr>
                    <w:t>2.每半年人为充放电一次，测试UPS电池应急运行状态。</w:t>
                  </w:r>
                </w:p>
                <w:p>
                  <w:pPr>
                    <w:pStyle w:val="null3"/>
                    <w:jc w:val="both"/>
                  </w:pPr>
                  <w:r>
                    <w:rPr>
                      <w:rFonts w:ascii="仿宋_GB2312" w:hAnsi="仿宋_GB2312" w:cs="仿宋_GB2312" w:eastAsia="仿宋_GB2312"/>
                      <w:sz w:val="18"/>
                    </w:rPr>
                    <w:t>3.如发生异常情况，应第一时间报告省中心协助省中心协调相关厂商进行故障排查和维修。</w:t>
                  </w:r>
                </w:p>
                <w:p>
                  <w:pPr>
                    <w:pStyle w:val="null3"/>
                    <w:jc w:val="both"/>
                  </w:pPr>
                  <w:r>
                    <w:rPr>
                      <w:rFonts w:ascii="仿宋_GB2312" w:hAnsi="仿宋_GB2312" w:cs="仿宋_GB2312" w:eastAsia="仿宋_GB2312"/>
                      <w:sz w:val="18"/>
                    </w:rPr>
                    <w:t>（六）传输资产管理</w:t>
                  </w:r>
                </w:p>
                <w:p>
                  <w:pPr>
                    <w:pStyle w:val="null3"/>
                    <w:jc w:val="both"/>
                  </w:pPr>
                  <w:r>
                    <w:rPr>
                      <w:rFonts w:ascii="仿宋_GB2312" w:hAnsi="仿宋_GB2312" w:cs="仿宋_GB2312" w:eastAsia="仿宋_GB2312"/>
                      <w:sz w:val="18"/>
                    </w:rPr>
                    <w:t>提供传输详细的时隙业务分配、光缆拓扑、设备软硬件配置、电路使用、其它各系统设备的软硬件配置、资源分配等方面的文字材料。</w:t>
                  </w:r>
                </w:p>
                <w:p>
                  <w:pPr>
                    <w:pStyle w:val="null3"/>
                    <w:jc w:val="both"/>
                  </w:pPr>
                  <w:r>
                    <w:rPr>
                      <w:rFonts w:ascii="仿宋_GB2312" w:hAnsi="仿宋_GB2312" w:cs="仿宋_GB2312" w:eastAsia="仿宋_GB2312"/>
                      <w:sz w:val="18"/>
                    </w:rPr>
                    <w:t>技术支持服务</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1）传输设备维护内容至少应包括：电源输出电压监测，机柜顶端指示灯、单板指示灯、设备风扇运行的状态监测、电源线连接检查、线缆标签检查及接地电阻检测等。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网管系统维护内容至少包括：网元检查、单板状态检查、告警及性能事件检查、保护倒换检查、高级设置检查、网关的启动关闭检查、ECC路由检查、网元时间及单板配置信息查询、NES网管数据库的转储和整理、网管数据库的备份、网管计算机的维护、各种硬件接口测试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3）ODF光纤配线架维护内容至少包括：ODF光纤配线架的检查连接状态和光纤外观损耗情况进行检查，对ODF光纤配线架清洁避免灰尘和污垢的积累影响光信号的传输，检查尾纤标签是否清晰、准确。</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程控交换系统维护内容至少包括：数据维护（公共配置、中继、信令）、BAM、供电系统、时钟校准、告警系统、各级软硬件、信令链路、中继设备、接地电阻、线路检查记录、断线检查、话机故障检查、用户数据备份、保险装置性能检查、单板除尘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电源设备维护内容至少包括：参数配置检查、工作状态检查、滤尘网及风扇清洁、通信电源的交流配电单元、整流模块、直流配电单元、蓄电池组、监控系统、防雷保护等进行检查、维护。电源主机的清洁及变换器的维护；在不经常停电时，至少每半年人为充放电一次，测试蓄电池应急运行状态。蓄电池每月检查整组电池的浮充电压、单体电池浮充电压，有无漏液的情况、电池架、连接线、端子是否有松动或锈蚀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通信设备环境维护内容至少包括：设备环境变量检查、环境清洁度、温度检查、湿度检查、地面清扫、检查地板平整度、地面吸尘、地面保温层检查等；每季度进行一次地面完好度检查和排除设备周边环境可能存在的隐患；每年对通信设备环境进行深度清洁保养及全面排查可能存在的隐患。</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7）至少每半年对各系统接地地线、电源线连接检查一次。</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8）以上项目检查完成后，应提供传输设备的业务分配、光缆拓扑、设备软硬件配置、电路使用、其它各系统设备的软硬件配置、资源分配等方面的文字材料。</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9）按月提交维护计划、维护清单、维护记录、维护总结等。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10）提供7×24小时不间断的维护技术支持、故障受理及处理。</w:t>
                  </w:r>
                </w:p>
                <w:p>
                  <w:pPr>
                    <w:pStyle w:val="null3"/>
                    <w:jc w:val="both"/>
                  </w:pPr>
                  <w:r>
                    <w:rPr>
                      <w:rFonts w:ascii="仿宋_GB2312" w:hAnsi="仿宋_GB2312" w:cs="仿宋_GB2312" w:eastAsia="仿宋_GB2312"/>
                      <w:sz w:val="18"/>
                    </w:rPr>
                    <w:t>4.其他要求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1）供应商在合同签订后10日内，安排驻场运维人员到场，开展运维工作。</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2）供应商应具备完善的技术支持和售后服务体系，并在服务期内承诺提供7*24小时的电话支持服务、故障处理服务等。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3）网络故障承诺2小时到现场进行处理。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过程中，对于供应商向省中心提供服务过程中所指派具体承担服务的人员，应向省中心提供人员名单、简历、学历等相应证明文件，并保证所提供信息的准确性和有效性。省中心有权对派入人员的资格和相关信息进行审核。为确保省中心服务工作的顺利开展，供应商应对服务人员及现场驻场人员素质整体把关，原则上应满足以下条件： 1.须拥有三年以上通信行业从业经验。了解陕西省高速公路通信系统结构，能在第一时间时间判断故障类型及路段。 2.安排至少一人驻场，提供5*8小时值守服务，驻场期间产生的一切费用由供应商提供。 3.为保证项目的连续性，在项目服务周期内不得随意更换服务人员。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详见“技术参数与性能指标”。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1.网络安全要求 供应商具备健全的网络安全服务体系，具有网络安全隐患排查、完善加固、预警监测、应对攻击等服务能力，配备具有相关技术能力的网络安全专项人员，为本项目提供漏洞检测、策略配置、加固整改、安全监测、应急处置等保障措施，确保系统安全稳定运行。供应商未发生过重大网络安全事件，按照要求签署网络安全责任协议。 2.保密要求 项目实施过程中所收集、产生的所有与本项目相关的文档、资料，包括文字、图片、表格、数字等各种形式所属权均归属省中心，供应商必须对所涉及到的内容保密，供应商及服务人员应按照要求签署保密协议。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2025年4月29日至2026年4月30日。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陕西省高速公路收费中心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合同签订生效并进入服务期后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服务期第二个月，在提交相应维护报告后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服务期第三个月，在提交相应维护报告后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服务期第四个月，在提交相应维护报告后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服务期第五个月，在提交相应维护报告后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服务期第六个月，在提交相应维护报告后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服务期第七个月，在提交相应维护报告后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服务期第八个月，在提交相应维护报告后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服务期第九个月，在提交相应维护报告后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服务期第十一个月，在提交相应维护报告后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服务期第十二个月，服务期满并验收合格后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1.因供应商原因，未及时提交通信系统维护资料的每次扣除维护服务费500元，从当期维护服务费中扣除。 2.出现下列情况,每次扣除维护服务费1000元，从当期维护服务费中扣除。 （1）供应商提供通信维护服务，应做好巡检和维护记录，因巡检不到位造成故障不能及时发现处置。 （2）因通信系统引发的故障，务必做好故障处理等工作，因故障处理不及时，导致系统故障并影响业务运行。 （3）因供应商原因造成的链路故障并影响业务运行。 3.维护系统的设备（软件）出现弱口令，发现1个弱口令，扣除维护服务费5000元，从当期维护服务费中扣除。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⑨《关于扩大政府采购支持绿色建材促进建筑品质提升政策实施范围的通知》(财库(2022)35号)⑩本项目专门面向中小企业采购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或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中华人民共和国增值电信业务经营许可证</w:t>
            </w:r>
          </w:p>
        </w:tc>
        <w:tc>
          <w:tcPr>
            <w:tcW w:type="dxa" w:w="3322"/>
          </w:tcPr>
          <w:p>
            <w:pPr>
              <w:pStyle w:val="null3"/>
            </w:pPr>
            <w:r>
              <w:rPr>
                <w:rFonts w:ascii="仿宋_GB2312" w:hAnsi="仿宋_GB2312" w:cs="仿宋_GB2312" w:eastAsia="仿宋_GB2312"/>
              </w:rPr>
              <w:t>供应商需提供合法有效的《中华人民共和国增值电信业务经营许可证》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提供中小企业声明函。（本项目属于专门面向中小企业采购项目）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供应商针对本项目重点难点分析、应对措施及相关的合理化建议，给出具体思路和方案： a.内容完整、分析合理、应对措施科学合理，合理化建议针对性强计8分； b.内容较完整、分析较全面、应对措施基本合理、合理化建议针对性一般计6分； c.内容不够完整、分析不够全面、应对措施不够科学合理、合理化建议针对性不强计4分； d.内容简单有缺项，应对措施不合理，可操作性一般、无针对性计2分； e.无此项方案的计0分。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项目重点难点分析、应对措施及相关的合理化建议.docx</w:t>
            </w:r>
          </w:p>
        </w:tc>
      </w:tr>
      <w:tr>
        <w:tc>
          <w:tcPr>
            <w:tcW w:type="dxa" w:w="831"/>
            <w:vMerge/>
          </w:tcPr>
          <w:p/>
        </w:tc>
        <w:tc>
          <w:tcPr>
            <w:tcW w:type="dxa" w:w="1661"/>
          </w:tcPr>
          <w:p>
            <w:pPr>
              <w:pStyle w:val="null3"/>
            </w:pPr>
            <w:r>
              <w:rPr>
                <w:rFonts w:ascii="仿宋_GB2312" w:hAnsi="仿宋_GB2312" w:cs="仿宋_GB2312" w:eastAsia="仿宋_GB2312"/>
              </w:rPr>
              <w:t>运维服务方案</w:t>
            </w:r>
          </w:p>
        </w:tc>
        <w:tc>
          <w:tcPr>
            <w:tcW w:type="dxa" w:w="2492"/>
          </w:tcPr>
          <w:p>
            <w:pPr>
              <w:pStyle w:val="null3"/>
            </w:pPr>
            <w:r>
              <w:rPr>
                <w:rFonts w:ascii="仿宋_GB2312" w:hAnsi="仿宋_GB2312" w:cs="仿宋_GB2312" w:eastAsia="仿宋_GB2312"/>
              </w:rPr>
              <w:t>供应商针对本项目提供运维服务方案，包含但不限于：1.对项目服务需求、背景的理解； 2.识别项目服务内容，针对本项目服务要求提供实施计划； 3.明确管理架构及分工服务体系等： a.服务方案全面、内容细致，需求理解透彻，运维流程合理，贴合本项目实际需求的计12分； b.服务方案较全面、内容较细致，运维流程较合理，较贴合本项目实际需求的计9分； c.服务方案基本全面、内容基本细致，或运维流程基本合理，基本贴合本项目实际需求的计6分； d.服务方案欠全面、内容欠细致，或运维流程欠合理，贴合本项目实际需求不好的计3分。 e.无服务方案的计0分。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运维服务方案.docx</w:t>
            </w:r>
          </w:p>
        </w:tc>
      </w:tr>
      <w:tr>
        <w:tc>
          <w:tcPr>
            <w:tcW w:type="dxa" w:w="831"/>
            <w:vMerge/>
          </w:tcPr>
          <w:p/>
        </w:tc>
        <w:tc>
          <w:tcPr>
            <w:tcW w:type="dxa" w:w="1661"/>
          </w:tcPr>
          <w:p>
            <w:pPr>
              <w:pStyle w:val="null3"/>
            </w:pPr>
            <w:r>
              <w:rPr>
                <w:rFonts w:ascii="仿宋_GB2312" w:hAnsi="仿宋_GB2312" w:cs="仿宋_GB2312" w:eastAsia="仿宋_GB2312"/>
              </w:rPr>
              <w:t>质量保障措施及方案</w:t>
            </w:r>
          </w:p>
        </w:tc>
        <w:tc>
          <w:tcPr>
            <w:tcW w:type="dxa" w:w="2492"/>
          </w:tcPr>
          <w:p>
            <w:pPr>
              <w:pStyle w:val="null3"/>
            </w:pPr>
            <w:r>
              <w:rPr>
                <w:rFonts w:ascii="仿宋_GB2312" w:hAnsi="仿宋_GB2312" w:cs="仿宋_GB2312" w:eastAsia="仿宋_GB2312"/>
              </w:rPr>
              <w:t>供应商针对本项目提供质量保障措施及方案：包含但不限于1.项目质量管理制度；2.项目资料、保证服务人员的稳定、保证服务的质量、成果安全性保障措施等。 a.项目质量管理制度详细，项目资料、保证服务人员的稳定、保证服务的质量、成果安全性保障措施可行性高的计12分； b.项目质量管理制度较详细，项目资料、保证服务人员的稳定、保证服务的质量、成果安全性保障措施可行性较高的计9分； c.项目质量管理制度不够详细，项目资料、保证服务人员的稳定、保证服务的质量、成果安全性保障措施可行性一般的计6分； d.项目质量管理制度简略，项目资料、保证服务人员的稳定、保证服务的质量、成果安全性保障措施可行性差的计3分。 e.无措施及方案的计0分。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质量保障措施及方案.docx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供应商针对本项目提供应急措施，包含但不限于响应时间、故障处理、电话支持、远程服务、现场服务、应急处置流程、应急解决方案等。 a.措施全面合理，内容详细，措施完善，完全满足或优于采购要求，得12分； b.措施基本完整，针对性不够强，基本满足项目要求得9分； c.措施不够完整，针对性一般，很难满足项目要求得6分。 d.措施简单笼统，针对性不强，不能满足项目要求得3分。 e.无措施及方案的计0分。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供应商针对本项目提供拟派项目负责人及项目组成人员，须提供人员清单、职责分工、相关证件、社保或劳动合同、项目负责人简历、经验等）： a.人员配备合理、分工明确、专业技术实力强、项目经理经验丰富，人员证明材料充分完整得8分； b.人员配置较合理、分工较明确、实力较强，项目经理经验丰富，人员证明材料较充分得6分； c.人员配置一般合理、分工一般明确、实力一般，项目经理经验不够丰富，人员证明材料较少得4分； d.人员配置不合理、分工不明确，项目经理经验不足，人员证明材料不足得2分； e.无人员配置，无搭配，只有概述，缺少具体人员信息及证明材料得0分。注：须提供证书复印件加盖公章及证书人员所在供应商单位缴纳的社保证明或劳动合同。否则不计分。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供应商提供针对本项目采购内容及要求提供具体的保密方案，包括但不限于保密管理制度、对数据和信息安全保密等。 a.方案完善、合理、科学有效，能保证项目顺利实施计5分； b.方案不够完善，合理性一般，很难保证项目顺利实施计3分。 c.方案简单笼统，无合理性，无针对性，不能保证项目顺利实施计1分； d.无保密方案的计0分。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供应商提供针对本项目提供具体的服务承诺，包括但不限于服务质量承诺、保密承诺、应急响应承诺、服务时间、人员配备情况、网络安全、数据安全保障等。 a.服务承诺完整、合理，切实针对本项目实际情况计6分； b.服务承诺不够详细、合理，可行但并不具备借鉴意义计4分。 c.服务承诺简单笼统、有明显漏洞计2分； d.无服务承诺的计0分。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供应商针对本项目提供售后服务方案，包括但不限于服务团队、响应时间、响应程度、解决问题能力、紧急故障处理预案及措施等。 a.服务方案详细完整，针对性强，应急保障措施科学合理，能满足项目实施要求计6分； b.服务方案不够完整，针对性不够强，应急保障措施不够科学合理，基本满足项目实施要求计4分。c.服务方案不完整，针对性不强，应急保障措施简单笼统，不能满足项目实施要求计2分。 d.无售后服务的计0分。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企业资质</w:t>
            </w:r>
          </w:p>
        </w:tc>
        <w:tc>
          <w:tcPr>
            <w:tcW w:type="dxa" w:w="2492"/>
          </w:tcPr>
          <w:p>
            <w:pPr>
              <w:pStyle w:val="null3"/>
            </w:pPr>
            <w:r>
              <w:rPr>
                <w:rFonts w:ascii="仿宋_GB2312" w:hAnsi="仿宋_GB2312" w:cs="仿宋_GB2312" w:eastAsia="仿宋_GB2312"/>
              </w:rPr>
              <w:t>供应商须具有以下资质： 1.具备质量管理体系认证证书，得3分； 2.具备ITSS信息技术服务运行维护标准符合性证书，得3分；以上提供证书复印件，并加盖公章。否则不计分。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企业资质.docx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2月1日至今不少于三个类似绩证明，（不满足得0分，满足得3分）此外每增加1个有效业绩证明得1分，满分5分，不提供不得分。（业绩时间以合同签订时间为准，并提供合同扫描件。提供加盖公章的合同复印件及发票。复印件能清晰的表明合同双方名称、项目内容和签署日期。同一个项目内容存续期的合同视为同一个业绩。）</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详见附件：项目重点难点分析、应对措施及相关的合理化建议.docx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详见附件：运维服务方案.docx</w:t>
      </w:r>
    </w:p>
    <w:p>
      <w:pPr>
        <w:pStyle w:val="null3"/>
        <w:ind w:firstLine="960"/>
      </w:pPr>
      <w:r>
        <w:rPr>
          <w:rFonts w:ascii="仿宋_GB2312" w:hAnsi="仿宋_GB2312" w:cs="仿宋_GB2312" w:eastAsia="仿宋_GB2312"/>
        </w:rPr>
        <w:t>详见附件：质量保障措施及方案.docx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详见附件：高速公路通信系统运维项目服务合同.docx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