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版本号：DFA-GSYY-GP-2025036020250327001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ACS数据库、EngineeringVillageCompendex（EI）数据库等采购项目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DFA-GSYY-GP-20250360</w:t>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北京典方建设工程咨询有限公司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ACS数据库、EngineeringVillageCompendex（EI）数据库等采购项目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DFA-GSYY-GP-20250360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ACS数据库、EngineeringVillageCompendex（EI）数据库等采购项目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ACS数据库采购项目；Engineering Village Compendex（EI）数据库采购项目；IEL数据库采购项目；Nature电子期刊、ASCE数据库采购项目；ProQuest SciTech Premium Collection数据库采购项目；Web of Science – Science Citation Index Expanded（SCIE）数据库、CSCD数据库采购项目；Springer电子期刊数据库采购项目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采购包1：325,000.00元</w:t>
            </w:r>
          </w:p>
          <w:p>
            <w:pPr>
              <w:pStyle w:val="null3"/>
            </w:pPr>
            <w:r>
              <w:rPr>
                <w:rFonts w:ascii="仿宋_GB2312" w:hAnsi="仿宋_GB2312" w:cs="仿宋_GB2312" w:eastAsia="仿宋_GB2312"/>
              </w:rPr>
              <w:t>采购包2：295,000.00元</w:t>
            </w:r>
          </w:p>
          <w:p>
            <w:pPr>
              <w:pStyle w:val="null3"/>
            </w:pPr>
            <w:r>
              <w:rPr>
                <w:rFonts w:ascii="仿宋_GB2312" w:hAnsi="仿宋_GB2312" w:cs="仿宋_GB2312" w:eastAsia="仿宋_GB2312"/>
              </w:rPr>
              <w:t>采购包3：630,000.00元</w:t>
            </w:r>
          </w:p>
          <w:p>
            <w:pPr>
              <w:pStyle w:val="null3"/>
            </w:pPr>
            <w:r>
              <w:rPr>
                <w:rFonts w:ascii="仿宋_GB2312" w:hAnsi="仿宋_GB2312" w:cs="仿宋_GB2312" w:eastAsia="仿宋_GB2312"/>
              </w:rPr>
              <w:t>采购包4：230,000.00元</w:t>
            </w:r>
          </w:p>
          <w:p>
            <w:pPr>
              <w:pStyle w:val="null3"/>
            </w:pPr>
            <w:r>
              <w:rPr>
                <w:rFonts w:ascii="仿宋_GB2312" w:hAnsi="仿宋_GB2312" w:cs="仿宋_GB2312" w:eastAsia="仿宋_GB2312"/>
              </w:rPr>
              <w:t>采购包5：145,000.00元</w:t>
            </w:r>
          </w:p>
          <w:p>
            <w:pPr>
              <w:pStyle w:val="null3"/>
            </w:pPr>
            <w:r>
              <w:rPr>
                <w:rFonts w:ascii="仿宋_GB2312" w:hAnsi="仿宋_GB2312" w:cs="仿宋_GB2312" w:eastAsia="仿宋_GB2312"/>
              </w:rPr>
              <w:t>采购包6：690,000.00元</w:t>
            </w:r>
          </w:p>
          <w:p>
            <w:pPr>
              <w:pStyle w:val="null3"/>
            </w:pPr>
            <w:r>
              <w:rPr>
                <w:rFonts w:ascii="仿宋_GB2312" w:hAnsi="仿宋_GB2312" w:cs="仿宋_GB2312" w:eastAsia="仿宋_GB2312"/>
              </w:rPr>
              <w:t>采购包7：415,000.00元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采购包1：325,000.00元</w:t>
            </w:r>
          </w:p>
          <w:p>
            <w:pPr>
              <w:pStyle w:val="null3"/>
            </w:pPr>
            <w:r>
              <w:rPr>
                <w:rFonts w:ascii="仿宋_GB2312" w:hAnsi="仿宋_GB2312" w:cs="仿宋_GB2312" w:eastAsia="仿宋_GB2312"/>
              </w:rPr>
              <w:t>采购包2：295,000.00元</w:t>
            </w:r>
          </w:p>
          <w:p>
            <w:pPr>
              <w:pStyle w:val="null3"/>
            </w:pPr>
            <w:r>
              <w:rPr>
                <w:rFonts w:ascii="仿宋_GB2312" w:hAnsi="仿宋_GB2312" w:cs="仿宋_GB2312" w:eastAsia="仿宋_GB2312"/>
              </w:rPr>
              <w:t>采购包3：630,000.00元</w:t>
            </w:r>
          </w:p>
          <w:p>
            <w:pPr>
              <w:pStyle w:val="null3"/>
            </w:pPr>
            <w:r>
              <w:rPr>
                <w:rFonts w:ascii="仿宋_GB2312" w:hAnsi="仿宋_GB2312" w:cs="仿宋_GB2312" w:eastAsia="仿宋_GB2312"/>
              </w:rPr>
              <w:t>采购包4：230,000.00元</w:t>
            </w:r>
          </w:p>
          <w:p>
            <w:pPr>
              <w:pStyle w:val="null3"/>
            </w:pPr>
            <w:r>
              <w:rPr>
                <w:rFonts w:ascii="仿宋_GB2312" w:hAnsi="仿宋_GB2312" w:cs="仿宋_GB2312" w:eastAsia="仿宋_GB2312"/>
              </w:rPr>
              <w:t>采购包5：145,000.00元</w:t>
            </w:r>
          </w:p>
          <w:p>
            <w:pPr>
              <w:pStyle w:val="null3"/>
            </w:pPr>
            <w:r>
              <w:rPr>
                <w:rFonts w:ascii="仿宋_GB2312" w:hAnsi="仿宋_GB2312" w:cs="仿宋_GB2312" w:eastAsia="仿宋_GB2312"/>
              </w:rPr>
              <w:t>采购包6：690,000.00元</w:t>
            </w:r>
          </w:p>
          <w:p>
            <w:pPr>
              <w:pStyle w:val="null3"/>
            </w:pPr>
            <w:r>
              <w:rPr>
                <w:rFonts w:ascii="仿宋_GB2312" w:hAnsi="仿宋_GB2312" w:cs="仿宋_GB2312" w:eastAsia="仿宋_GB2312"/>
              </w:rPr>
              <w:t>采购包7：415,000.00元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采购包1保证金金额：5,001.00元</w:t>
            </w:r>
          </w:p>
          <w:p>
            <w:pPr>
              <w:pStyle w:val="null3"/>
            </w:pPr>
            <w:r>
              <w:rPr>
                <w:rFonts w:ascii="仿宋_GB2312" w:hAnsi="仿宋_GB2312" w:cs="仿宋_GB2312" w:eastAsia="仿宋_GB2312"/>
              </w:rPr>
              <w:t>采购包2保证金金额：3,002.00元</w:t>
            </w:r>
          </w:p>
          <w:p>
            <w:pPr>
              <w:pStyle w:val="null3"/>
            </w:pPr>
            <w:r>
              <w:rPr>
                <w:rFonts w:ascii="仿宋_GB2312" w:hAnsi="仿宋_GB2312" w:cs="仿宋_GB2312" w:eastAsia="仿宋_GB2312"/>
              </w:rPr>
              <w:t>采购包3保证金金额：5,003.00元</w:t>
            </w:r>
          </w:p>
          <w:p>
            <w:pPr>
              <w:pStyle w:val="null3"/>
            </w:pPr>
            <w:r>
              <w:rPr>
                <w:rFonts w:ascii="仿宋_GB2312" w:hAnsi="仿宋_GB2312" w:cs="仿宋_GB2312" w:eastAsia="仿宋_GB2312"/>
              </w:rPr>
              <w:t>采购包4保证金金额：3,004.00元</w:t>
            </w:r>
          </w:p>
          <w:p>
            <w:pPr>
              <w:pStyle w:val="null3"/>
            </w:pPr>
            <w:r>
              <w:rPr>
                <w:rFonts w:ascii="仿宋_GB2312" w:hAnsi="仿宋_GB2312" w:cs="仿宋_GB2312" w:eastAsia="仿宋_GB2312"/>
              </w:rPr>
              <w:t>采购包5保证金金额：2,005.00元</w:t>
            </w:r>
          </w:p>
          <w:p>
            <w:pPr>
              <w:pStyle w:val="null3"/>
            </w:pPr>
            <w:r>
              <w:rPr>
                <w:rFonts w:ascii="仿宋_GB2312" w:hAnsi="仿宋_GB2312" w:cs="仿宋_GB2312" w:eastAsia="仿宋_GB2312"/>
              </w:rPr>
              <w:t>采购包6保证金金额：5,006.00元</w:t>
            </w:r>
          </w:p>
          <w:p>
            <w:pPr>
              <w:pStyle w:val="null3"/>
            </w:pPr>
            <w:r>
              <w:rPr>
                <w:rFonts w:ascii="仿宋_GB2312" w:hAnsi="仿宋_GB2312" w:cs="仿宋_GB2312" w:eastAsia="仿宋_GB2312"/>
              </w:rPr>
              <w:t>采购包7保证金金额：5,007.00元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收费标准，按照本项目累计成交金额100万（不含）以下，按照文件标准计费正常收取；本项目累计成交100万（含）以上，按照文件标准计费下浮25%收取。此采购代理服务费应计入投标中，但不需要单独开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ACS数据库采购项目；Engineering Village Compendex（EI）数据库采购项目；IEL数据库采购项目；Nature电子期刊、ASCE数据库采购项目；ProQuest SciTech Premium Collection数据库采购项目；Web of Science – Science Citation Index Expanded（SCIE）数据库、CSCD数据库采购项目；Springer电子期刊数据库采购项目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w:t>
      </w:r>
    </w:p>
    <w:p>
      <w:pPr>
        <w:pStyle w:val="null3"/>
      </w:pPr>
      <w:r>
        <w:rPr>
          <w:rFonts w:ascii="仿宋_GB2312" w:hAnsi="仿宋_GB2312" w:cs="仿宋_GB2312" w:eastAsia="仿宋_GB2312"/>
        </w:rPr>
        <w:t>采购包最高限价（元）: 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ACS数据库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Engineering Village Compendex（EI）数据库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IEL数据库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Nature电子期刊、ASCE数据库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ProQuest SciTech Premium Collection数据库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Web of Science – Science Citation Index Expanded（SCIE）数据库、CSCD数据库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415,000.00</w:t>
      </w:r>
    </w:p>
    <w:p>
      <w:pPr>
        <w:pStyle w:val="null3"/>
      </w:pPr>
      <w:r>
        <w:rPr>
          <w:rFonts w:ascii="仿宋_GB2312" w:hAnsi="仿宋_GB2312" w:cs="仿宋_GB2312" w:eastAsia="仿宋_GB2312"/>
        </w:rPr>
        <w:t>采购包最高限价（元）: 415,000.00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Springer电子期刊数据库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标的名称：ACS数据库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ACS数据库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1"/>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ACS数据库包含67种期刊，回溯至创刊年。 数据库涵盖 20 多个与化学相关的学科，包括物理化学、化学工程、生物化学和分子生物学、食品科学、有机化学、无机与原子能化学、地球化学、环境科学与工程、材料科学与工程、晶体学、毒理学、药理学等。ACS期刊文献是化学领域被引次数最多的期刊，为全球的企业研发提供高品质的科技文献资源。通过DRAA组团已覆盖全国近200所高校。ACS数据库采取IP控制的模式，供全校师生和科研人员使用。</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）乙方需及时将甲方提供的有关变更信息（如：</w:t>
            </w:r>
            <w:r>
              <w:rPr>
                <w:rFonts w:ascii="仿宋_GB2312" w:hAnsi="仿宋_GB2312" w:cs="仿宋_GB2312" w:eastAsia="仿宋_GB2312"/>
                <w:sz w:val="20"/>
              </w:rPr>
              <w:t>IP</w:t>
            </w:r>
            <w:r>
              <w:rPr>
                <w:rFonts w:ascii="仿宋_GB2312" w:hAnsi="仿宋_GB2312" w:cs="仿宋_GB2312" w:eastAsia="仿宋_GB2312"/>
                <w:sz w:val="20"/>
              </w:rPr>
              <w:t>段变更信息等）和使用中遇到的问题通报出版商，并协助出版商在</w:t>
            </w:r>
            <w:r>
              <w:rPr>
                <w:rFonts w:ascii="仿宋_GB2312" w:hAnsi="仿宋_GB2312" w:cs="仿宋_GB2312" w:eastAsia="仿宋_GB2312"/>
                <w:sz w:val="20"/>
              </w:rPr>
              <w:t>24</w:t>
            </w:r>
            <w:r>
              <w:rPr>
                <w:rFonts w:ascii="仿宋_GB2312" w:hAnsi="仿宋_GB2312" w:cs="仿宋_GB2312" w:eastAsia="仿宋_GB2312"/>
                <w:sz w:val="20"/>
              </w:rPr>
              <w:t>小时内解决，以保证甲方对所订购产品的正常使用。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标的名称：Engineering Village Compendex（EI）数据库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Engineering Village Compendex（EI）数据库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1"/>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Engineering Village 平台上的Ei Compendex数据库是世界上最广泛，最完整的工程文献数据库，包含来自89个国家，2,600多个出版商的多种文献类型，涵盖期刊论文、会议录和会议论文，图书及图书章节；还特别收录13个标准制定组织的22万余条标准、220多种行业杂志、35万余篇学位论文等，总记录数达3,500万条，最早回溯到1884年。每条记录都经过精心选择，并使用“工程索引叙词”进行索引，以确保工程专业学生和专业人员检索可依赖的特定工程文献，信息是相关、完整、准确和高质量的。Ei覆盖个工程学科的680多个专业技术领域，涉及核技术、生物工程、交通运输、化学和工艺工程、照明和光学技术、农业工程和食品技术、计算机和数据处理、应用物理、电子和通信、控制工程、土木工程、机械工程、材料工程、石油、宇航、汽车工程以及这些领域的子学科。</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）乙方需及时将甲方提供的有关变更信息（如：</w:t>
            </w:r>
            <w:r>
              <w:rPr>
                <w:rFonts w:ascii="仿宋_GB2312" w:hAnsi="仿宋_GB2312" w:cs="仿宋_GB2312" w:eastAsia="仿宋_GB2312"/>
                <w:sz w:val="20"/>
              </w:rPr>
              <w:t>IP</w:t>
            </w:r>
            <w:r>
              <w:rPr>
                <w:rFonts w:ascii="仿宋_GB2312" w:hAnsi="仿宋_GB2312" w:cs="仿宋_GB2312" w:eastAsia="仿宋_GB2312"/>
                <w:sz w:val="20"/>
              </w:rPr>
              <w:t>段变更信息等）和使用中遇到的问题通报出版商，并协助出版商在</w:t>
            </w:r>
            <w:r>
              <w:rPr>
                <w:rFonts w:ascii="仿宋_GB2312" w:hAnsi="仿宋_GB2312" w:cs="仿宋_GB2312" w:eastAsia="仿宋_GB2312"/>
                <w:sz w:val="20"/>
              </w:rPr>
              <w:t>24</w:t>
            </w:r>
            <w:r>
              <w:rPr>
                <w:rFonts w:ascii="仿宋_GB2312" w:hAnsi="仿宋_GB2312" w:cs="仿宋_GB2312" w:eastAsia="仿宋_GB2312"/>
                <w:sz w:val="20"/>
              </w:rPr>
              <w:t>小时内解决，以保证甲方对所订购产品的正常使用。</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标的名称：IEL数据库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IEL数据库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0"/>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IEEE Electronic Library (IEL)</w:t>
            </w:r>
            <w:r>
              <w:rPr>
                <w:rFonts w:ascii="仿宋_GB2312" w:hAnsi="仿宋_GB2312" w:cs="仿宋_GB2312" w:eastAsia="仿宋_GB2312"/>
                <w:sz w:val="20"/>
              </w:rPr>
              <w:t>数据库是</w:t>
            </w:r>
            <w:r>
              <w:rPr>
                <w:rFonts w:ascii="仿宋_GB2312" w:hAnsi="仿宋_GB2312" w:cs="仿宋_GB2312" w:eastAsia="仿宋_GB2312"/>
                <w:sz w:val="20"/>
              </w:rPr>
              <w:t>IEEE旗下最完整的在线数据资源，提供全球电气电子、通信和计算机科学等领域近三分之一的文献。其收录的期刊、杂志、会议录和标准超过</w:t>
            </w:r>
            <w:r>
              <w:rPr>
                <w:rFonts w:ascii="仿宋_GB2312" w:hAnsi="仿宋_GB2312" w:cs="仿宋_GB2312" w:eastAsia="仿宋_GB2312"/>
                <w:sz w:val="20"/>
              </w:rPr>
              <w:t>6</w:t>
            </w:r>
            <w:r>
              <w:rPr>
                <w:rFonts w:ascii="仿宋_GB2312" w:hAnsi="仿宋_GB2312" w:cs="仿宋_GB2312" w:eastAsia="仿宋_GB2312"/>
                <w:sz w:val="20"/>
              </w:rPr>
              <w:t>00万篇。</w:t>
            </w:r>
          </w:p>
          <w:p>
            <w:pPr>
              <w:pStyle w:val="null3"/>
              <w:ind w:firstLine="570"/>
              <w:jc w:val="left"/>
            </w:pPr>
            <w:r>
              <w:rPr>
                <w:rFonts w:ascii="仿宋_GB2312" w:hAnsi="仿宋_GB2312" w:cs="仿宋_GB2312" w:eastAsia="仿宋_GB2312"/>
                <w:sz w:val="20"/>
              </w:rPr>
              <w:t>IEEE Electronic Library (IEL)</w:t>
            </w:r>
            <w:r>
              <w:rPr>
                <w:rFonts w:ascii="仿宋_GB2312" w:hAnsi="仿宋_GB2312" w:cs="仿宋_GB2312" w:eastAsia="仿宋_GB2312"/>
                <w:sz w:val="20"/>
              </w:rPr>
              <w:t>数据库提供：</w:t>
            </w:r>
          </w:p>
          <w:p>
            <w:pPr>
              <w:pStyle w:val="null3"/>
              <w:ind w:firstLine="570"/>
              <w:jc w:val="left"/>
            </w:pPr>
            <w:r>
              <w:rPr>
                <w:rFonts w:ascii="仿宋_GB2312" w:hAnsi="仿宋_GB2312" w:cs="仿宋_GB2312" w:eastAsia="仿宋_GB2312"/>
                <w:sz w:val="20"/>
              </w:rPr>
              <w:t>1</w:t>
            </w:r>
            <w:r>
              <w:rPr>
                <w:rFonts w:ascii="仿宋_GB2312" w:hAnsi="仿宋_GB2312" w:cs="仿宋_GB2312" w:eastAsia="仿宋_GB2312"/>
                <w:sz w:val="20"/>
              </w:rPr>
              <w:t>30</w:t>
            </w:r>
            <w:r>
              <w:rPr>
                <w:rFonts w:ascii="仿宋_GB2312" w:hAnsi="仿宋_GB2312" w:cs="仿宋_GB2312" w:eastAsia="仿宋_GB2312"/>
                <w:sz w:val="20"/>
              </w:rPr>
              <w:t>多万篇</w:t>
            </w:r>
            <w:r>
              <w:rPr>
                <w:rFonts w:ascii="仿宋_GB2312" w:hAnsi="仿宋_GB2312" w:cs="仿宋_GB2312" w:eastAsia="仿宋_GB2312"/>
                <w:sz w:val="20"/>
              </w:rPr>
              <w:t>IEEE期刊文献来自</w:t>
            </w:r>
            <w:r>
              <w:rPr>
                <w:rFonts w:ascii="仿宋_GB2312" w:hAnsi="仿宋_GB2312" w:cs="仿宋_GB2312" w:eastAsia="仿宋_GB2312"/>
                <w:sz w:val="20"/>
              </w:rPr>
              <w:t>200</w:t>
            </w:r>
            <w:r>
              <w:rPr>
                <w:rFonts w:ascii="仿宋_GB2312" w:hAnsi="仿宋_GB2312" w:cs="仿宋_GB2312" w:eastAsia="仿宋_GB2312"/>
                <w:sz w:val="20"/>
              </w:rPr>
              <w:t>多种</w:t>
            </w:r>
            <w:r>
              <w:rPr>
                <w:rFonts w:ascii="仿宋_GB2312" w:hAnsi="仿宋_GB2312" w:cs="仿宋_GB2312" w:eastAsia="仿宋_GB2312"/>
                <w:sz w:val="20"/>
              </w:rPr>
              <w:t>IEEE高被引期刊；</w:t>
            </w:r>
          </w:p>
          <w:p>
            <w:pPr>
              <w:pStyle w:val="null3"/>
              <w:ind w:firstLine="570"/>
              <w:jc w:val="left"/>
            </w:pPr>
            <w:r>
              <w:rPr>
                <w:rFonts w:ascii="仿宋_GB2312" w:hAnsi="仿宋_GB2312" w:cs="仿宋_GB2312" w:eastAsia="仿宋_GB2312"/>
                <w:sz w:val="20"/>
              </w:rPr>
              <w:t>贝尔实验室技术期刊；</w:t>
            </w:r>
          </w:p>
          <w:p>
            <w:pPr>
              <w:pStyle w:val="null3"/>
              <w:ind w:firstLine="570"/>
              <w:jc w:val="left"/>
            </w:pPr>
            <w:r>
              <w:rPr>
                <w:rFonts w:ascii="仿宋_GB2312" w:hAnsi="仿宋_GB2312" w:cs="仿宋_GB2312" w:eastAsia="仿宋_GB2312"/>
                <w:sz w:val="20"/>
              </w:rPr>
              <w:t>420</w:t>
            </w:r>
            <w:r>
              <w:rPr>
                <w:rFonts w:ascii="仿宋_GB2312" w:hAnsi="仿宋_GB2312" w:cs="仿宋_GB2312" w:eastAsia="仿宋_GB2312"/>
                <w:sz w:val="20"/>
              </w:rPr>
              <w:t>多万篇</w:t>
            </w:r>
            <w:r>
              <w:rPr>
                <w:rFonts w:ascii="仿宋_GB2312" w:hAnsi="仿宋_GB2312" w:cs="仿宋_GB2312" w:eastAsia="仿宋_GB2312"/>
                <w:sz w:val="20"/>
              </w:rPr>
              <w:t>IEEE会议文献；</w:t>
            </w:r>
          </w:p>
          <w:p>
            <w:pPr>
              <w:pStyle w:val="null3"/>
              <w:ind w:firstLine="570"/>
              <w:jc w:val="left"/>
            </w:pPr>
            <w:r>
              <w:rPr>
                <w:rFonts w:ascii="仿宋_GB2312" w:hAnsi="仿宋_GB2312" w:cs="仿宋_GB2312" w:eastAsia="仿宋_GB2312"/>
                <w:sz w:val="20"/>
              </w:rPr>
              <w:t>IET/VDE会议录；</w:t>
            </w:r>
          </w:p>
          <w:p>
            <w:pPr>
              <w:pStyle w:val="null3"/>
              <w:ind w:firstLine="570"/>
              <w:jc w:val="left"/>
            </w:pPr>
            <w:r>
              <w:rPr>
                <w:rFonts w:ascii="仿宋_GB2312" w:hAnsi="仿宋_GB2312" w:cs="仿宋_GB2312" w:eastAsia="仿宋_GB2312"/>
                <w:sz w:val="20"/>
              </w:rPr>
              <w:t>50</w:t>
            </w:r>
            <w:r>
              <w:rPr>
                <w:rFonts w:ascii="仿宋_GB2312" w:hAnsi="仿宋_GB2312" w:cs="仿宋_GB2312" w:eastAsia="仿宋_GB2312"/>
                <w:sz w:val="20"/>
              </w:rPr>
              <w:t>00多份IEEE标准文档（不含草案，可额外订购）；</w:t>
            </w:r>
          </w:p>
          <w:p>
            <w:pPr>
              <w:pStyle w:val="null3"/>
              <w:ind w:firstLine="570"/>
              <w:jc w:val="left"/>
            </w:pPr>
            <w:r>
              <w:rPr>
                <w:rFonts w:ascii="仿宋_GB2312" w:hAnsi="仿宋_GB2312" w:cs="仿宋_GB2312" w:eastAsia="仿宋_GB2312"/>
                <w:sz w:val="20"/>
              </w:rPr>
              <w:t>IEL数据库通过IEEE Xplore平台访问：</w:t>
            </w:r>
            <w:r>
              <w:rPr>
                <w:rFonts w:ascii="仿宋_GB2312" w:hAnsi="仿宋_GB2312" w:cs="仿宋_GB2312" w:eastAsia="仿宋_GB2312"/>
                <w:sz w:val="20"/>
              </w:rPr>
              <w:t>http</w:t>
            </w:r>
            <w:r>
              <w:rPr>
                <w:rFonts w:ascii="仿宋_GB2312" w:hAnsi="仿宋_GB2312" w:cs="仿宋_GB2312" w:eastAsia="仿宋_GB2312"/>
                <w:sz w:val="20"/>
              </w:rPr>
              <w:t>s</w:t>
            </w:r>
            <w:r>
              <w:rPr>
                <w:rFonts w:ascii="仿宋_GB2312" w:hAnsi="仿宋_GB2312" w:cs="仿宋_GB2312" w:eastAsia="仿宋_GB2312"/>
                <w:sz w:val="20"/>
              </w:rPr>
              <w:t>://ieeexplore.ieee.org</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）乙方需及时将甲方提供的有关变更信息（如：</w:t>
            </w:r>
            <w:r>
              <w:rPr>
                <w:rFonts w:ascii="仿宋_GB2312" w:hAnsi="仿宋_GB2312" w:cs="仿宋_GB2312" w:eastAsia="仿宋_GB2312"/>
                <w:sz w:val="20"/>
              </w:rPr>
              <w:t>IP</w:t>
            </w:r>
            <w:r>
              <w:rPr>
                <w:rFonts w:ascii="仿宋_GB2312" w:hAnsi="仿宋_GB2312" w:cs="仿宋_GB2312" w:eastAsia="仿宋_GB2312"/>
                <w:sz w:val="20"/>
              </w:rPr>
              <w:t>段变更信息等）和使用中遇到的问题通报出版商，并协助出版商在</w:t>
            </w:r>
            <w:r>
              <w:rPr>
                <w:rFonts w:ascii="仿宋_GB2312" w:hAnsi="仿宋_GB2312" w:cs="仿宋_GB2312" w:eastAsia="仿宋_GB2312"/>
                <w:sz w:val="20"/>
              </w:rPr>
              <w:t>24</w:t>
            </w:r>
            <w:r>
              <w:rPr>
                <w:rFonts w:ascii="仿宋_GB2312" w:hAnsi="仿宋_GB2312" w:cs="仿宋_GB2312" w:eastAsia="仿宋_GB2312"/>
                <w:sz w:val="20"/>
              </w:rPr>
              <w:t>小时内解决，以保证甲方对所订购产品的正常使用。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标的名称：Nature电子期刊、ASCE数据库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Nature电子期刊、ASCE数据库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1"/>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Nature电子期刊数据库</w:t>
            </w:r>
            <w:r>
              <w:rPr>
                <w:rFonts w:ascii="仿宋_GB2312" w:hAnsi="仿宋_GB2312" w:cs="仿宋_GB2312" w:eastAsia="仿宋_GB2312"/>
                <w:sz w:val="20"/>
              </w:rPr>
              <w:t>：</w:t>
            </w:r>
            <w:r>
              <w:rPr>
                <w:rFonts w:ascii="仿宋_GB2312" w:hAnsi="仿宋_GB2312" w:cs="仿宋_GB2312" w:eastAsia="仿宋_GB2312"/>
                <w:sz w:val="20"/>
              </w:rPr>
              <w:t>Nature周刊，每周更新，Nature Energy、Nature Materials、Nature Physics、Nature Sustainability每月更新。涉及自然科学、物理、材料、环境、能源等领域。这五种期刊可访问2018年至今所有内容，支持PDF及HTM格式下载。IP访问，无并发限制。支持CARSI, VPN等校外访问，提供COUNTER标准使用统计，支持SUSHI收割。</w:t>
            </w:r>
          </w:p>
          <w:p>
            <w:pPr>
              <w:pStyle w:val="null3"/>
              <w:ind w:firstLine="400"/>
              <w:jc w:val="left"/>
            </w:pPr>
            <w:r>
              <w:rPr>
                <w:rFonts w:ascii="仿宋_GB2312" w:hAnsi="仿宋_GB2312" w:cs="仿宋_GB2312" w:eastAsia="仿宋_GB2312"/>
                <w:sz w:val="20"/>
              </w:rPr>
              <w:t>ASCE数据库包含35种期刊，全部回溯至创刊年。涵盖土木工程相关的学科，包括工程力学、工程管理、环境治理、农业灌溉、城市规划、地质勘探、测绘、水力工程、海洋工程、航空航天、建筑材料、交通施工等土木工程相关领域。IP访问，无并发限制。包含会议录：超过700卷，回溯至1996年。支持CARSI, VPN等校外访问，提供COUNTER标准使用统计，支持SUSHI收割。</w:t>
            </w:r>
          </w:p>
          <w:p>
            <w:pPr>
              <w:pStyle w:val="null3"/>
              <w:ind w:firstLine="400"/>
              <w:jc w:val="left"/>
            </w:pPr>
            <w:r>
              <w:rPr>
                <w:rFonts w:ascii="仿宋_GB2312" w:hAnsi="仿宋_GB2312" w:cs="仿宋_GB2312" w:eastAsia="仿宋_GB2312"/>
                <w:sz w:val="20"/>
              </w:rPr>
              <w:t>访问方式：</w:t>
            </w:r>
            <w:r>
              <w:rPr>
                <w:rFonts w:ascii="仿宋_GB2312" w:hAnsi="仿宋_GB2312" w:cs="仿宋_GB2312" w:eastAsia="仿宋_GB2312"/>
                <w:sz w:val="20"/>
              </w:rPr>
              <w:t>IP 控制，无并发用户限制。</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4）乙方需及时将甲方提供的有关变更信息（如：IP段变更信息等）和使用中遇到的问题通报出版商，并协助出版商在24小时内解决，以保证甲方对所订购产品的正常使用。</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标的名称：ProQuest SciTech Premium Collection数据库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ProQuest SciTech Premium Collection数据库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SciTech Premium Collection 提供自然科学、技术、工程以及相关学科领域的学术研究和教学内容。涵盖自然科学和应用科学与技术的所有学科领域，研究人员可以从来自世界各地的数千种全文出版物中找到相关课题最全面的内容。数据库收录丰富类型的文献信息，包括同行评审学术期刊、贸易和行业期刊、书籍 / 专著、会议记录、视频资料、政府出版物等。对于开展文献综述的研究者，数据库提供由专业编辑团队管理的文摘索引和控词表，用于发现各学科至关重要的学术研究和技术文献。</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402"/>
              <w:jc w:val="left"/>
            </w:pPr>
            <w:r>
              <w:rPr>
                <w:rFonts w:ascii="仿宋_GB2312" w:hAnsi="仿宋_GB2312" w:cs="仿宋_GB2312" w:eastAsia="仿宋_GB2312"/>
                <w:sz w:val="20"/>
                <w:b/>
              </w:rPr>
              <w:t>可根据项目特点及实际情况设置</w:t>
            </w:r>
            <w:r>
              <w:rPr>
                <w:rFonts w:ascii="仿宋_GB2312" w:hAnsi="仿宋_GB2312" w:cs="仿宋_GB2312" w:eastAsia="仿宋_GB2312"/>
                <w:sz w:val="20"/>
                <w:b/>
              </w:rPr>
              <w:t>服务内容和标准</w:t>
            </w:r>
            <w:r>
              <w:rPr>
                <w:rFonts w:ascii="仿宋_GB2312" w:hAnsi="仿宋_GB2312" w:cs="仿宋_GB2312" w:eastAsia="仿宋_GB2312"/>
                <w:sz w:val="20"/>
                <w:b/>
              </w:rPr>
              <w:t>。内容可包括：</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4）乙方需及时将甲方提供的有关变更信息（如：IP段变更信息等）和使用中遇到的问题通报出版商，并协助出版商在24小时内解决，以保证甲方对所订购产品的正常使用。</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标的名称：Web of Science – Science Citation Index Expanded（SCIE）数据库、CSCD数据库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Web of Science – Science Citation Index Expanded（SCIE）数据库、CSCD数据库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1"/>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SCIE（Science Citation Index Expanded /科学引文索引）是一个聚焦自然科学领域的多学科综合数据库，包含在 Web of Science核心合集中。目前收录了全球自然科学、工程技术、临床医学等领域内 178 个学科的 9400 多种有影响力的学术刊物。利用SCIE数据库高质量数据和强大的引文分析功能，可以随时掌握课题研究进展，了解研究焦点和热点、发现国内外最新研究方法和模型、锁定合适期刊投稿、助力论文写作等，提升科研人员工作效率，节省工作时间。</w:t>
            </w:r>
            <w:r>
              <w:rPr>
                <w:rFonts w:ascii="仿宋_GB2312" w:hAnsi="仿宋_GB2312" w:cs="仿宋_GB2312" w:eastAsia="仿宋_GB2312"/>
                <w:sz w:val="20"/>
              </w:rPr>
              <w:t>我校订购</w:t>
            </w:r>
            <w:r>
              <w:rPr>
                <w:rFonts w:ascii="仿宋_GB2312" w:hAnsi="仿宋_GB2312" w:cs="仿宋_GB2312" w:eastAsia="仿宋_GB2312"/>
                <w:sz w:val="20"/>
              </w:rPr>
              <w:t>2011年至今的数据，永久访问权。</w:t>
            </w:r>
          </w:p>
          <w:p>
            <w:pPr>
              <w:pStyle w:val="null3"/>
              <w:ind w:firstLine="570"/>
              <w:jc w:val="left"/>
            </w:pPr>
            <w:r>
              <w:rPr>
                <w:rFonts w:ascii="仿宋_GB2312" w:hAnsi="仿宋_GB2312" w:cs="仿宋_GB2312" w:eastAsia="仿宋_GB2312"/>
                <w:sz w:val="20"/>
              </w:rPr>
              <w:t>Chinese Science Citation Database (CSCD, 中国科学引文数据库在Web of Science平台以中英文双语对照的方式显示CSCD的内容，其中大多数论文题录信息（题名、作者和来源出版物）都是以中英文双语的形式提供的。作为Web of Science台中的首个非英文产品，CSCD收录了我国数学、物理、化学、天文学、地学、生物学、农林科学、医药卫生、工程技术、环境科学和管理科学等领域出版的中英文科技核心期刊和优秀期刊1,000多种，包含从1989年至今的论文记录超过510万条记录，每两周更新一次，每年新增20余万条。</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570"/>
              <w:jc w:val="left"/>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4）乙方需及时将甲方提供的有关变更信息（如：IP段变更信息等）和使用中遇到的问题通报出版商，并协助出版商在24小时内解决，以保证甲方对所订购产品的正常使用。</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标的名称：Springer电子期刊数据库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Springer电子期刊数据库</w:t>
            </w:r>
          </w:p>
        </w:tc>
        <w:tc>
          <w:tcPr>
            <w:tcW w:type="dxa" w:w="2076"/>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1"/>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Springer电子期刊是Springer Nature出版集团最早的专业学术期刊，Springer电子期刊数据库，可访问Springer出版的</w:t>
            </w:r>
            <w:r>
              <w:rPr>
                <w:rFonts w:ascii="仿宋_GB2312" w:hAnsi="仿宋_GB2312" w:cs="仿宋_GB2312" w:eastAsia="仿宋_GB2312"/>
                <w:sz w:val="20"/>
              </w:rPr>
              <w:t>1970</w:t>
            </w:r>
            <w:r>
              <w:rPr>
                <w:rFonts w:ascii="仿宋_GB2312" w:hAnsi="仿宋_GB2312" w:cs="仿宋_GB2312" w:eastAsia="仿宋_GB2312"/>
                <w:sz w:val="20"/>
              </w:rPr>
              <w:t>种电子期刊，超过</w:t>
            </w:r>
            <w:r>
              <w:rPr>
                <w:rFonts w:ascii="仿宋_GB2312" w:hAnsi="仿宋_GB2312" w:cs="仿宋_GB2312" w:eastAsia="仿宋_GB2312"/>
                <w:sz w:val="20"/>
              </w:rPr>
              <w:t>1000万篇科学文献，最早可访问之创刊年或1997年，超过65%以上的期刊被SCI、SSCI收录，很多期刊在相关学科拥有较高的排名，文章内容实时更新，涵盖学科包括：数学、化学和材料科学、计算机科学、地球和环境科学、工程学、物理和天文学、医学、生物医学和生命科学、行为科学、商业和经济、人文、社科和法律。</w:t>
            </w:r>
          </w:p>
          <w:p>
            <w:pPr>
              <w:pStyle w:val="null3"/>
              <w:ind w:firstLine="400"/>
              <w:jc w:val="left"/>
            </w:pPr>
            <w:r>
              <w:rPr>
                <w:rFonts w:ascii="仿宋_GB2312" w:hAnsi="仿宋_GB2312" w:cs="仿宋_GB2312" w:eastAsia="仿宋_GB2312"/>
                <w:sz w:val="20"/>
              </w:rPr>
              <w:t>数据库通过</w:t>
            </w:r>
            <w:r>
              <w:rPr>
                <w:rFonts w:ascii="仿宋_GB2312" w:hAnsi="仿宋_GB2312" w:cs="仿宋_GB2312" w:eastAsia="仿宋_GB2312"/>
                <w:sz w:val="20"/>
              </w:rPr>
              <w:t>SpringerLink平台访问，适应各种移动终端及智能手机，并且无数字版权管理（DRM）限制，IP控制无并发用户限制。</w:t>
            </w:r>
          </w:p>
          <w:p>
            <w:pPr>
              <w:pStyle w:val="null3"/>
              <w:ind w:firstLine="402"/>
              <w:jc w:val="left"/>
            </w:pPr>
            <w:r>
              <w:rPr>
                <w:rFonts w:ascii="仿宋_GB2312" w:hAnsi="仿宋_GB2312" w:cs="仿宋_GB2312" w:eastAsia="仿宋_GB2312"/>
                <w:sz w:val="20"/>
                <w:b/>
              </w:rPr>
              <w:t xml:space="preserve">  </w:t>
            </w:r>
            <w:r>
              <w:rPr>
                <w:rFonts w:ascii="仿宋_GB2312" w:hAnsi="仿宋_GB2312" w:cs="仿宋_GB2312" w:eastAsia="仿宋_GB2312"/>
                <w:sz w:val="20"/>
                <w:b/>
              </w:rPr>
              <w:t>2.</w:t>
            </w:r>
            <w:r>
              <w:rPr>
                <w:rFonts w:ascii="仿宋_GB2312" w:hAnsi="仿宋_GB2312" w:cs="仿宋_GB2312" w:eastAsia="仿宋_GB2312"/>
                <w:sz w:val="20"/>
                <w:b/>
              </w:rPr>
              <w:t>服务</w:t>
            </w:r>
            <w:r>
              <w:rPr>
                <w:rFonts w:ascii="仿宋_GB2312" w:hAnsi="仿宋_GB2312" w:cs="仿宋_GB2312" w:eastAsia="仿宋_GB2312"/>
                <w:sz w:val="20"/>
                <w:b/>
              </w:rPr>
              <w:t>要求</w:t>
            </w:r>
            <w:r>
              <w:rPr>
                <w:rFonts w:ascii="仿宋_GB2312" w:hAnsi="仿宋_GB2312" w:cs="仿宋_GB2312" w:eastAsia="仿宋_GB2312"/>
                <w:sz w:val="20"/>
                <w:b/>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1）数据库使用故障反应、解决时间不超过24小时。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2）每年依据甲方的时间安排举办2次数据库使用培训或宣传讲座等活动。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3）乙方协助甲方联系出版商提供系统维护、读者使用情况统计等服务。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）乙方需及时将甲方提供的有关变更信息（如：</w:t>
            </w:r>
            <w:r>
              <w:rPr>
                <w:rFonts w:ascii="仿宋_GB2312" w:hAnsi="仿宋_GB2312" w:cs="仿宋_GB2312" w:eastAsia="仿宋_GB2312"/>
                <w:sz w:val="20"/>
              </w:rPr>
              <w:t>IP</w:t>
            </w:r>
            <w:r>
              <w:rPr>
                <w:rFonts w:ascii="仿宋_GB2312" w:hAnsi="仿宋_GB2312" w:cs="仿宋_GB2312" w:eastAsia="仿宋_GB2312"/>
                <w:sz w:val="20"/>
              </w:rPr>
              <w:t>段变更信息等）和使用中遇到的问题通报出版商，并协助出版商在</w:t>
            </w:r>
            <w:r>
              <w:rPr>
                <w:rFonts w:ascii="仿宋_GB2312" w:hAnsi="仿宋_GB2312" w:cs="仿宋_GB2312" w:eastAsia="仿宋_GB2312"/>
                <w:sz w:val="20"/>
              </w:rPr>
              <w:t>24</w:t>
            </w:r>
            <w:r>
              <w:rPr>
                <w:rFonts w:ascii="仿宋_GB2312" w:hAnsi="仿宋_GB2312" w:cs="仿宋_GB2312" w:eastAsia="仿宋_GB2312"/>
                <w:sz w:val="20"/>
              </w:rPr>
              <w:t>小时内解决，以保证甲方对所订购产品的正常使用。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西安建筑科技大学图书馆</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详见合同草案条款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3月1日以来任意一个月的纳税证明或完税证明，纳税证明或完税证明上应有代收机构或税务机关的公章或业务专用章；其他组织和自然人提供自2024年3月1日以来任意一个月缴纳税收的凭据；依法免税的供应商应提供相关文件证明 ； ③社会保障资金缴纳证明：提供自2024年3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具有良好的商业信誉和健全的财务会计制度（供应商应提供2022（或2023）年经审计的财务报告或银行出具的资信证明）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 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单一来源采购人员认为供应商响应报价明显低于其他通过符合性审查供应商的响应报价，有可能影响产品质量或者不能诚信履约的，单一来源采购人员应当要求其在合理的时间内在项目电子化交易系统中上传说明材料，必要时提交相关证明材料。供应商提交的相关证明材料，应当加盖供应商（法定名称）电子印章，在单一来源采购人员要求的时间内通过项目电子化交易系统进行提交，否则提交的相关证明材料无效。供应商不能证明其响应报价合理性的，单一来源采购人员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谈判方案说明.docx 谈判偏离表.docx 相关资格证明材料.docx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